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238"/>
        <w:gridCol w:w="5833"/>
      </w:tblGrid>
      <w:tr w:rsidR="001672A5" w:rsidRPr="00CF5041" w14:paraId="193268F5" w14:textId="77777777" w:rsidTr="00FC4636">
        <w:tc>
          <w:tcPr>
            <w:tcW w:w="3348" w:type="dxa"/>
          </w:tcPr>
          <w:bookmarkStart w:id="0" w:name="_GoBack"/>
          <w:bookmarkEnd w:id="0"/>
          <w:p w14:paraId="2DE32861" w14:textId="2BC443C5" w:rsidR="00347271" w:rsidRPr="00CF5041" w:rsidRDefault="00473187" w:rsidP="00C10AEC">
            <w:pPr>
              <w:spacing w:before="120"/>
              <w:jc w:val="center"/>
              <w:rPr>
                <w:rFonts w:ascii="Times New Roman" w:eastAsia="Times New Roman" w:hAnsi="Times New Roman" w:cs="Times New Roman"/>
                <w:b/>
                <w:color w:val="auto"/>
              </w:rPr>
            </w:pPr>
            <w:r w:rsidRPr="00CF5041">
              <w:rPr>
                <w:rFonts w:ascii="Times New Roman" w:eastAsia="Times New Roman" w:hAnsi="Times New Roman" w:cs="Times New Roman"/>
                <w:b/>
                <w:noProof/>
                <w:color w:val="auto"/>
                <w:lang w:val="en-US" w:eastAsia="en-US"/>
              </w:rPr>
              <mc:AlternateContent>
                <mc:Choice Requires="wps">
                  <w:drawing>
                    <wp:anchor distT="0" distB="0" distL="114300" distR="114300" simplePos="0" relativeHeight="251655168" behindDoc="0" locked="0" layoutInCell="1" allowOverlap="1" wp14:anchorId="37FB433A" wp14:editId="3941C8E1">
                      <wp:simplePos x="0" y="0"/>
                      <wp:positionH relativeFrom="column">
                        <wp:posOffset>615315</wp:posOffset>
                      </wp:positionH>
                      <wp:positionV relativeFrom="paragraph">
                        <wp:posOffset>445135</wp:posOffset>
                      </wp:positionV>
                      <wp:extent cx="703580" cy="0"/>
                      <wp:effectExtent l="9525" t="12065" r="10795" b="6985"/>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3E6D51" id="_x0000_t32" coordsize="21600,21600" o:spt="32" o:oned="t" path="m,l21600,21600e" filled="f">
                      <v:path arrowok="t" fillok="f" o:connecttype="none"/>
                      <o:lock v:ext="edit" shapetype="t"/>
                    </v:shapetype>
                    <v:shape id="AutoShape 5" o:spid="_x0000_s1026" type="#_x0000_t32" style="position:absolute;margin-left:48.45pt;margin-top:35.05pt;width:55.4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PPjHQ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"/>
                  </w:pict>
                </mc:Fallback>
              </mc:AlternateContent>
            </w:r>
            <w:r w:rsidR="008107D8" w:rsidRPr="00CF5041">
              <w:rPr>
                <w:rFonts w:ascii="Times New Roman" w:eastAsia="Times New Roman" w:hAnsi="Times New Roman" w:cs="Times New Roman"/>
                <w:b/>
                <w:color w:val="auto"/>
                <w:lang w:val="en-US"/>
              </w:rPr>
              <w:t xml:space="preserve"> </w:t>
            </w:r>
            <w:r w:rsidR="00347271" w:rsidRPr="00CF5041">
              <w:rPr>
                <w:rFonts w:ascii="Times New Roman" w:eastAsia="Times New Roman" w:hAnsi="Times New Roman" w:cs="Times New Roman"/>
                <w:b/>
                <w:color w:val="auto"/>
                <w:lang w:val="en-US"/>
              </w:rPr>
              <w:t>NGÂN HÀNG NHÀ NƯỚC</w:t>
            </w:r>
            <w:r w:rsidR="00347271" w:rsidRPr="00CF5041">
              <w:rPr>
                <w:rFonts w:ascii="Times New Roman" w:eastAsia="Times New Roman" w:hAnsi="Times New Roman" w:cs="Times New Roman"/>
                <w:b/>
                <w:color w:val="auto"/>
                <w:lang w:val="en-US"/>
              </w:rPr>
              <w:br/>
              <w:t>VIỆT NAM</w:t>
            </w:r>
            <w:r w:rsidR="00347271" w:rsidRPr="00CF5041">
              <w:rPr>
                <w:rFonts w:ascii="Times New Roman" w:eastAsia="Times New Roman" w:hAnsi="Times New Roman" w:cs="Times New Roman"/>
                <w:b/>
                <w:color w:val="auto"/>
              </w:rPr>
              <w:br/>
            </w:r>
          </w:p>
        </w:tc>
        <w:tc>
          <w:tcPr>
            <w:tcW w:w="6116" w:type="dxa"/>
          </w:tcPr>
          <w:p w14:paraId="7E90EF1F" w14:textId="12C98536" w:rsidR="00347271" w:rsidRPr="00CF5041" w:rsidRDefault="00473187" w:rsidP="00A528F0">
            <w:pPr>
              <w:spacing w:before="120"/>
              <w:jc w:val="center"/>
              <w:rPr>
                <w:rFonts w:ascii="Times New Roman" w:eastAsia="Times New Roman" w:hAnsi="Times New Roman" w:cs="Times New Roman"/>
                <w:color w:val="auto"/>
              </w:rPr>
            </w:pPr>
            <w:r w:rsidRPr="00CF5041">
              <w:rPr>
                <w:rFonts w:ascii="Times New Roman" w:eastAsia="Times New Roman" w:hAnsi="Times New Roman" w:cs="Times New Roman"/>
                <w:b/>
                <w:noProof/>
                <w:color w:val="auto"/>
                <w:lang w:val="en-US" w:eastAsia="en-US"/>
              </w:rPr>
              <mc:AlternateContent>
                <mc:Choice Requires="wps">
                  <w:drawing>
                    <wp:anchor distT="0" distB="0" distL="114300" distR="114300" simplePos="0" relativeHeight="251656192" behindDoc="0" locked="0" layoutInCell="1" allowOverlap="1" wp14:anchorId="3D4EC8CF" wp14:editId="18F1C802">
                      <wp:simplePos x="0" y="0"/>
                      <wp:positionH relativeFrom="column">
                        <wp:posOffset>733425</wp:posOffset>
                      </wp:positionH>
                      <wp:positionV relativeFrom="paragraph">
                        <wp:posOffset>472811</wp:posOffset>
                      </wp:positionV>
                      <wp:extent cx="2094230" cy="0"/>
                      <wp:effectExtent l="0" t="0" r="20320" b="1905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BB2852" id="_x0000_t32" coordsize="21600,21600" o:spt="32" o:oned="t" path="m,l21600,21600e" filled="f">
                      <v:path arrowok="t" fillok="f" o:connecttype="none"/>
                      <o:lock v:ext="edit" shapetype="t"/>
                    </v:shapetype>
                    <v:shape id="AutoShape 6" o:spid="_x0000_s1026" type="#_x0000_t32" style="position:absolute;margin-left:57.75pt;margin-top:37.25pt;width:164.9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oi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"/>
                  </w:pict>
                </mc:Fallback>
              </mc:AlternateContent>
            </w:r>
            <w:r w:rsidR="00347271" w:rsidRPr="00CF5041">
              <w:rPr>
                <w:rFonts w:ascii="Times New Roman" w:eastAsia="Times New Roman" w:hAnsi="Times New Roman" w:cs="Times New Roman"/>
                <w:b/>
                <w:color w:val="auto"/>
              </w:rPr>
              <w:t>CỘNG HÒA XÃ HỘI CHỦ NGHĨA VIỆT NAM</w:t>
            </w:r>
            <w:r w:rsidR="00347271" w:rsidRPr="00CF5041">
              <w:rPr>
                <w:rFonts w:ascii="Times New Roman" w:eastAsia="Times New Roman" w:hAnsi="Times New Roman" w:cs="Times New Roman"/>
                <w:b/>
                <w:color w:val="auto"/>
              </w:rPr>
              <w:br/>
            </w:r>
            <w:r w:rsidR="00347271" w:rsidRPr="00CF5041">
              <w:rPr>
                <w:rFonts w:ascii="Times New Roman" w:eastAsia="Times New Roman" w:hAnsi="Times New Roman" w:cs="Times New Roman"/>
                <w:b/>
                <w:color w:val="auto"/>
                <w:sz w:val="28"/>
                <w:szCs w:val="28"/>
              </w:rPr>
              <w:t>Độc lập - Tự do - Hạnh phúc</w:t>
            </w:r>
            <w:r w:rsidR="00347271" w:rsidRPr="00CF5041">
              <w:rPr>
                <w:rFonts w:ascii="Times New Roman" w:eastAsia="Times New Roman" w:hAnsi="Times New Roman" w:cs="Times New Roman"/>
                <w:b/>
                <w:color w:val="auto"/>
              </w:rPr>
              <w:t xml:space="preserve"> </w:t>
            </w:r>
            <w:r w:rsidR="00347271" w:rsidRPr="00CF5041">
              <w:rPr>
                <w:rFonts w:ascii="Times New Roman" w:eastAsia="Times New Roman" w:hAnsi="Times New Roman" w:cs="Times New Roman"/>
                <w:b/>
                <w:color w:val="auto"/>
              </w:rPr>
              <w:br/>
            </w:r>
          </w:p>
        </w:tc>
      </w:tr>
      <w:tr w:rsidR="00347271" w:rsidRPr="00CF5041" w14:paraId="75A6B3F3" w14:textId="77777777" w:rsidTr="00FC4636">
        <w:tc>
          <w:tcPr>
            <w:tcW w:w="3348" w:type="dxa"/>
          </w:tcPr>
          <w:p w14:paraId="3DF139AC" w14:textId="607CAA3A" w:rsidR="00347271" w:rsidRPr="00CF5041" w:rsidRDefault="00FC4636" w:rsidP="00B73B0F">
            <w:pPr>
              <w:spacing w:before="120"/>
              <w:jc w:val="center"/>
              <w:rPr>
                <w:rFonts w:ascii="Times New Roman" w:eastAsia="Times New Roman" w:hAnsi="Times New Roman" w:cs="Times New Roman"/>
                <w:color w:val="auto"/>
                <w:sz w:val="28"/>
                <w:szCs w:val="28"/>
                <w:lang w:val="en-US"/>
              </w:rPr>
            </w:pPr>
            <w:r w:rsidRPr="00CF5041">
              <w:rPr>
                <w:rFonts w:ascii="Times New Roman" w:eastAsia="Times New Roman" w:hAnsi="Times New Roman" w:cs="Times New Roman"/>
                <w:color w:val="auto"/>
                <w:sz w:val="28"/>
                <w:szCs w:val="28"/>
              </w:rPr>
              <w:t xml:space="preserve">   </w:t>
            </w:r>
            <w:r w:rsidR="00347271" w:rsidRPr="00CF5041">
              <w:rPr>
                <w:rFonts w:ascii="Times New Roman" w:eastAsia="Times New Roman" w:hAnsi="Times New Roman" w:cs="Times New Roman"/>
                <w:color w:val="auto"/>
                <w:sz w:val="28"/>
                <w:szCs w:val="28"/>
              </w:rPr>
              <w:t xml:space="preserve">Số: </w:t>
            </w:r>
            <w:r w:rsidR="00C10AEC" w:rsidRPr="00CF5041">
              <w:rPr>
                <w:rFonts w:ascii="Times New Roman" w:eastAsia="Times New Roman" w:hAnsi="Times New Roman" w:cs="Times New Roman"/>
                <w:color w:val="auto"/>
                <w:sz w:val="28"/>
                <w:szCs w:val="28"/>
                <w:lang w:val="en-US"/>
              </w:rPr>
              <w:t xml:space="preserve">     /</w:t>
            </w:r>
            <w:r w:rsidR="00347271" w:rsidRPr="00CF5041">
              <w:rPr>
                <w:rFonts w:ascii="Times New Roman" w:eastAsia="Times New Roman" w:hAnsi="Times New Roman" w:cs="Times New Roman"/>
                <w:color w:val="auto"/>
                <w:sz w:val="28"/>
                <w:szCs w:val="28"/>
                <w:lang w:val="en-US"/>
              </w:rPr>
              <w:t>20</w:t>
            </w:r>
            <w:r w:rsidR="00DB0B2A" w:rsidRPr="00CF5041">
              <w:rPr>
                <w:rFonts w:ascii="Times New Roman" w:eastAsia="Times New Roman" w:hAnsi="Times New Roman" w:cs="Times New Roman"/>
                <w:color w:val="auto"/>
                <w:sz w:val="28"/>
                <w:szCs w:val="28"/>
                <w:lang w:val="en-US"/>
              </w:rPr>
              <w:t>2</w:t>
            </w:r>
            <w:r w:rsidR="00B73B0F" w:rsidRPr="00CF5041">
              <w:rPr>
                <w:rFonts w:ascii="Times New Roman" w:eastAsia="Times New Roman" w:hAnsi="Times New Roman" w:cs="Times New Roman"/>
                <w:color w:val="auto"/>
                <w:sz w:val="28"/>
                <w:szCs w:val="28"/>
                <w:lang w:val="en-US"/>
              </w:rPr>
              <w:t>6</w:t>
            </w:r>
            <w:r w:rsidR="002D7912" w:rsidRPr="00CF5041">
              <w:rPr>
                <w:rFonts w:ascii="Times New Roman" w:eastAsia="Times New Roman" w:hAnsi="Times New Roman" w:cs="Times New Roman"/>
                <w:color w:val="auto"/>
                <w:sz w:val="28"/>
                <w:szCs w:val="28"/>
                <w:lang w:val="en-US"/>
              </w:rPr>
              <w:t>/</w:t>
            </w:r>
            <w:r w:rsidR="00347271" w:rsidRPr="00CF5041">
              <w:rPr>
                <w:rFonts w:ascii="Times New Roman" w:eastAsia="Times New Roman" w:hAnsi="Times New Roman" w:cs="Times New Roman"/>
                <w:color w:val="auto"/>
                <w:sz w:val="28"/>
                <w:szCs w:val="28"/>
                <w:lang w:val="en-US"/>
              </w:rPr>
              <w:t>TT-NHNN</w:t>
            </w:r>
          </w:p>
        </w:tc>
        <w:tc>
          <w:tcPr>
            <w:tcW w:w="6116" w:type="dxa"/>
          </w:tcPr>
          <w:p w14:paraId="6A3E5DF0" w14:textId="4AD04B02" w:rsidR="00347271" w:rsidRPr="00CF5041" w:rsidRDefault="00347271" w:rsidP="00B73B0F">
            <w:pPr>
              <w:spacing w:before="120"/>
              <w:jc w:val="center"/>
              <w:rPr>
                <w:rFonts w:ascii="Times New Roman" w:eastAsia="Times New Roman" w:hAnsi="Times New Roman" w:cs="Times New Roman"/>
                <w:i/>
                <w:color w:val="auto"/>
                <w:sz w:val="28"/>
                <w:szCs w:val="28"/>
                <w:lang w:val="en-US"/>
              </w:rPr>
            </w:pPr>
            <w:r w:rsidRPr="00CF5041">
              <w:rPr>
                <w:rFonts w:ascii="Times New Roman" w:eastAsia="Times New Roman" w:hAnsi="Times New Roman" w:cs="Times New Roman"/>
                <w:i/>
                <w:color w:val="auto"/>
                <w:sz w:val="28"/>
                <w:szCs w:val="28"/>
                <w:lang w:val="en-US"/>
              </w:rPr>
              <w:t>Hà Nội</w:t>
            </w:r>
            <w:r w:rsidRPr="00CF5041">
              <w:rPr>
                <w:rFonts w:ascii="Times New Roman" w:eastAsia="Times New Roman" w:hAnsi="Times New Roman" w:cs="Times New Roman"/>
                <w:i/>
                <w:color w:val="auto"/>
                <w:sz w:val="28"/>
                <w:szCs w:val="28"/>
              </w:rPr>
              <w:t xml:space="preserve">, ngày </w:t>
            </w:r>
            <w:r w:rsidR="0039246C" w:rsidRPr="00CF5041">
              <w:rPr>
                <w:rFonts w:ascii="Times New Roman" w:eastAsia="Times New Roman" w:hAnsi="Times New Roman" w:cs="Times New Roman"/>
                <w:i/>
                <w:color w:val="auto"/>
                <w:sz w:val="28"/>
                <w:szCs w:val="28"/>
                <w:lang w:val="en-US"/>
              </w:rPr>
              <w:t xml:space="preserve">   </w:t>
            </w:r>
            <w:r w:rsidR="00943D8E" w:rsidRPr="00CF5041">
              <w:rPr>
                <w:rFonts w:ascii="Times New Roman" w:eastAsia="Times New Roman" w:hAnsi="Times New Roman" w:cs="Times New Roman"/>
                <w:i/>
                <w:color w:val="auto"/>
                <w:sz w:val="28"/>
                <w:szCs w:val="28"/>
                <w:lang w:val="en-US"/>
              </w:rPr>
              <w:t xml:space="preserve"> </w:t>
            </w:r>
            <w:r w:rsidR="00943D8E" w:rsidRPr="00CF5041">
              <w:rPr>
                <w:rFonts w:ascii="Times New Roman" w:eastAsia="Times New Roman" w:hAnsi="Times New Roman" w:cs="Times New Roman"/>
                <w:i/>
                <w:color w:val="auto"/>
                <w:sz w:val="28"/>
                <w:szCs w:val="28"/>
              </w:rPr>
              <w:t xml:space="preserve"> </w:t>
            </w:r>
            <w:r w:rsidRPr="00CF5041">
              <w:rPr>
                <w:rFonts w:ascii="Times New Roman" w:eastAsia="Times New Roman" w:hAnsi="Times New Roman" w:cs="Times New Roman"/>
                <w:i/>
                <w:color w:val="auto"/>
                <w:sz w:val="28"/>
                <w:szCs w:val="28"/>
              </w:rPr>
              <w:t xml:space="preserve">tháng </w:t>
            </w:r>
            <w:r w:rsidR="0039246C" w:rsidRPr="00CF5041">
              <w:rPr>
                <w:rFonts w:ascii="Times New Roman" w:eastAsia="Times New Roman" w:hAnsi="Times New Roman" w:cs="Times New Roman"/>
                <w:i/>
                <w:color w:val="auto"/>
                <w:sz w:val="28"/>
                <w:szCs w:val="28"/>
                <w:lang w:val="en-US"/>
              </w:rPr>
              <w:t xml:space="preserve">   </w:t>
            </w:r>
            <w:r w:rsidRPr="00CF5041">
              <w:rPr>
                <w:rFonts w:ascii="Times New Roman" w:eastAsia="Times New Roman" w:hAnsi="Times New Roman" w:cs="Times New Roman"/>
                <w:i/>
                <w:color w:val="auto"/>
                <w:sz w:val="28"/>
                <w:szCs w:val="28"/>
              </w:rPr>
              <w:t xml:space="preserve"> năm </w:t>
            </w:r>
            <w:r w:rsidRPr="00CF5041">
              <w:rPr>
                <w:rFonts w:ascii="Times New Roman" w:eastAsia="Times New Roman" w:hAnsi="Times New Roman" w:cs="Times New Roman"/>
                <w:i/>
                <w:color w:val="auto"/>
                <w:sz w:val="28"/>
                <w:szCs w:val="28"/>
                <w:lang w:val="en-US"/>
              </w:rPr>
              <w:t>20</w:t>
            </w:r>
            <w:r w:rsidR="00DB0B2A" w:rsidRPr="00CF5041">
              <w:rPr>
                <w:rFonts w:ascii="Times New Roman" w:eastAsia="Times New Roman" w:hAnsi="Times New Roman" w:cs="Times New Roman"/>
                <w:i/>
                <w:color w:val="auto"/>
                <w:sz w:val="28"/>
                <w:szCs w:val="28"/>
                <w:lang w:val="en-US"/>
              </w:rPr>
              <w:t>2</w:t>
            </w:r>
            <w:r w:rsidR="00B73B0F" w:rsidRPr="00CF5041">
              <w:rPr>
                <w:rFonts w:ascii="Times New Roman" w:eastAsia="Times New Roman" w:hAnsi="Times New Roman" w:cs="Times New Roman"/>
                <w:i/>
                <w:color w:val="auto"/>
                <w:sz w:val="28"/>
                <w:szCs w:val="28"/>
                <w:lang w:val="en-US"/>
              </w:rPr>
              <w:t>6</w:t>
            </w:r>
          </w:p>
        </w:tc>
      </w:tr>
    </w:tbl>
    <w:p w14:paraId="17526379" w14:textId="77777777" w:rsidR="00347271" w:rsidRPr="00CF5041" w:rsidRDefault="00347271" w:rsidP="004E5BC2">
      <w:pPr>
        <w:spacing w:before="120"/>
        <w:rPr>
          <w:rFonts w:ascii="Arial" w:hAnsi="Arial" w:cs="Arial"/>
          <w:color w:val="auto"/>
          <w:sz w:val="20"/>
          <w:lang w:val="en-US"/>
        </w:rPr>
      </w:pPr>
    </w:p>
    <w:bookmarkStart w:id="1" w:name="loai_1"/>
    <w:p w14:paraId="4EBEC58A" w14:textId="0D2A29B6" w:rsidR="00B61FBB" w:rsidRPr="00CF5041" w:rsidRDefault="00103E67" w:rsidP="009D1904">
      <w:pPr>
        <w:spacing w:line="312" w:lineRule="auto"/>
        <w:jc w:val="center"/>
        <w:rPr>
          <w:rFonts w:ascii="Times New Roman" w:hAnsi="Times New Roman" w:cs="Times New Roman"/>
          <w:b/>
          <w:color w:val="auto"/>
          <w:sz w:val="28"/>
          <w:szCs w:val="28"/>
        </w:rPr>
      </w:pPr>
      <w:r w:rsidRPr="00CF5041">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59264" behindDoc="0" locked="0" layoutInCell="1" allowOverlap="1" wp14:anchorId="258EE749" wp14:editId="11ACCA55">
                <wp:simplePos x="0" y="0"/>
                <wp:positionH relativeFrom="column">
                  <wp:posOffset>-184785</wp:posOffset>
                </wp:positionH>
                <wp:positionV relativeFrom="paragraph">
                  <wp:posOffset>79375</wp:posOffset>
                </wp:positionV>
                <wp:extent cx="781050" cy="4000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781050" cy="400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0B658C" w14:textId="374859F2" w:rsidR="0098409D" w:rsidRPr="00103E67" w:rsidRDefault="004A46C8" w:rsidP="00103E67">
                            <w:pPr>
                              <w:jc w:val="center"/>
                              <w:rPr>
                                <w:rFonts w:ascii="Times New Roman" w:hAnsi="Times New Roman" w:cs="Times New Roman"/>
                                <w:b/>
                                <w:sz w:val="20"/>
                                <w:szCs w:val="20"/>
                                <w:lang w:val="en-US"/>
                              </w:rPr>
                            </w:pPr>
                            <w:r>
                              <w:rPr>
                                <w:rFonts w:ascii="Times New Roman" w:hAnsi="Times New Roman" w:cs="Times New Roman"/>
                                <w:b/>
                                <w:sz w:val="20"/>
                                <w:szCs w:val="20"/>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8EE749" id="Rectangle 3" o:spid="_x0000_s1026" style="position:absolute;left:0;text-align:left;margin-left:-14.55pt;margin-top:6.25pt;width:61.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" fillcolor="white [3201]" strokecolor="black [3213]" strokeweight="1pt">
                <v:textbox>
                  <w:txbxContent>
                    <w:p w14:paraId="360B658C" w14:textId="374859F2" w:rsidR="0098409D" w:rsidRPr="00103E67" w:rsidRDefault="004A46C8" w:rsidP="00103E67">
                      <w:pPr>
                        <w:jc w:val="center"/>
                        <w:rPr>
                          <w:rFonts w:ascii="Times New Roman" w:hAnsi="Times New Roman" w:cs="Times New Roman"/>
                          <w:b/>
                          <w:sz w:val="20"/>
                          <w:szCs w:val="20"/>
                          <w:lang w:val="en-US"/>
                        </w:rPr>
                      </w:pPr>
                      <w:r>
                        <w:rPr>
                          <w:rFonts w:ascii="Times New Roman" w:hAnsi="Times New Roman" w:cs="Times New Roman"/>
                          <w:b/>
                          <w:sz w:val="20"/>
                          <w:szCs w:val="20"/>
                          <w:lang w:val="en-US"/>
                        </w:rPr>
                        <w:t>Dự thảo</w:t>
                      </w:r>
                      <w:bookmarkStart w:id="2" w:name="_GoBack"/>
                      <w:bookmarkEnd w:id="2"/>
                    </w:p>
                  </w:txbxContent>
                </v:textbox>
              </v:rect>
            </w:pict>
          </mc:Fallback>
        </mc:AlternateContent>
      </w:r>
    </w:p>
    <w:p w14:paraId="18CF9D2A" w14:textId="77777777" w:rsidR="00A44263" w:rsidRPr="00CF5041" w:rsidRDefault="00A44263" w:rsidP="009D1904">
      <w:pPr>
        <w:spacing w:line="312" w:lineRule="auto"/>
        <w:jc w:val="center"/>
        <w:rPr>
          <w:rFonts w:ascii="Times New Roman" w:hAnsi="Times New Roman" w:cs="Times New Roman"/>
          <w:b/>
          <w:color w:val="auto"/>
          <w:sz w:val="28"/>
          <w:szCs w:val="28"/>
        </w:rPr>
      </w:pPr>
    </w:p>
    <w:p w14:paraId="6FCD17C4" w14:textId="77777777" w:rsidR="00A44263" w:rsidRPr="00CF5041" w:rsidRDefault="00A44263" w:rsidP="009D1904">
      <w:pPr>
        <w:spacing w:line="312" w:lineRule="auto"/>
        <w:jc w:val="center"/>
        <w:rPr>
          <w:rFonts w:ascii="Times New Roman" w:hAnsi="Times New Roman" w:cs="Times New Roman"/>
          <w:b/>
          <w:color w:val="auto"/>
          <w:sz w:val="28"/>
          <w:szCs w:val="28"/>
        </w:rPr>
      </w:pPr>
    </w:p>
    <w:p w14:paraId="07AD1BE6" w14:textId="77777777" w:rsidR="00347271" w:rsidRPr="00CF5041" w:rsidRDefault="00047979" w:rsidP="00402E01">
      <w:pPr>
        <w:jc w:val="center"/>
        <w:rPr>
          <w:rFonts w:ascii="Times New Roman" w:hAnsi="Times New Roman" w:cs="Times New Roman"/>
          <w:b/>
          <w:color w:val="auto"/>
          <w:sz w:val="28"/>
          <w:szCs w:val="28"/>
        </w:rPr>
      </w:pPr>
      <w:r w:rsidRPr="00CF5041">
        <w:rPr>
          <w:rFonts w:ascii="Times New Roman" w:hAnsi="Times New Roman" w:cs="Times New Roman"/>
          <w:b/>
          <w:color w:val="auto"/>
          <w:sz w:val="28"/>
          <w:szCs w:val="28"/>
        </w:rPr>
        <w:t>THÔNG TƯ</w:t>
      </w:r>
      <w:r w:rsidR="005D007E" w:rsidRPr="00CF5041">
        <w:rPr>
          <w:rFonts w:ascii="Times New Roman" w:hAnsi="Times New Roman" w:cs="Times New Roman"/>
          <w:b/>
          <w:color w:val="auto"/>
          <w:sz w:val="28"/>
          <w:szCs w:val="28"/>
        </w:rPr>
        <w:t xml:space="preserve"> </w:t>
      </w:r>
    </w:p>
    <w:p w14:paraId="3B4A94CA" w14:textId="5115E04F" w:rsidR="00F97AA3" w:rsidRPr="00CF5041" w:rsidRDefault="009D1904" w:rsidP="00402E01">
      <w:pPr>
        <w:jc w:val="center"/>
        <w:rPr>
          <w:rFonts w:ascii="Times New Roman" w:hAnsi="Times New Roman" w:cs="Times New Roman"/>
          <w:b/>
          <w:bCs/>
          <w:color w:val="auto"/>
          <w:sz w:val="28"/>
          <w:szCs w:val="28"/>
          <w:lang w:val="en-US"/>
        </w:rPr>
      </w:pPr>
      <w:bookmarkStart w:id="2" w:name="loai_1_name"/>
      <w:bookmarkEnd w:id="1"/>
      <w:r w:rsidRPr="00CF5041">
        <w:rPr>
          <w:rFonts w:ascii="Times New Roman" w:hAnsi="Times New Roman" w:cs="Times New Roman"/>
          <w:b/>
          <w:bCs/>
          <w:color w:val="auto"/>
          <w:sz w:val="28"/>
          <w:szCs w:val="28"/>
        </w:rPr>
        <w:t>Quy định</w:t>
      </w:r>
      <w:r w:rsidR="00037642" w:rsidRPr="00CF5041">
        <w:rPr>
          <w:rFonts w:ascii="Times New Roman" w:hAnsi="Times New Roman" w:cs="Times New Roman"/>
          <w:b/>
          <w:bCs/>
          <w:color w:val="auto"/>
          <w:sz w:val="28"/>
          <w:szCs w:val="28"/>
        </w:rPr>
        <w:t xml:space="preserve"> </w:t>
      </w:r>
      <w:r w:rsidR="00F97AA3" w:rsidRPr="00CF5041">
        <w:rPr>
          <w:rFonts w:ascii="Times New Roman" w:hAnsi="Times New Roman" w:cs="Times New Roman"/>
          <w:b/>
          <w:bCs/>
          <w:color w:val="auto"/>
          <w:sz w:val="28"/>
          <w:szCs w:val="28"/>
          <w:lang w:val="en-US"/>
        </w:rPr>
        <w:t>các giới hạn, tỷ lệ bảo</w:t>
      </w:r>
      <w:r w:rsidR="00304A9B" w:rsidRPr="00CF5041">
        <w:rPr>
          <w:rFonts w:ascii="Times New Roman" w:hAnsi="Times New Roman" w:cs="Times New Roman"/>
          <w:b/>
          <w:bCs/>
          <w:color w:val="auto"/>
          <w:sz w:val="28"/>
          <w:szCs w:val="28"/>
          <w:lang w:val="en-US"/>
        </w:rPr>
        <w:t xml:space="preserve"> đảm</w:t>
      </w:r>
      <w:r w:rsidR="00F97AA3" w:rsidRPr="00CF5041">
        <w:rPr>
          <w:rFonts w:ascii="Times New Roman" w:hAnsi="Times New Roman" w:cs="Times New Roman"/>
          <w:b/>
          <w:bCs/>
          <w:color w:val="auto"/>
          <w:sz w:val="28"/>
          <w:szCs w:val="28"/>
          <w:lang w:val="en-US"/>
        </w:rPr>
        <w:t xml:space="preserve"> an toàn trong hoạt động</w:t>
      </w:r>
    </w:p>
    <w:p w14:paraId="73AE1F1C" w14:textId="37E15B13" w:rsidR="00B46F80" w:rsidRPr="00CF5041" w:rsidRDefault="00F97AA3" w:rsidP="00402E01">
      <w:pPr>
        <w:jc w:val="center"/>
        <w:rPr>
          <w:rFonts w:ascii="Times New Roman" w:hAnsi="Times New Roman" w:cs="Times New Roman"/>
          <w:b/>
          <w:bCs/>
          <w:color w:val="auto"/>
          <w:sz w:val="28"/>
          <w:szCs w:val="28"/>
          <w:lang w:val="en-US"/>
        </w:rPr>
      </w:pPr>
      <w:r w:rsidRPr="00CF5041">
        <w:rPr>
          <w:rFonts w:ascii="Times New Roman" w:hAnsi="Times New Roman" w:cs="Times New Roman"/>
          <w:b/>
          <w:bCs/>
          <w:color w:val="auto"/>
          <w:sz w:val="28"/>
          <w:szCs w:val="28"/>
          <w:lang w:val="en-US"/>
        </w:rPr>
        <w:t xml:space="preserve"> của quỹ tín dụng nhân dân</w:t>
      </w:r>
    </w:p>
    <w:p w14:paraId="79EC785E" w14:textId="4BFC6A41" w:rsidR="009F29A1" w:rsidRPr="00CF5041" w:rsidRDefault="009F29A1" w:rsidP="00003A3B">
      <w:pPr>
        <w:spacing w:line="312" w:lineRule="auto"/>
        <w:jc w:val="center"/>
        <w:rPr>
          <w:rFonts w:ascii="Times New Roman" w:hAnsi="Times New Roman" w:cs="Times New Roman"/>
          <w:b/>
          <w:bCs/>
          <w:color w:val="auto"/>
          <w:sz w:val="28"/>
          <w:szCs w:val="28"/>
        </w:rPr>
      </w:pPr>
    </w:p>
    <w:p w14:paraId="7FD2B072" w14:textId="0E23D874" w:rsidR="009F29A1" w:rsidRPr="00CF5041" w:rsidRDefault="009F29A1" w:rsidP="00402E01">
      <w:pPr>
        <w:spacing w:before="60" w:after="60" w:line="252" w:lineRule="auto"/>
        <w:ind w:firstLine="720"/>
        <w:jc w:val="both"/>
        <w:rPr>
          <w:rFonts w:ascii="Times New Roman" w:hAnsi="Times New Roman" w:cs="Times New Roman"/>
          <w:i/>
          <w:color w:val="auto"/>
          <w:sz w:val="28"/>
          <w:szCs w:val="28"/>
        </w:rPr>
      </w:pPr>
      <w:r w:rsidRPr="00CF5041">
        <w:rPr>
          <w:rFonts w:ascii="Times New Roman" w:hAnsi="Times New Roman" w:cs="Times New Roman"/>
          <w:i/>
          <w:color w:val="auto"/>
          <w:sz w:val="28"/>
          <w:szCs w:val="28"/>
        </w:rPr>
        <w:t xml:space="preserve">Căn cứ Luật Ngân hàng Nhà nước Việt Nam </w:t>
      </w:r>
      <w:r w:rsidR="00E15D7F" w:rsidRPr="00CF5041">
        <w:rPr>
          <w:rFonts w:ascii="Times New Roman" w:hAnsi="Times New Roman" w:cs="Times New Roman"/>
          <w:i/>
          <w:color w:val="auto"/>
          <w:sz w:val="28"/>
          <w:szCs w:val="28"/>
          <w:lang w:val="en-US"/>
        </w:rPr>
        <w:t xml:space="preserve">số </w:t>
      </w:r>
      <w:r w:rsidR="00541F7B">
        <w:rPr>
          <w:rFonts w:ascii="Times New Roman" w:hAnsi="Times New Roman" w:cs="Times New Roman"/>
          <w:i/>
          <w:color w:val="auto"/>
          <w:sz w:val="28"/>
          <w:szCs w:val="28"/>
          <w:lang w:val="en-US"/>
        </w:rPr>
        <w:t>46</w:t>
      </w:r>
      <w:r w:rsidR="00E15D7F" w:rsidRPr="00CF5041">
        <w:rPr>
          <w:rFonts w:ascii="Times New Roman" w:hAnsi="Times New Roman" w:cs="Times New Roman"/>
          <w:i/>
          <w:color w:val="auto"/>
          <w:sz w:val="28"/>
          <w:szCs w:val="28"/>
          <w:lang w:val="en-US"/>
        </w:rPr>
        <w:t>/2010/QH12</w:t>
      </w:r>
      <w:r w:rsidRPr="00CF5041">
        <w:rPr>
          <w:rFonts w:ascii="Times New Roman" w:hAnsi="Times New Roman" w:cs="Times New Roman"/>
          <w:i/>
          <w:color w:val="auto"/>
          <w:sz w:val="28"/>
          <w:szCs w:val="28"/>
        </w:rPr>
        <w:t>;</w:t>
      </w:r>
    </w:p>
    <w:p w14:paraId="50C800D2" w14:textId="299545B1" w:rsidR="009F29A1" w:rsidRPr="00CF5041" w:rsidRDefault="009F29A1" w:rsidP="00402E01">
      <w:pPr>
        <w:spacing w:before="60" w:after="60" w:line="252" w:lineRule="auto"/>
        <w:ind w:firstLine="720"/>
        <w:jc w:val="both"/>
        <w:rPr>
          <w:rFonts w:ascii="Times New Roman" w:hAnsi="Times New Roman" w:cs="Times New Roman"/>
          <w:i/>
          <w:color w:val="auto"/>
          <w:sz w:val="28"/>
          <w:szCs w:val="28"/>
        </w:rPr>
      </w:pPr>
      <w:r w:rsidRPr="00CF5041">
        <w:rPr>
          <w:rFonts w:ascii="Times New Roman" w:hAnsi="Times New Roman" w:cs="Times New Roman"/>
          <w:i/>
          <w:color w:val="auto"/>
          <w:sz w:val="28"/>
          <w:szCs w:val="28"/>
        </w:rPr>
        <w:t>Căn cứ Luật Các tổ chức tín dụng</w:t>
      </w:r>
      <w:r w:rsidR="00E15D7F" w:rsidRPr="00CF5041">
        <w:rPr>
          <w:rFonts w:ascii="Times New Roman" w:hAnsi="Times New Roman" w:cs="Times New Roman"/>
          <w:i/>
          <w:color w:val="auto"/>
          <w:sz w:val="28"/>
          <w:szCs w:val="28"/>
          <w:lang w:val="en-US"/>
        </w:rPr>
        <w:t xml:space="preserve"> số 32/2024/QH15 được sửa đổi, bổ sung bởi Luật số 96/2025/QH15;</w:t>
      </w:r>
    </w:p>
    <w:p w14:paraId="23D4586D" w14:textId="26916903" w:rsidR="009F29A1" w:rsidRPr="00CF5041" w:rsidRDefault="009F29A1" w:rsidP="00402E01">
      <w:pPr>
        <w:spacing w:before="60" w:after="60" w:line="252" w:lineRule="auto"/>
        <w:ind w:firstLine="720"/>
        <w:jc w:val="both"/>
        <w:rPr>
          <w:rFonts w:ascii="Times New Roman" w:hAnsi="Times New Roman" w:cs="Times New Roman"/>
          <w:i/>
          <w:color w:val="auto"/>
          <w:sz w:val="28"/>
          <w:szCs w:val="28"/>
        </w:rPr>
      </w:pPr>
      <w:r w:rsidRPr="00CF5041">
        <w:rPr>
          <w:rFonts w:ascii="Times New Roman" w:hAnsi="Times New Roman" w:cs="Times New Roman"/>
          <w:i/>
          <w:color w:val="auto"/>
          <w:sz w:val="28"/>
          <w:szCs w:val="28"/>
        </w:rPr>
        <w:t xml:space="preserve">Căn cứ Luật Hợp tác xã </w:t>
      </w:r>
      <w:r w:rsidR="00E15D7F" w:rsidRPr="00CF5041">
        <w:rPr>
          <w:rFonts w:ascii="Times New Roman" w:hAnsi="Times New Roman" w:cs="Times New Roman"/>
          <w:i/>
          <w:color w:val="auto"/>
          <w:sz w:val="28"/>
          <w:szCs w:val="28"/>
          <w:lang w:val="en-US"/>
        </w:rPr>
        <w:t>số 17/2023/QH15</w:t>
      </w:r>
      <w:r w:rsidRPr="00CF5041">
        <w:rPr>
          <w:rFonts w:ascii="Times New Roman" w:hAnsi="Times New Roman" w:cs="Times New Roman"/>
          <w:i/>
          <w:color w:val="auto"/>
          <w:sz w:val="28"/>
          <w:szCs w:val="28"/>
        </w:rPr>
        <w:t xml:space="preserve">; </w:t>
      </w:r>
    </w:p>
    <w:p w14:paraId="245102CC" w14:textId="33766903" w:rsidR="009F29A1" w:rsidRPr="00CF5041" w:rsidRDefault="009F29A1" w:rsidP="00402E01">
      <w:pPr>
        <w:spacing w:before="60" w:after="60" w:line="252" w:lineRule="auto"/>
        <w:ind w:firstLine="720"/>
        <w:jc w:val="both"/>
        <w:rPr>
          <w:rFonts w:ascii="Times New Roman" w:hAnsi="Times New Roman" w:cs="Times New Roman"/>
          <w:i/>
          <w:iCs/>
          <w:color w:val="auto"/>
          <w:sz w:val="28"/>
          <w:szCs w:val="28"/>
        </w:rPr>
      </w:pPr>
      <w:r w:rsidRPr="00CF5041">
        <w:rPr>
          <w:rFonts w:ascii="Times New Roman" w:hAnsi="Times New Roman" w:cs="Times New Roman"/>
          <w:i/>
          <w:iCs/>
          <w:color w:val="auto"/>
          <w:sz w:val="28"/>
          <w:szCs w:val="28"/>
        </w:rPr>
        <w:t xml:space="preserve">Căn cứ Nghị định số </w:t>
      </w:r>
      <w:bookmarkStart w:id="3" w:name="tvpllink_lfmjmyvcvr"/>
      <w:r w:rsidRPr="00CF5041">
        <w:rPr>
          <w:rFonts w:ascii="Times New Roman" w:hAnsi="Times New Roman" w:cs="Times New Roman"/>
          <w:i/>
          <w:iCs/>
          <w:color w:val="auto"/>
          <w:sz w:val="28"/>
          <w:szCs w:val="28"/>
        </w:rPr>
        <w:t>2</w:t>
      </w:r>
      <w:r w:rsidR="005D0745" w:rsidRPr="00CF5041">
        <w:rPr>
          <w:rFonts w:ascii="Times New Roman" w:hAnsi="Times New Roman" w:cs="Times New Roman"/>
          <w:i/>
          <w:iCs/>
          <w:color w:val="auto"/>
          <w:sz w:val="28"/>
          <w:szCs w:val="28"/>
          <w:lang w:val="en-US"/>
        </w:rPr>
        <w:t>6</w:t>
      </w:r>
      <w:r w:rsidRPr="00CF5041">
        <w:rPr>
          <w:rFonts w:ascii="Times New Roman" w:hAnsi="Times New Roman" w:cs="Times New Roman"/>
          <w:i/>
          <w:iCs/>
          <w:color w:val="auto"/>
          <w:sz w:val="28"/>
          <w:szCs w:val="28"/>
        </w:rPr>
        <w:t>/202</w:t>
      </w:r>
      <w:r w:rsidR="005D0745" w:rsidRPr="00CF5041">
        <w:rPr>
          <w:rFonts w:ascii="Times New Roman" w:hAnsi="Times New Roman" w:cs="Times New Roman"/>
          <w:i/>
          <w:iCs/>
          <w:color w:val="auto"/>
          <w:sz w:val="28"/>
          <w:szCs w:val="28"/>
          <w:lang w:val="en-US"/>
        </w:rPr>
        <w:t>5</w:t>
      </w:r>
      <w:r w:rsidRPr="00CF5041">
        <w:rPr>
          <w:rFonts w:ascii="Times New Roman" w:hAnsi="Times New Roman" w:cs="Times New Roman"/>
          <w:i/>
          <w:iCs/>
          <w:color w:val="auto"/>
          <w:sz w:val="28"/>
          <w:szCs w:val="28"/>
        </w:rPr>
        <w:t>/NĐ-CP</w:t>
      </w:r>
      <w:bookmarkEnd w:id="3"/>
      <w:r w:rsidRPr="00CF5041">
        <w:rPr>
          <w:rFonts w:ascii="Times New Roman" w:hAnsi="Times New Roman" w:cs="Times New Roman"/>
          <w:i/>
          <w:iCs/>
          <w:color w:val="auto"/>
          <w:sz w:val="28"/>
          <w:szCs w:val="28"/>
        </w:rPr>
        <w:t xml:space="preserve"> của Chính phủ quy định chức năng, nhiệm vụ, quyền hạn và cơ cấu tổ chức của Ngân hàng Nhà nước Việt Nam;</w:t>
      </w:r>
    </w:p>
    <w:p w14:paraId="376A0889" w14:textId="11ED6322" w:rsidR="009E677A" w:rsidRPr="00CF5041" w:rsidRDefault="009F29A1" w:rsidP="00402E01">
      <w:pPr>
        <w:spacing w:before="60" w:after="60" w:line="252" w:lineRule="auto"/>
        <w:ind w:firstLine="720"/>
        <w:jc w:val="both"/>
        <w:rPr>
          <w:rFonts w:ascii="Times New Roman" w:hAnsi="Times New Roman" w:cs="Times New Roman"/>
          <w:i/>
          <w:iCs/>
          <w:color w:val="auto"/>
          <w:sz w:val="28"/>
          <w:szCs w:val="28"/>
        </w:rPr>
      </w:pPr>
      <w:r w:rsidRPr="00CF5041">
        <w:rPr>
          <w:rFonts w:ascii="Times New Roman" w:hAnsi="Times New Roman" w:cs="Times New Roman"/>
          <w:i/>
          <w:color w:val="auto"/>
          <w:sz w:val="28"/>
          <w:szCs w:val="28"/>
        </w:rPr>
        <w:t>Theo đề nghị của</w:t>
      </w:r>
      <w:r w:rsidR="0096746F" w:rsidRPr="00CF5041">
        <w:rPr>
          <w:rFonts w:ascii="Times New Roman" w:hAnsi="Times New Roman" w:cs="Times New Roman"/>
          <w:i/>
          <w:color w:val="auto"/>
          <w:sz w:val="28"/>
          <w:szCs w:val="28"/>
          <w:lang w:val="en-US"/>
        </w:rPr>
        <w:t xml:space="preserve"> Cục trưởng Cục An toàn </w:t>
      </w:r>
      <w:r w:rsidR="007946B1" w:rsidRPr="00CF5041">
        <w:rPr>
          <w:rFonts w:ascii="Times New Roman" w:hAnsi="Times New Roman" w:cs="Times New Roman"/>
          <w:i/>
          <w:color w:val="auto"/>
          <w:sz w:val="28"/>
          <w:szCs w:val="28"/>
          <w:lang w:val="en-US"/>
        </w:rPr>
        <w:t xml:space="preserve">hệ thống </w:t>
      </w:r>
      <w:r w:rsidR="0096746F" w:rsidRPr="00CF5041">
        <w:rPr>
          <w:rFonts w:ascii="Times New Roman" w:hAnsi="Times New Roman" w:cs="Times New Roman"/>
          <w:i/>
          <w:color w:val="auto"/>
          <w:sz w:val="28"/>
          <w:szCs w:val="28"/>
          <w:lang w:val="en-US"/>
        </w:rPr>
        <w:t>các tổ chức tín dụng</w:t>
      </w:r>
      <w:r w:rsidRPr="00CF5041">
        <w:rPr>
          <w:rFonts w:ascii="Times New Roman" w:hAnsi="Times New Roman" w:cs="Times New Roman"/>
          <w:i/>
          <w:color w:val="auto"/>
          <w:sz w:val="28"/>
          <w:szCs w:val="28"/>
        </w:rPr>
        <w:t>;</w:t>
      </w:r>
    </w:p>
    <w:p w14:paraId="3BB9EF47" w14:textId="14086FE9" w:rsidR="009F29A1" w:rsidRPr="00CF5041" w:rsidRDefault="009F29A1" w:rsidP="00402E01">
      <w:pPr>
        <w:spacing w:before="60" w:after="60" w:line="252" w:lineRule="auto"/>
        <w:ind w:firstLine="720"/>
        <w:jc w:val="both"/>
        <w:rPr>
          <w:rFonts w:ascii="Times New Roman" w:hAnsi="Times New Roman" w:cs="Times New Roman"/>
          <w:i/>
          <w:color w:val="auto"/>
          <w:sz w:val="28"/>
          <w:szCs w:val="28"/>
        </w:rPr>
      </w:pPr>
      <w:r w:rsidRPr="00CF5041">
        <w:rPr>
          <w:rFonts w:ascii="Times New Roman" w:hAnsi="Times New Roman" w:cs="Times New Roman"/>
          <w:i/>
          <w:color w:val="auto"/>
          <w:sz w:val="28"/>
          <w:szCs w:val="28"/>
        </w:rPr>
        <w:t xml:space="preserve">Thống đốc Ngân hàng Nhà nước Việt Nam ban hành Thông tư quy định </w:t>
      </w:r>
      <w:r w:rsidR="00E15D7F" w:rsidRPr="00CF5041">
        <w:rPr>
          <w:rFonts w:ascii="Times New Roman" w:hAnsi="Times New Roman" w:cs="Times New Roman"/>
          <w:i/>
          <w:color w:val="auto"/>
          <w:sz w:val="28"/>
          <w:szCs w:val="28"/>
          <w:lang w:val="en-US"/>
        </w:rPr>
        <w:t xml:space="preserve">các giới hạn, tỷ lệ bảo </w:t>
      </w:r>
      <w:r w:rsidR="00304A9B" w:rsidRPr="00CF5041">
        <w:rPr>
          <w:rFonts w:ascii="Times New Roman" w:hAnsi="Times New Roman" w:cs="Times New Roman"/>
          <w:i/>
          <w:color w:val="auto"/>
          <w:sz w:val="28"/>
          <w:szCs w:val="28"/>
          <w:lang w:val="en-US"/>
        </w:rPr>
        <w:t xml:space="preserve">đảm </w:t>
      </w:r>
      <w:r w:rsidR="00E15D7F" w:rsidRPr="00CF5041">
        <w:rPr>
          <w:rFonts w:ascii="Times New Roman" w:hAnsi="Times New Roman" w:cs="Times New Roman"/>
          <w:i/>
          <w:color w:val="auto"/>
          <w:sz w:val="28"/>
          <w:szCs w:val="28"/>
          <w:lang w:val="en-US"/>
        </w:rPr>
        <w:t xml:space="preserve">an toàn trong hoạt động </w:t>
      </w:r>
      <w:r w:rsidR="00583867" w:rsidRPr="00CF5041">
        <w:rPr>
          <w:rFonts w:ascii="Times New Roman" w:hAnsi="Times New Roman" w:cs="Times New Roman"/>
          <w:i/>
          <w:color w:val="auto"/>
          <w:sz w:val="28"/>
          <w:szCs w:val="28"/>
        </w:rPr>
        <w:t>của</w:t>
      </w:r>
      <w:r w:rsidRPr="00CF5041">
        <w:rPr>
          <w:rFonts w:ascii="Times New Roman" w:hAnsi="Times New Roman" w:cs="Times New Roman"/>
          <w:i/>
          <w:color w:val="auto"/>
          <w:sz w:val="28"/>
          <w:szCs w:val="28"/>
        </w:rPr>
        <w:t xml:space="preserve"> quỹ tín dụng nhân dân.</w:t>
      </w:r>
    </w:p>
    <w:p w14:paraId="58A61D63" w14:textId="77777777" w:rsidR="00027499" w:rsidRPr="00CF5041" w:rsidRDefault="00027499" w:rsidP="00402E01">
      <w:pPr>
        <w:spacing w:before="60" w:after="60" w:line="252" w:lineRule="auto"/>
        <w:ind w:firstLine="720"/>
        <w:jc w:val="both"/>
        <w:rPr>
          <w:rFonts w:ascii="Times New Roman" w:hAnsi="Times New Roman" w:cs="Times New Roman"/>
          <w:i/>
          <w:color w:val="auto"/>
          <w:sz w:val="28"/>
          <w:szCs w:val="28"/>
        </w:rPr>
      </w:pPr>
    </w:p>
    <w:p w14:paraId="6A382DB2" w14:textId="77777777" w:rsidR="00716819" w:rsidRPr="00CF5041" w:rsidRDefault="00047979" w:rsidP="00402E01">
      <w:pPr>
        <w:pStyle w:val="Heading1"/>
        <w:spacing w:before="240" w:line="264" w:lineRule="auto"/>
        <w:rPr>
          <w:color w:val="auto"/>
        </w:rPr>
      </w:pPr>
      <w:bookmarkStart w:id="4" w:name="chuong_1"/>
      <w:bookmarkEnd w:id="2"/>
      <w:r w:rsidRPr="00CF5041">
        <w:rPr>
          <w:color w:val="auto"/>
        </w:rPr>
        <w:t>Chương I</w:t>
      </w:r>
    </w:p>
    <w:p w14:paraId="083DEA72" w14:textId="77777777" w:rsidR="00716819" w:rsidRPr="00CF5041" w:rsidRDefault="00716819" w:rsidP="00140819">
      <w:pPr>
        <w:pStyle w:val="Heading1"/>
        <w:spacing w:line="264" w:lineRule="auto"/>
        <w:rPr>
          <w:color w:val="auto"/>
        </w:rPr>
      </w:pPr>
      <w:bookmarkStart w:id="5" w:name="chuong_1_name"/>
      <w:bookmarkEnd w:id="4"/>
      <w:r w:rsidRPr="00CF5041">
        <w:rPr>
          <w:color w:val="auto"/>
        </w:rPr>
        <w:t>QUY ĐỊNH CHUNG</w:t>
      </w:r>
    </w:p>
    <w:p w14:paraId="4A57D6A7" w14:textId="185C69BE" w:rsidR="00140E27" w:rsidRPr="00CF5041" w:rsidRDefault="00140E27" w:rsidP="00D93948">
      <w:pPr>
        <w:pStyle w:val="Heading3"/>
        <w:spacing w:before="240" w:after="120" w:line="240" w:lineRule="auto"/>
        <w:ind w:firstLine="720"/>
        <w:rPr>
          <w:b/>
        </w:rPr>
      </w:pPr>
      <w:bookmarkStart w:id="6" w:name="dieu_1"/>
      <w:bookmarkEnd w:id="5"/>
      <w:r w:rsidRPr="00CF5041">
        <w:rPr>
          <w:rFonts w:hint="eastAsia"/>
          <w:b/>
        </w:rPr>
        <w:t>Đ</w:t>
      </w:r>
      <w:r w:rsidRPr="00CF5041">
        <w:rPr>
          <w:b/>
        </w:rPr>
        <w:t xml:space="preserve">iều 1. Phạm vi </w:t>
      </w:r>
      <w:r w:rsidRPr="00CF5041">
        <w:rPr>
          <w:rFonts w:hint="eastAsia"/>
          <w:b/>
        </w:rPr>
        <w:t>đ</w:t>
      </w:r>
      <w:r w:rsidRPr="00CF5041">
        <w:rPr>
          <w:b/>
        </w:rPr>
        <w:t>iều chỉnh</w:t>
      </w:r>
    </w:p>
    <w:p w14:paraId="7EE614F4" w14:textId="77777777" w:rsidR="00FE06FC" w:rsidRPr="00CF5041" w:rsidRDefault="00FE06FC" w:rsidP="00FE06FC">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1. Thông tư này quy định về các hạn chế, giới hạn, tỷ lệ bảo đảm an toàn trong hoạt động của quỹ tín dụng nhân dân bao gồm:</w:t>
      </w:r>
    </w:p>
    <w:p w14:paraId="5BBECED9" w14:textId="77777777" w:rsidR="00FE06FC" w:rsidRPr="00CF5041" w:rsidRDefault="00FE06FC" w:rsidP="00FE06FC">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a) Tỷ lệ an toàn vốn;</w:t>
      </w:r>
    </w:p>
    <w:p w14:paraId="42123E90" w14:textId="77777777" w:rsidR="00FE06FC" w:rsidRPr="00CF5041" w:rsidRDefault="00FE06FC" w:rsidP="00FE06FC">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b) Tỷ lệ khả năng chi trả;</w:t>
      </w:r>
    </w:p>
    <w:p w14:paraId="50F6EB16" w14:textId="1628FC15" w:rsidR="00FE06FC" w:rsidRPr="00CF5041" w:rsidRDefault="00FE06FC" w:rsidP="00FE06FC">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c) Tỷ lệ nguồn vốn ngắn hạn được sử dụng để cho vay trung hạn và dài hạn;</w:t>
      </w:r>
    </w:p>
    <w:p w14:paraId="2BA57D7D" w14:textId="77777777" w:rsidR="00FE06FC" w:rsidRPr="00CF5041" w:rsidRDefault="00FE06FC" w:rsidP="00FE06FC">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d) Hạn chế, giới hạn cho vay;</w:t>
      </w:r>
    </w:p>
    <w:p w14:paraId="06CBFDBA" w14:textId="77777777" w:rsidR="00FE06FC" w:rsidRPr="00CF5041" w:rsidRDefault="00FE06FC" w:rsidP="00FE06FC">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đ) Tỷ lệ tổng mức nhận tiền gửi so với vốn chủ sở hữu;</w:t>
      </w:r>
    </w:p>
    <w:p w14:paraId="348787E4" w14:textId="6118C3A5" w:rsidR="00FE06FC" w:rsidRPr="00CF5041" w:rsidRDefault="00FE06FC" w:rsidP="00FE06FC">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xml:space="preserve">2. Việc </w:t>
      </w:r>
      <w:r w:rsidR="006F2632" w:rsidRPr="00CF5041">
        <w:rPr>
          <w:rFonts w:ascii="Times New Roman" w:eastAsia="Times New Roman" w:hAnsi="Times New Roman" w:cs="Times New Roman"/>
          <w:color w:val="auto"/>
          <w:sz w:val="28"/>
          <w:szCs w:val="28"/>
          <w:shd w:val="clear" w:color="auto" w:fill="FFFFFF"/>
          <w:lang w:val="en-US" w:eastAsia="en-US"/>
        </w:rPr>
        <w:t xml:space="preserve">xử </w:t>
      </w:r>
      <w:r w:rsidRPr="00CF5041">
        <w:rPr>
          <w:rFonts w:ascii="Times New Roman" w:eastAsia="Times New Roman" w:hAnsi="Times New Roman" w:cs="Times New Roman"/>
          <w:color w:val="auto"/>
          <w:sz w:val="28"/>
          <w:szCs w:val="28"/>
          <w:shd w:val="clear" w:color="auto" w:fill="FFFFFF"/>
          <w:lang w:val="en-US" w:eastAsia="en-US"/>
        </w:rPr>
        <w:t>lý trường hợp giá trị thực của vốn điều lệ giảm thấp hơn mức vốn pháp định.</w:t>
      </w:r>
    </w:p>
    <w:p w14:paraId="43F6F3F4" w14:textId="18ED67AE" w:rsidR="004A1E1D" w:rsidRPr="00CF5041" w:rsidRDefault="00FE06FC" w:rsidP="00FE06FC">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xml:space="preserve">3. Căn cứ kết quả giám sát, thanh tra, kiểm tra đối với quỹ tín dụng nhân dân, trong trường hợp cần thiết để bảo đảm an toàn trong hoạt động của quỹ tín </w:t>
      </w:r>
      <w:r w:rsidRPr="00CF5041">
        <w:rPr>
          <w:rFonts w:ascii="Times New Roman" w:eastAsia="Times New Roman" w:hAnsi="Times New Roman" w:cs="Times New Roman"/>
          <w:color w:val="auto"/>
          <w:sz w:val="28"/>
          <w:szCs w:val="28"/>
          <w:shd w:val="clear" w:color="auto" w:fill="FFFFFF"/>
          <w:lang w:val="en-US" w:eastAsia="en-US"/>
        </w:rPr>
        <w:lastRenderedPageBreak/>
        <w:t>dụng nhân dân, tùy theo tính chất, mức độ rủi ro, Ngân hàng Nhà nước chi nhánh Khu vực yêu cầu quỹ tín dụng nhân dân duy trì một hoặc một số hạn chế, giới hạn, tỷ lệ bảo đảm an toàn chặt chẽ hơn so với mức quy định tại Thông tư này.</w:t>
      </w:r>
    </w:p>
    <w:p w14:paraId="425CB94D" w14:textId="534E7598" w:rsidR="004A1E1D" w:rsidRPr="00CF5041" w:rsidRDefault="00954CB2" w:rsidP="00D93948">
      <w:pPr>
        <w:spacing w:before="120" w:after="120"/>
        <w:ind w:firstLine="720"/>
        <w:jc w:val="both"/>
        <w:rPr>
          <w:color w:val="auto"/>
          <w:lang w:val="en-US" w:eastAsia="en-GB"/>
        </w:rPr>
      </w:pPr>
      <w:r w:rsidRPr="00CF5041">
        <w:rPr>
          <w:rFonts w:ascii="Times New Roman" w:eastAsia="Times New Roman" w:hAnsi="Times New Roman" w:cs="Times New Roman"/>
          <w:color w:val="auto"/>
          <w:kern w:val="36"/>
          <w:sz w:val="28"/>
          <w:szCs w:val="28"/>
          <w:lang w:val="en-US" w:eastAsia="en-US"/>
        </w:rPr>
        <w:t>4</w:t>
      </w:r>
      <w:r w:rsidR="004A1E1D" w:rsidRPr="00CF5041">
        <w:rPr>
          <w:rFonts w:ascii="Times New Roman" w:eastAsia="Times New Roman" w:hAnsi="Times New Roman" w:cs="Times New Roman"/>
          <w:color w:val="auto"/>
          <w:kern w:val="36"/>
          <w:sz w:val="28"/>
          <w:szCs w:val="28"/>
          <w:lang w:eastAsia="en-US"/>
        </w:rPr>
        <w:t xml:space="preserve">. </w:t>
      </w:r>
      <w:r w:rsidR="00FE06FC" w:rsidRPr="00CF5041">
        <w:rPr>
          <w:rFonts w:ascii="Times New Roman" w:eastAsia="Times New Roman" w:hAnsi="Times New Roman" w:cs="Times New Roman"/>
          <w:color w:val="auto"/>
          <w:kern w:val="36"/>
          <w:sz w:val="28"/>
          <w:szCs w:val="28"/>
          <w:lang w:eastAsia="en-US"/>
        </w:rPr>
        <w:t>Quỹ tín dụng nhân dân được kiểm soát đặc biệt không phải tuân thủ các hạn chế, giới hạn, tỷ lệ bảo đảm an toàn quy định tại Thông tư này.</w:t>
      </w:r>
      <w:r w:rsidR="004A1E1D" w:rsidRPr="00CF5041">
        <w:rPr>
          <w:color w:val="auto"/>
          <w:lang w:val="en-US" w:eastAsia="en-GB"/>
        </w:rPr>
        <w:tab/>
      </w:r>
    </w:p>
    <w:p w14:paraId="244BF3DD" w14:textId="0E167AAB" w:rsidR="005416A8" w:rsidRPr="00CF5041" w:rsidRDefault="005416A8" w:rsidP="005416A8">
      <w:pPr>
        <w:pStyle w:val="Heading3"/>
        <w:spacing w:before="120" w:after="120" w:line="240" w:lineRule="auto"/>
        <w:ind w:firstLine="720"/>
        <w:rPr>
          <w:b/>
        </w:rPr>
      </w:pPr>
      <w:r w:rsidRPr="00CF5041">
        <w:rPr>
          <w:rFonts w:hint="eastAsia"/>
          <w:b/>
          <w:lang w:val="vi-VN"/>
        </w:rPr>
        <w:t>Đ</w:t>
      </w:r>
      <w:r w:rsidRPr="00CF5041">
        <w:rPr>
          <w:b/>
          <w:lang w:val="vi-VN"/>
        </w:rPr>
        <w:t xml:space="preserve">iều 2. </w:t>
      </w:r>
      <w:r w:rsidR="006F2632" w:rsidRPr="00CF5041">
        <w:rPr>
          <w:rFonts w:hint="eastAsia"/>
          <w:b/>
        </w:rPr>
        <w:t>Đ</w:t>
      </w:r>
      <w:r w:rsidR="006F2632" w:rsidRPr="00CF5041">
        <w:rPr>
          <w:b/>
        </w:rPr>
        <w:t>ối t</w:t>
      </w:r>
      <w:r w:rsidR="006F2632" w:rsidRPr="00CF5041">
        <w:rPr>
          <w:rFonts w:hint="eastAsia"/>
          <w:b/>
        </w:rPr>
        <w:t>ư</w:t>
      </w:r>
      <w:r w:rsidR="006F2632" w:rsidRPr="00CF5041">
        <w:rPr>
          <w:b/>
        </w:rPr>
        <w:t xml:space="preserve">ợng </w:t>
      </w:r>
      <w:r w:rsidR="006F2632" w:rsidRPr="00CF5041">
        <w:rPr>
          <w:rFonts w:hint="eastAsia"/>
          <w:b/>
        </w:rPr>
        <w:t>á</w:t>
      </w:r>
      <w:r w:rsidR="006F2632" w:rsidRPr="00CF5041">
        <w:rPr>
          <w:b/>
        </w:rPr>
        <w:t>p dụng</w:t>
      </w:r>
    </w:p>
    <w:p w14:paraId="5643DB92" w14:textId="4169654D" w:rsidR="005416A8" w:rsidRPr="00CF5041" w:rsidRDefault="005416A8" w:rsidP="005416A8">
      <w:pPr>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1. Quỹ tín dụng nhân dân.</w:t>
      </w:r>
    </w:p>
    <w:p w14:paraId="67BE915F" w14:textId="044B4E4E" w:rsidR="005416A8" w:rsidRPr="00CF5041" w:rsidRDefault="005416A8" w:rsidP="005416A8">
      <w:pPr>
        <w:spacing w:before="120" w:after="120"/>
        <w:ind w:firstLine="720"/>
        <w:jc w:val="both"/>
        <w:rPr>
          <w:color w:val="auto"/>
          <w:lang w:val="en-US" w:eastAsia="en-GB"/>
        </w:rPr>
      </w:pPr>
      <w:r w:rsidRPr="00CF5041">
        <w:rPr>
          <w:rFonts w:ascii="Times New Roman" w:eastAsia="Times New Roman" w:hAnsi="Times New Roman" w:cs="Times New Roman"/>
          <w:color w:val="auto"/>
          <w:sz w:val="28"/>
          <w:szCs w:val="28"/>
          <w:shd w:val="clear" w:color="auto" w:fill="FFFFFF"/>
          <w:lang w:val="en-US" w:eastAsia="en-US"/>
        </w:rPr>
        <w:t>2. Các tổ chức, cá nhân có liên quan đến hoạt động của quỹ tín dụng nhân dân.</w:t>
      </w:r>
    </w:p>
    <w:p w14:paraId="08726F8E" w14:textId="283992DD" w:rsidR="00140E27" w:rsidRPr="00CF5041" w:rsidRDefault="00140E27" w:rsidP="00D93948">
      <w:pPr>
        <w:pStyle w:val="Heading3"/>
        <w:spacing w:before="120" w:after="120" w:line="240" w:lineRule="auto"/>
        <w:ind w:firstLine="720"/>
        <w:rPr>
          <w:b/>
        </w:rPr>
      </w:pPr>
      <w:bookmarkStart w:id="7" w:name="dieu_2"/>
      <w:bookmarkEnd w:id="6"/>
      <w:r w:rsidRPr="00CF5041">
        <w:rPr>
          <w:rFonts w:ascii="Times New Roman" w:hAnsi="Times New Roman" w:hint="eastAsia"/>
          <w:b/>
          <w:lang w:val="vi-VN"/>
        </w:rPr>
        <w:t>Đ</w:t>
      </w:r>
      <w:r w:rsidRPr="00CF5041">
        <w:rPr>
          <w:rFonts w:ascii="Times New Roman" w:hAnsi="Times New Roman"/>
          <w:b/>
          <w:lang w:val="vi-VN"/>
        </w:rPr>
        <w:t xml:space="preserve">iều </w:t>
      </w:r>
      <w:r w:rsidR="005416A8" w:rsidRPr="00CF5041">
        <w:rPr>
          <w:rFonts w:ascii="Times New Roman" w:hAnsi="Times New Roman"/>
          <w:b/>
        </w:rPr>
        <w:t>3</w:t>
      </w:r>
      <w:r w:rsidRPr="00CF5041">
        <w:rPr>
          <w:rFonts w:ascii="Times New Roman" w:hAnsi="Times New Roman"/>
          <w:b/>
          <w:lang w:val="vi-VN"/>
        </w:rPr>
        <w:t>.</w:t>
      </w:r>
      <w:r w:rsidRPr="00CF5041">
        <w:rPr>
          <w:b/>
          <w:lang w:val="vi-VN"/>
        </w:rPr>
        <w:t xml:space="preserve"> </w:t>
      </w:r>
      <w:r w:rsidR="00F97AA3" w:rsidRPr="00CF5041">
        <w:rPr>
          <w:b/>
        </w:rPr>
        <w:t>Giải th</w:t>
      </w:r>
      <w:r w:rsidR="00F97AA3" w:rsidRPr="00CF5041">
        <w:rPr>
          <w:rFonts w:hint="eastAsia"/>
          <w:b/>
        </w:rPr>
        <w:t>í</w:t>
      </w:r>
      <w:r w:rsidR="00F97AA3" w:rsidRPr="00CF5041">
        <w:rPr>
          <w:b/>
        </w:rPr>
        <w:t>ch từ ngữ</w:t>
      </w:r>
    </w:p>
    <w:p w14:paraId="61E55D14" w14:textId="77777777" w:rsidR="00611A67" w:rsidRPr="00CF5041" w:rsidRDefault="00611A67">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Trong Thông tư này, các từ ngữ dưới đây được hiểu như sau:</w:t>
      </w:r>
    </w:p>
    <w:p w14:paraId="2AC6AC7A" w14:textId="3E13FC7E" w:rsidR="0043647F" w:rsidRPr="00CF5041" w:rsidRDefault="00611A67">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xml:space="preserve">1. </w:t>
      </w:r>
      <w:r w:rsidR="00FE06FC" w:rsidRPr="009379B4">
        <w:rPr>
          <w:rFonts w:ascii="Times New Roman" w:eastAsia="Times New Roman" w:hAnsi="Times New Roman" w:cs="Times New Roman"/>
          <w:i/>
          <w:color w:val="auto"/>
          <w:sz w:val="28"/>
          <w:szCs w:val="28"/>
          <w:shd w:val="clear" w:color="auto" w:fill="FFFFFF"/>
          <w:lang w:val="en-US" w:eastAsia="en-US"/>
        </w:rPr>
        <w:t>Khách hàng</w:t>
      </w:r>
      <w:r w:rsidR="00FE06FC" w:rsidRPr="00CF5041">
        <w:rPr>
          <w:rFonts w:ascii="Times New Roman" w:eastAsia="Times New Roman" w:hAnsi="Times New Roman" w:cs="Times New Roman"/>
          <w:color w:val="auto"/>
          <w:sz w:val="28"/>
          <w:szCs w:val="28"/>
          <w:shd w:val="clear" w:color="auto" w:fill="FFFFFF"/>
          <w:lang w:val="en-US" w:eastAsia="en-US"/>
        </w:rPr>
        <w:t xml:space="preserve"> bao gồm</w:t>
      </w:r>
      <w:r w:rsidR="0043647F" w:rsidRPr="00CF5041">
        <w:rPr>
          <w:rFonts w:ascii="Times New Roman" w:eastAsia="Times New Roman" w:hAnsi="Times New Roman" w:cs="Times New Roman"/>
          <w:color w:val="auto"/>
          <w:sz w:val="28"/>
          <w:szCs w:val="28"/>
          <w:shd w:val="clear" w:color="auto" w:fill="FFFFFF"/>
          <w:lang w:val="en-US" w:eastAsia="en-US"/>
        </w:rPr>
        <w:t>:</w:t>
      </w:r>
    </w:p>
    <w:p w14:paraId="086A17AD" w14:textId="1FCA4E35" w:rsidR="0043647F" w:rsidRPr="00CF5041" w:rsidRDefault="0043647F">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a)</w:t>
      </w:r>
      <w:r w:rsidR="00FE06FC" w:rsidRPr="00CF5041">
        <w:rPr>
          <w:rFonts w:ascii="Times New Roman" w:eastAsia="Times New Roman" w:hAnsi="Times New Roman" w:cs="Times New Roman"/>
          <w:color w:val="auto"/>
          <w:sz w:val="28"/>
          <w:szCs w:val="28"/>
          <w:shd w:val="clear" w:color="auto" w:fill="FFFFFF"/>
          <w:lang w:val="en-US" w:eastAsia="en-US"/>
        </w:rPr>
        <w:t xml:space="preserve"> </w:t>
      </w:r>
      <w:r w:rsidRPr="00CF5041">
        <w:rPr>
          <w:rFonts w:ascii="Times New Roman" w:eastAsia="Times New Roman" w:hAnsi="Times New Roman" w:cs="Times New Roman"/>
          <w:color w:val="auto"/>
          <w:sz w:val="28"/>
          <w:szCs w:val="28"/>
          <w:shd w:val="clear" w:color="auto" w:fill="FFFFFF"/>
          <w:lang w:val="en-US" w:eastAsia="en-US"/>
        </w:rPr>
        <w:t xml:space="preserve">Thành </w:t>
      </w:r>
      <w:r w:rsidR="00FE06FC" w:rsidRPr="00CF5041">
        <w:rPr>
          <w:rFonts w:ascii="Times New Roman" w:eastAsia="Times New Roman" w:hAnsi="Times New Roman" w:cs="Times New Roman"/>
          <w:color w:val="auto"/>
          <w:sz w:val="28"/>
          <w:szCs w:val="28"/>
          <w:shd w:val="clear" w:color="auto" w:fill="FFFFFF"/>
          <w:lang w:val="en-US" w:eastAsia="en-US"/>
        </w:rPr>
        <w:t xml:space="preserve">viên của quỹ tín dụng nhân dân; </w:t>
      </w:r>
    </w:p>
    <w:p w14:paraId="15DF87E3" w14:textId="2F271854" w:rsidR="0043647F" w:rsidRPr="00CF5041" w:rsidRDefault="0043647F">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xml:space="preserve">b) Pháp </w:t>
      </w:r>
      <w:r w:rsidR="00FE06FC" w:rsidRPr="00CF5041">
        <w:rPr>
          <w:rFonts w:ascii="Times New Roman" w:eastAsia="Times New Roman" w:hAnsi="Times New Roman" w:cs="Times New Roman"/>
          <w:color w:val="auto"/>
          <w:sz w:val="28"/>
          <w:szCs w:val="28"/>
          <w:shd w:val="clear" w:color="auto" w:fill="FFFFFF"/>
          <w:lang w:val="en-US" w:eastAsia="en-US"/>
        </w:rPr>
        <w:t xml:space="preserve">nhân, cá nhân không phải là thành viên có tiền gửi tại quỹ tín dụng nhân dân; </w:t>
      </w:r>
    </w:p>
    <w:p w14:paraId="6317C04F" w14:textId="38B2F959" w:rsidR="006C6182" w:rsidRPr="00CF5041" w:rsidRDefault="0043647F" w:rsidP="006C6182">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xml:space="preserve">c) Thành </w:t>
      </w:r>
      <w:r w:rsidR="00FE06FC" w:rsidRPr="00CF5041">
        <w:rPr>
          <w:rFonts w:ascii="Times New Roman" w:eastAsia="Times New Roman" w:hAnsi="Times New Roman" w:cs="Times New Roman"/>
          <w:color w:val="auto"/>
          <w:sz w:val="28"/>
          <w:szCs w:val="28"/>
          <w:shd w:val="clear" w:color="auto" w:fill="FFFFFF"/>
          <w:lang w:val="en-US" w:eastAsia="en-US"/>
        </w:rPr>
        <w:t xml:space="preserve">viên của hộ nghèo </w:t>
      </w:r>
      <w:r w:rsidR="006D2851" w:rsidRPr="00CF5041">
        <w:rPr>
          <w:rFonts w:ascii="Times New Roman" w:eastAsia="Times New Roman" w:hAnsi="Times New Roman" w:cs="Times New Roman"/>
          <w:color w:val="auto"/>
          <w:sz w:val="28"/>
          <w:szCs w:val="28"/>
          <w:shd w:val="clear" w:color="auto" w:fill="FFFFFF"/>
          <w:lang w:val="en-US" w:eastAsia="en-US"/>
        </w:rPr>
        <w:t>không phải thành viên của quỹ tín dụng nhân dân có đăng ký thường trú trên địa bàn hoạt động của quỹ tín dụng nhân dân</w:t>
      </w:r>
      <w:r w:rsidR="00FE06FC" w:rsidRPr="00CF5041">
        <w:rPr>
          <w:rFonts w:ascii="Times New Roman" w:eastAsia="Times New Roman" w:hAnsi="Times New Roman" w:cs="Times New Roman"/>
          <w:color w:val="auto"/>
          <w:sz w:val="28"/>
          <w:szCs w:val="28"/>
          <w:shd w:val="clear" w:color="auto" w:fill="FFFFFF"/>
          <w:lang w:val="en-US" w:eastAsia="en-US"/>
        </w:rPr>
        <w:t>.</w:t>
      </w:r>
    </w:p>
    <w:p w14:paraId="6451033B" w14:textId="258F5E17" w:rsidR="00611A67" w:rsidRPr="00CF5041" w:rsidRDefault="00611A67">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xml:space="preserve">2. </w:t>
      </w:r>
      <w:r w:rsidR="00FE06FC" w:rsidRPr="009379B4">
        <w:rPr>
          <w:rFonts w:ascii="Times New Roman" w:eastAsia="Times New Roman" w:hAnsi="Times New Roman" w:cs="Times New Roman"/>
          <w:i/>
          <w:color w:val="auto"/>
          <w:sz w:val="28"/>
          <w:szCs w:val="28"/>
          <w:shd w:val="clear" w:color="auto" w:fill="FFFFFF"/>
          <w:lang w:val="en-US" w:eastAsia="en-US"/>
        </w:rPr>
        <w:t>Tổ chức tín dụng, chi nhánh ngân hàng nước ngoài</w:t>
      </w:r>
      <w:r w:rsidR="00FE06FC" w:rsidRPr="00CF5041">
        <w:rPr>
          <w:rFonts w:ascii="Times New Roman" w:eastAsia="Times New Roman" w:hAnsi="Times New Roman" w:cs="Times New Roman"/>
          <w:color w:val="auto"/>
          <w:sz w:val="28"/>
          <w:szCs w:val="28"/>
          <w:shd w:val="clear" w:color="auto" w:fill="FFFFFF"/>
          <w:lang w:val="en-US" w:eastAsia="en-US"/>
        </w:rPr>
        <w:t xml:space="preserve"> là tổ chức tín dụng, chi nhánh ngân hàng nước ngoài được thành lập và hoạt động tại Việt Nam theo quy định của pháp luật Việt Nam.</w:t>
      </w:r>
    </w:p>
    <w:p w14:paraId="04833202" w14:textId="367C428D" w:rsidR="008E69B4" w:rsidRPr="00CF5041" w:rsidRDefault="00FE06FC">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xml:space="preserve">3. </w:t>
      </w:r>
      <w:r w:rsidRPr="009379B4">
        <w:rPr>
          <w:rFonts w:ascii="Times New Roman" w:eastAsia="Times New Roman" w:hAnsi="Times New Roman" w:cs="Times New Roman"/>
          <w:i/>
          <w:color w:val="auto"/>
          <w:sz w:val="28"/>
          <w:szCs w:val="28"/>
          <w:shd w:val="clear" w:color="auto" w:fill="FFFFFF"/>
          <w:lang w:val="en-US" w:eastAsia="en-US"/>
        </w:rPr>
        <w:t>Tổ chức tài chính</w:t>
      </w:r>
      <w:r w:rsidRPr="00CF5041">
        <w:rPr>
          <w:rFonts w:ascii="Times New Roman" w:eastAsia="Times New Roman" w:hAnsi="Times New Roman" w:cs="Times New Roman"/>
          <w:color w:val="auto"/>
          <w:sz w:val="28"/>
          <w:szCs w:val="28"/>
          <w:shd w:val="clear" w:color="auto" w:fill="FFFFFF"/>
          <w:lang w:val="en-US" w:eastAsia="en-US"/>
        </w:rPr>
        <w:t xml:space="preserve"> </w:t>
      </w:r>
      <w:r w:rsidR="008E69B4" w:rsidRPr="00CF5041">
        <w:rPr>
          <w:rFonts w:ascii="Times New Roman" w:eastAsia="Times New Roman" w:hAnsi="Times New Roman" w:cs="Times New Roman"/>
          <w:color w:val="auto"/>
          <w:sz w:val="28"/>
          <w:szCs w:val="28"/>
          <w:shd w:val="clear" w:color="auto" w:fill="FFFFFF"/>
          <w:lang w:val="en-US" w:eastAsia="en-US"/>
        </w:rPr>
        <w:t>bao gồm:</w:t>
      </w:r>
    </w:p>
    <w:p w14:paraId="0CD64F2A" w14:textId="77777777" w:rsidR="008E69B4" w:rsidRPr="00CF5041" w:rsidRDefault="008E69B4" w:rsidP="008E69B4">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a) Tổ chức được cấp giấy phép thành lập và hoạt động theo quy định pháp luật về ngân hàng, bảo hiểm, chứng khoán tại Việt Nam;</w:t>
      </w:r>
    </w:p>
    <w:p w14:paraId="123858E0" w14:textId="14A7B93B" w:rsidR="008E69B4" w:rsidRPr="00CF5041" w:rsidRDefault="008E69B4" w:rsidP="008E69B4">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b) Tổ chức khác, trừ các tổ chức quy định tại điểm a khoản này được cấp giấy phép thực hiện một hoặc một số hoạt động sau đây: Nhận tiền gửi; cho vay; cho thuê tài chính; dịch vụ thanh toán; phát hành công cụ chuyển nhượng, thẻ tín dụng, thẻ ghi nợ, lệnh chuyển tiền, tiền điện tử; bảo lãnh ngân hàng và cam kết tài chính; cung ứng dịch vụ ngoại hối, các công cụ tiền tệ trên thị trường tiền tệ; tư vấn, bảo lãnh phát hành chứng khoán, đại lý phân phối chứng khoán; quản lý danh mục vốn đầu tư; quản lý tiền mặt hoặc chứng khoán cho tổ chức, cá nhân khác; cung ứng dịch vụ bảo hiểm; hoạt động đầu tư có liên quan đến bảo hiểm nhân thọ; đổi tiền.</w:t>
      </w:r>
    </w:p>
    <w:p w14:paraId="7AC63517" w14:textId="25F769D1" w:rsidR="00FE06FC" w:rsidRPr="00CF5041" w:rsidRDefault="00FE06FC">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xml:space="preserve">4. </w:t>
      </w:r>
      <w:r w:rsidRPr="009379B4">
        <w:rPr>
          <w:rFonts w:ascii="Times New Roman" w:eastAsia="Times New Roman" w:hAnsi="Times New Roman" w:cs="Times New Roman"/>
          <w:i/>
          <w:color w:val="auto"/>
          <w:sz w:val="28"/>
          <w:szCs w:val="28"/>
          <w:shd w:val="clear" w:color="auto" w:fill="FFFFFF"/>
          <w:lang w:val="en-US" w:eastAsia="en-US"/>
        </w:rPr>
        <w:t>Tổ chức tài chính nhà nước</w:t>
      </w:r>
      <w:r w:rsidRPr="00CF5041">
        <w:rPr>
          <w:rFonts w:ascii="Times New Roman" w:eastAsia="Times New Roman" w:hAnsi="Times New Roman" w:cs="Times New Roman"/>
          <w:color w:val="auto"/>
          <w:sz w:val="28"/>
          <w:szCs w:val="28"/>
          <w:shd w:val="clear" w:color="auto" w:fill="FFFFFF"/>
          <w:lang w:val="en-US" w:eastAsia="en-US"/>
        </w:rPr>
        <w:t xml:space="preserve"> là tổ chức tài chính quy định tại khoản </w:t>
      </w:r>
      <w:r w:rsidR="005A5627" w:rsidRPr="00CF5041">
        <w:rPr>
          <w:rFonts w:ascii="Times New Roman" w:eastAsia="Times New Roman" w:hAnsi="Times New Roman" w:cs="Times New Roman"/>
          <w:color w:val="auto"/>
          <w:sz w:val="28"/>
          <w:szCs w:val="28"/>
          <w:shd w:val="clear" w:color="auto" w:fill="FFFFFF"/>
          <w:lang w:val="en-US" w:eastAsia="en-US"/>
        </w:rPr>
        <w:t>3</w:t>
      </w:r>
      <w:r w:rsidR="006F2632" w:rsidRPr="00CF5041">
        <w:rPr>
          <w:rFonts w:ascii="Times New Roman" w:eastAsia="Times New Roman" w:hAnsi="Times New Roman" w:cs="Times New Roman"/>
          <w:color w:val="auto"/>
          <w:sz w:val="28"/>
          <w:szCs w:val="28"/>
          <w:shd w:val="clear" w:color="auto" w:fill="FFFFFF"/>
          <w:lang w:val="en-US" w:eastAsia="en-US"/>
        </w:rPr>
        <w:t xml:space="preserve"> </w:t>
      </w:r>
      <w:r w:rsidRPr="00CF5041">
        <w:rPr>
          <w:rFonts w:ascii="Times New Roman" w:eastAsia="Times New Roman" w:hAnsi="Times New Roman" w:cs="Times New Roman"/>
          <w:color w:val="auto"/>
          <w:sz w:val="28"/>
          <w:szCs w:val="28"/>
          <w:shd w:val="clear" w:color="auto" w:fill="FFFFFF"/>
          <w:lang w:val="en-US" w:eastAsia="en-US"/>
        </w:rPr>
        <w:t>Điều này do Nhà nước nắm giữ trên 50% vốn điều lệ, tổng số cổ phần có quyền biểu quyết.</w:t>
      </w:r>
    </w:p>
    <w:p w14:paraId="458CB56E" w14:textId="530A4C40" w:rsidR="00140E27" w:rsidRPr="00CF5041" w:rsidRDefault="00140E27" w:rsidP="00D93948">
      <w:pPr>
        <w:pStyle w:val="Heading3"/>
        <w:spacing w:before="120" w:after="120" w:line="240" w:lineRule="auto"/>
        <w:ind w:firstLine="720"/>
        <w:rPr>
          <w:b/>
        </w:rPr>
      </w:pPr>
      <w:bookmarkStart w:id="8" w:name="dieu_3"/>
      <w:bookmarkEnd w:id="7"/>
      <w:r w:rsidRPr="00CF5041">
        <w:rPr>
          <w:rFonts w:hint="eastAsia"/>
          <w:b/>
          <w:lang w:val="vi-VN"/>
        </w:rPr>
        <w:t>Đ</w:t>
      </w:r>
      <w:r w:rsidR="00E05F67" w:rsidRPr="00CF5041">
        <w:rPr>
          <w:b/>
          <w:lang w:val="vi-VN"/>
        </w:rPr>
        <w:t>iều 4</w:t>
      </w:r>
      <w:r w:rsidRPr="00CF5041">
        <w:rPr>
          <w:b/>
          <w:lang w:val="vi-VN"/>
        </w:rPr>
        <w:t xml:space="preserve">. </w:t>
      </w:r>
      <w:r w:rsidR="00F97AA3" w:rsidRPr="00CF5041">
        <w:rPr>
          <w:b/>
        </w:rPr>
        <w:t>Hệ thống c</w:t>
      </w:r>
      <w:r w:rsidR="00F97AA3" w:rsidRPr="00CF5041">
        <w:rPr>
          <w:rFonts w:hint="eastAsia"/>
          <w:b/>
        </w:rPr>
        <w:t>ô</w:t>
      </w:r>
      <w:r w:rsidR="00F97AA3" w:rsidRPr="00CF5041">
        <w:rPr>
          <w:b/>
        </w:rPr>
        <w:t>ng nghệ th</w:t>
      </w:r>
      <w:r w:rsidR="00F97AA3" w:rsidRPr="00CF5041">
        <w:rPr>
          <w:rFonts w:hint="eastAsia"/>
          <w:b/>
        </w:rPr>
        <w:t>ô</w:t>
      </w:r>
      <w:r w:rsidR="00F97AA3" w:rsidRPr="00CF5041">
        <w:rPr>
          <w:b/>
        </w:rPr>
        <w:t>ng tin</w:t>
      </w:r>
    </w:p>
    <w:p w14:paraId="15B0B227" w14:textId="77777777" w:rsidR="00FE06FC" w:rsidRPr="00CF5041" w:rsidRDefault="00FE06FC" w:rsidP="00FE06FC">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Quỹ tín dụng nhân dân phải có hệ thống công nghệ thông tin để thực hiện các quy định tại Thông tư này, đảm bảo các yêu cầu tối thiểu sau:</w:t>
      </w:r>
    </w:p>
    <w:p w14:paraId="36AF4468" w14:textId="77777777" w:rsidR="00FE06FC" w:rsidRPr="00CF5041" w:rsidRDefault="00FE06FC" w:rsidP="00FE06FC">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lastRenderedPageBreak/>
        <w:t>1. Lưu giữ, truy cập, bổ sung cơ sở dữ liệu về khách hàng, bảo đảm quản lý rủi ro theo quy định của Ngân hàng Nhà nước và quy định nội bộ của quỹ tín dụng nhân dân.</w:t>
      </w:r>
    </w:p>
    <w:p w14:paraId="7E5AA591" w14:textId="7CE01322" w:rsidR="00D86FF7" w:rsidRPr="00CF5041" w:rsidRDefault="00FE06FC" w:rsidP="00FE06FC">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2. Thống kê, theo dõi các khoản mục vốn, tài sản, nợ phải trả; tính toán, quản lý, giám sát các hạn chế, giới hạn, tỷ lệ bảo đảm an toàn trong hoạt động tại Thông tư này.</w:t>
      </w:r>
    </w:p>
    <w:p w14:paraId="7D21A5DD" w14:textId="2962E47A" w:rsidR="006D712F" w:rsidRPr="00CF5041" w:rsidRDefault="00D86FF7">
      <w:pPr>
        <w:widowControl/>
        <w:shd w:val="clear" w:color="auto" w:fill="FFFFFF"/>
        <w:spacing w:before="120" w:after="120"/>
        <w:ind w:firstLine="720"/>
        <w:jc w:val="both"/>
        <w:rPr>
          <w:color w:val="auto"/>
          <w:lang w:val="en-US" w:eastAsia="en-GB"/>
        </w:rPr>
      </w:pPr>
      <w:r w:rsidRPr="00CF5041">
        <w:rPr>
          <w:rFonts w:ascii="Times New Roman" w:eastAsia="Times New Roman" w:hAnsi="Times New Roman" w:cs="Times New Roman"/>
          <w:color w:val="auto"/>
          <w:sz w:val="28"/>
          <w:szCs w:val="28"/>
          <w:shd w:val="clear" w:color="auto" w:fill="FFFFFF"/>
          <w:lang w:val="en-US" w:eastAsia="en-US"/>
        </w:rPr>
        <w:t xml:space="preserve">3. </w:t>
      </w:r>
      <w:r w:rsidR="00FE06FC" w:rsidRPr="00CF5041">
        <w:rPr>
          <w:rFonts w:ascii="Times New Roman" w:eastAsia="Times New Roman" w:hAnsi="Times New Roman" w:cs="Times New Roman"/>
          <w:color w:val="auto"/>
          <w:sz w:val="28"/>
          <w:szCs w:val="28"/>
          <w:shd w:val="clear" w:color="auto" w:fill="FFFFFF"/>
          <w:lang w:val="en-US" w:eastAsia="en-US"/>
        </w:rPr>
        <w:t>Đảm bảo việc thực hiện chế độ thông tin báo cáo thống kê theo quy định của Ngân hàng Nhà nước, yêu cầu của Ngân hàng Nhà nước chi nhánh Khu vực</w:t>
      </w:r>
      <w:r w:rsidR="003C5EFD" w:rsidRPr="00CF5041">
        <w:rPr>
          <w:rFonts w:ascii="Times New Roman" w:eastAsia="Times New Roman" w:hAnsi="Times New Roman" w:cs="Times New Roman"/>
          <w:color w:val="auto"/>
          <w:sz w:val="28"/>
          <w:szCs w:val="28"/>
          <w:shd w:val="clear" w:color="auto" w:fill="FFFFFF"/>
          <w:lang w:val="en-US" w:eastAsia="en-US"/>
        </w:rPr>
        <w:t>.</w:t>
      </w:r>
    </w:p>
    <w:bookmarkEnd w:id="8"/>
    <w:p w14:paraId="48029CA6" w14:textId="4D1B0139" w:rsidR="00140E27" w:rsidRPr="00CF5041" w:rsidRDefault="00140E27" w:rsidP="00D93948">
      <w:pPr>
        <w:pStyle w:val="Heading3"/>
        <w:spacing w:before="120" w:after="120" w:line="240" w:lineRule="auto"/>
        <w:ind w:firstLine="720"/>
      </w:pPr>
      <w:r w:rsidRPr="00CF5041">
        <w:rPr>
          <w:rFonts w:hint="eastAsia"/>
          <w:b/>
        </w:rPr>
        <w:t>Đ</w:t>
      </w:r>
      <w:r w:rsidRPr="00CF5041">
        <w:rPr>
          <w:b/>
        </w:rPr>
        <w:t xml:space="preserve">iều </w:t>
      </w:r>
      <w:r w:rsidR="00001151" w:rsidRPr="00CF5041">
        <w:rPr>
          <w:b/>
        </w:rPr>
        <w:t>5</w:t>
      </w:r>
      <w:r w:rsidRPr="00CF5041">
        <w:rPr>
          <w:b/>
        </w:rPr>
        <w:t xml:space="preserve">. </w:t>
      </w:r>
      <w:r w:rsidR="00F97AA3" w:rsidRPr="00CF5041">
        <w:rPr>
          <w:b/>
        </w:rPr>
        <w:t xml:space="preserve">Quy </w:t>
      </w:r>
      <w:r w:rsidR="00F97AA3" w:rsidRPr="00CF5041">
        <w:rPr>
          <w:rFonts w:hint="eastAsia"/>
          <w:b/>
        </w:rPr>
        <w:t>đ</w:t>
      </w:r>
      <w:r w:rsidR="00F97AA3" w:rsidRPr="00CF5041">
        <w:rPr>
          <w:b/>
        </w:rPr>
        <w:t>ịnh nội bộ</w:t>
      </w:r>
      <w:r w:rsidR="00A97560" w:rsidRPr="00CF5041">
        <w:t xml:space="preserve"> </w:t>
      </w:r>
      <w:r w:rsidR="00BF414A" w:rsidRPr="00CF5041">
        <w:tab/>
      </w:r>
    </w:p>
    <w:p w14:paraId="7B039EB6" w14:textId="1C3FEF57" w:rsidR="00D86FF7" w:rsidRPr="00CF5041" w:rsidRDefault="00027DB3">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1. Quỹ tín dụng nhân dân phải có quy định nội bộ về quản lý tỷ lệ an toàn vốn, quản lý thanh khoản (tỷ lệ khả năng chi trả, tỷ lệ nguồn vốn ngắn hạn được sử dụng để cho vay trung hạn và dài hạn, tỷ lệ tổng mức nhận tiền gửi so với vốn chủ sở hữu) theo quy định tại Thông tư này và pháp luật có liên quan. Các văn bản quy định nội bộ và các văn bản sửa đổi, bổ sung quy định nội bộ phải do Hội đồng quản trị quỹ tín dụng nhân dân ban hành.</w:t>
      </w:r>
    </w:p>
    <w:p w14:paraId="61553AEE" w14:textId="77777777" w:rsidR="00027DB3" w:rsidRPr="00CF5041" w:rsidRDefault="00027DB3" w:rsidP="00027DB3">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2. Quy định nội bộ về quản lý tỷ lệ an toàn vốn, trong đó tối thiểu bao gồm các nội dung sau:</w:t>
      </w:r>
    </w:p>
    <w:p w14:paraId="1DC29F38" w14:textId="77777777" w:rsidR="00027DB3" w:rsidRPr="00CF5041" w:rsidRDefault="00027DB3" w:rsidP="00027DB3">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a) Quy định về cơ cấu tổ chức, phân cấp, ủy quyền, chức năng, nhiệm vụ của các cá nhân, bộ phận liên quan trong việc theo dõi và thực hiện các biện pháp để đảm bảo duy trì tỷ lệ an toàn vốn tối thiểu;</w:t>
      </w:r>
    </w:p>
    <w:p w14:paraId="4E62EA41" w14:textId="77777777" w:rsidR="00027DB3" w:rsidRPr="00CF5041" w:rsidRDefault="00027DB3" w:rsidP="00027DB3">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b) Quy trình, phương pháp theo dõi tỷ lệ an toàn vốn;</w:t>
      </w:r>
    </w:p>
    <w:p w14:paraId="43C1A152" w14:textId="1A43D7B4" w:rsidR="00027DB3" w:rsidRPr="00CF5041" w:rsidRDefault="00027DB3" w:rsidP="00027DB3">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c) Phương pháp cảnh báo sớm các nguy cơ làm giảm</w:t>
      </w:r>
      <w:r w:rsidR="0086162A" w:rsidRPr="00CF5041">
        <w:rPr>
          <w:rFonts w:ascii="Times New Roman" w:eastAsia="Times New Roman" w:hAnsi="Times New Roman" w:cs="Times New Roman"/>
          <w:color w:val="auto"/>
          <w:sz w:val="28"/>
          <w:szCs w:val="28"/>
          <w:shd w:val="clear" w:color="auto" w:fill="FFFFFF"/>
          <w:lang w:val="en-US" w:eastAsia="en-US"/>
        </w:rPr>
        <w:t xml:space="preserve"> tỷ lệ an toàn vốn</w:t>
      </w:r>
      <w:r w:rsidRPr="00CF5041">
        <w:rPr>
          <w:rFonts w:ascii="Times New Roman" w:eastAsia="Times New Roman" w:hAnsi="Times New Roman" w:cs="Times New Roman"/>
          <w:color w:val="auto"/>
          <w:sz w:val="28"/>
          <w:szCs w:val="28"/>
          <w:shd w:val="clear" w:color="auto" w:fill="FFFFFF"/>
          <w:lang w:val="en-US" w:eastAsia="en-US"/>
        </w:rPr>
        <w:t xml:space="preserve"> hoặc vi phạm tỷ lệ an toàn vốn</w:t>
      </w:r>
      <w:r w:rsidR="0086162A" w:rsidRPr="00CF5041">
        <w:rPr>
          <w:rFonts w:ascii="Times New Roman" w:eastAsia="Times New Roman" w:hAnsi="Times New Roman" w:cs="Times New Roman"/>
          <w:color w:val="auto"/>
          <w:sz w:val="28"/>
          <w:szCs w:val="28"/>
          <w:shd w:val="clear" w:color="auto" w:fill="FFFFFF"/>
          <w:lang w:val="en-US" w:eastAsia="en-US"/>
        </w:rPr>
        <w:t xml:space="preserve"> tối thiểu</w:t>
      </w:r>
      <w:r w:rsidRPr="00CF5041">
        <w:rPr>
          <w:rFonts w:ascii="Times New Roman" w:eastAsia="Times New Roman" w:hAnsi="Times New Roman" w:cs="Times New Roman"/>
          <w:color w:val="auto"/>
          <w:sz w:val="28"/>
          <w:szCs w:val="28"/>
          <w:shd w:val="clear" w:color="auto" w:fill="FFFFFF"/>
          <w:lang w:val="en-US" w:eastAsia="en-US"/>
        </w:rPr>
        <w:t>;</w:t>
      </w:r>
    </w:p>
    <w:p w14:paraId="76569B3B" w14:textId="77777777" w:rsidR="00027DB3" w:rsidRPr="00CF5041" w:rsidRDefault="00027DB3" w:rsidP="00027DB3">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d) Phương án xử lý khi tỷ lệ an toàn vốn thấp hơn mức tối thiểu, ít nhất gồm: các biện pháp tăng tỷ lệ an toàn vốn; trách nhiệm, quyền hạn và sự phối hợp của các bộ phận, cá nhân trong việc thực hiện phương án xử lý.</w:t>
      </w:r>
    </w:p>
    <w:p w14:paraId="0FCD1170" w14:textId="2DC0C04F" w:rsidR="00D86FF7" w:rsidRPr="00CF5041" w:rsidRDefault="00027DB3" w:rsidP="00027DB3">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e) Hướng dẫn, kiểm tra, kiểm soát, kiểm toán nội bộ đối với việc duy trì tỷ lệ an toàn vốn tối thiểu.</w:t>
      </w:r>
    </w:p>
    <w:p w14:paraId="62BE7562" w14:textId="77777777" w:rsidR="00027DB3" w:rsidRPr="00CF5041" w:rsidRDefault="00027DB3" w:rsidP="00027DB3">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3. Quy định nội bộ về quản lý thanh khoản, trong đó tối thiểu gồm các nội dung sau:</w:t>
      </w:r>
    </w:p>
    <w:p w14:paraId="3FAA1DC6" w14:textId="5BCDB0C0" w:rsidR="00027DB3" w:rsidRPr="00CF5041" w:rsidRDefault="00027DB3" w:rsidP="00027DB3">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a) Quy định về cơ cấu tổ chức, phân cấp, ủy quyền, chức năng, nhiệm vụ của các cá nhân, bộ phận liên quan trong việc theo dõi và thực hiện các biện pháp để đảm bảo duy trì tỷ lệ khả năng chi trả, tỷ lệ nguồn vốn ngắn hạn được sử dụng để cho vay trung hạn và dài hạn, tỷ lệ tổng mức nhận tiền gửi so với vốn chủ sở hữu;</w:t>
      </w:r>
    </w:p>
    <w:p w14:paraId="7C45015A" w14:textId="7D028EE9" w:rsidR="00027DB3" w:rsidRPr="00CF5041" w:rsidRDefault="00027DB3" w:rsidP="00027DB3">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b) Quy trình, thủ tục, các giới hạn quản lý thanh khoản để đảm bảo duy trì tỷ lệ khả năng chi trả, tỷ lệ nguồn vốn ngắn hạn được sử dụng để cho vay trung hạn và dài hạn, tỷ lệ tổng mức nhận tiền gửi so với vốn chủ sở hữu;</w:t>
      </w:r>
    </w:p>
    <w:p w14:paraId="7E51E462" w14:textId="77777777" w:rsidR="00027DB3" w:rsidRPr="00CF5041" w:rsidRDefault="00027DB3" w:rsidP="00027DB3">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c) Quy định về quản lý ngân quỹ, thu, chi, nguồn vốn hằng ngày;</w:t>
      </w:r>
    </w:p>
    <w:p w14:paraId="26B38C33" w14:textId="77777777" w:rsidR="00027DB3" w:rsidRPr="00CF5041" w:rsidRDefault="00027DB3" w:rsidP="00027DB3">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lastRenderedPageBreak/>
        <w:t>d) Phương pháp cảnh báo sớm về rủi ro thiếu hụt khả năng chi trả, thanh khoản;</w:t>
      </w:r>
    </w:p>
    <w:p w14:paraId="51163919" w14:textId="663186B0" w:rsidR="00027DB3" w:rsidRPr="00CF5041" w:rsidRDefault="00027DB3" w:rsidP="00027DB3">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đ) Có phương án dự phòng để đảm bảo duy trì tỷ lệ khả năng chi trả, tỷ lệ nguồn vốn ngắn hạn được sử dụng để cho vay trung hạn và dài hạn, tỷ lệ tổng mức nhận tiền gửi so với vốn chủ sở hữu; Có phương án xử lý trong trường hợp thiếu hụt khả năng chi trả, thanh khoản; Có giải pháp duy trì Tài sản “Có” có thể thanh toán ngay;</w:t>
      </w:r>
    </w:p>
    <w:p w14:paraId="008DA3AC" w14:textId="15090C7F" w:rsidR="00D86FF7" w:rsidRPr="00CF5041" w:rsidRDefault="00027DB3" w:rsidP="00027DB3">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e) Hướng dẫn, kiểm tra, kiểm soát, kiểm toán nội bộ đối với việc duy trì tỷ lệ khả năng chi trả, tỷ lệ nguồn vốn ngắn hạn được sử dụng cho vay trung và dài hạn, tỷ lệ tổng mức tiền gửi so với vốn chủ sở hữu.</w:t>
      </w:r>
    </w:p>
    <w:p w14:paraId="08340E09" w14:textId="77777777" w:rsidR="00027DB3" w:rsidRPr="00CF5041" w:rsidRDefault="00027DB3" w:rsidP="00027DB3">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4. Quy định nội bộ về cho vay, quản lý khoản cho vay theo quy định tại Thông tư này và các văn bản có liên quan, trong đó tối thiểu phải có nội dung sau:</w:t>
      </w:r>
    </w:p>
    <w:p w14:paraId="06F9A3BE" w14:textId="77777777" w:rsidR="006C6182" w:rsidRPr="00CF5041" w:rsidRDefault="00027DB3" w:rsidP="00027DB3">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a) Tiêu chí xác định khách hàng, người có liên quan với khách hàng của quỹ tín dụng nhân dân bao gồm</w:t>
      </w:r>
      <w:r w:rsidR="006C6182" w:rsidRPr="00CF5041">
        <w:rPr>
          <w:rFonts w:ascii="Times New Roman" w:eastAsia="Times New Roman" w:hAnsi="Times New Roman" w:cs="Times New Roman"/>
          <w:color w:val="auto"/>
          <w:sz w:val="28"/>
          <w:szCs w:val="28"/>
          <w:shd w:val="clear" w:color="auto" w:fill="FFFFFF"/>
          <w:lang w:val="en-US" w:eastAsia="en-US"/>
        </w:rPr>
        <w:t>:</w:t>
      </w:r>
    </w:p>
    <w:p w14:paraId="7BA8609E" w14:textId="31F54A7D" w:rsidR="006C6182" w:rsidRPr="00CF5041" w:rsidRDefault="006C6182" w:rsidP="00027DB3">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(i)</w:t>
      </w:r>
      <w:r w:rsidR="00027DB3" w:rsidRPr="00CF5041">
        <w:rPr>
          <w:rFonts w:ascii="Times New Roman" w:eastAsia="Times New Roman" w:hAnsi="Times New Roman" w:cs="Times New Roman"/>
          <w:color w:val="auto"/>
          <w:sz w:val="28"/>
          <w:szCs w:val="28"/>
          <w:shd w:val="clear" w:color="auto" w:fill="FFFFFF"/>
          <w:lang w:val="en-US" w:eastAsia="en-US"/>
        </w:rPr>
        <w:t xml:space="preserve"> </w:t>
      </w:r>
      <w:r w:rsidRPr="00CF5041">
        <w:rPr>
          <w:rFonts w:ascii="Times New Roman" w:eastAsia="Times New Roman" w:hAnsi="Times New Roman" w:cs="Times New Roman"/>
          <w:color w:val="auto"/>
          <w:sz w:val="28"/>
          <w:szCs w:val="28"/>
          <w:shd w:val="clear" w:color="auto" w:fill="FFFFFF"/>
          <w:lang w:val="en-US" w:eastAsia="en-US"/>
        </w:rPr>
        <w:t xml:space="preserve">Các trường </w:t>
      </w:r>
      <w:r w:rsidR="00027DB3" w:rsidRPr="00CF5041">
        <w:rPr>
          <w:rFonts w:ascii="Times New Roman" w:eastAsia="Times New Roman" w:hAnsi="Times New Roman" w:cs="Times New Roman"/>
          <w:color w:val="auto"/>
          <w:sz w:val="28"/>
          <w:szCs w:val="28"/>
          <w:shd w:val="clear" w:color="auto" w:fill="FFFFFF"/>
          <w:lang w:val="en-US" w:eastAsia="en-US"/>
        </w:rPr>
        <w:t xml:space="preserve">hợp quy định tại các điểm b, c, đ và g khoản 24 Điều 4 Luật Các tổ chức tín dụng; </w:t>
      </w:r>
    </w:p>
    <w:p w14:paraId="29D001E0" w14:textId="2A37745D" w:rsidR="006C6182" w:rsidRPr="00CF5041" w:rsidRDefault="006C6182" w:rsidP="00027DB3">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xml:space="preserve">(ii) Khách </w:t>
      </w:r>
      <w:r w:rsidR="00027DB3" w:rsidRPr="00CF5041">
        <w:rPr>
          <w:rFonts w:ascii="Times New Roman" w:eastAsia="Times New Roman" w:hAnsi="Times New Roman" w:cs="Times New Roman"/>
          <w:color w:val="auto"/>
          <w:sz w:val="28"/>
          <w:szCs w:val="28"/>
          <w:shd w:val="clear" w:color="auto" w:fill="FFFFFF"/>
          <w:lang w:val="en-US" w:eastAsia="en-US"/>
        </w:rPr>
        <w:t>hàng cá nhân với vợ, chồng; cha mẹ đẻ, cha mẹ nuôi, cha dượng, mẹ kế, cha mẹ vợ, cha mẹ chồng; con đẻ, con nuôi, con riêng của vợ hoặc chồng, con dâu, con rể; anh, chị, em cùng cha mẹ; anh, chị, em cùng cha khác mẹ; anh, chị, em cùng mẹ khác cha; anh vợ, chị vợ, em vợ, anh chồng, chị chồng, em chồng, anh rể, em rể, chị dâu, em dâu của người cùng cha mẹ hoặc cùng cha khác mẹ, cùng mẹ khác cha của khách hàng đó;</w:t>
      </w:r>
    </w:p>
    <w:p w14:paraId="5501B96A" w14:textId="77777777" w:rsidR="00027DB3" w:rsidRPr="00CF5041" w:rsidRDefault="00027DB3" w:rsidP="00027DB3">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b) Các hạn chế, giới hạn cho vay áp dụng đối với khách hàng, khách hàng và người có liên quan, cơ chế, nguyên tắc phân cấp, ủy quyền cho vay đối với khách hàng, khách hàng và người có liên quan;</w:t>
      </w:r>
    </w:p>
    <w:p w14:paraId="3E32EDFA" w14:textId="77777777" w:rsidR="00027DB3" w:rsidRPr="00CF5041" w:rsidRDefault="00027DB3" w:rsidP="00027DB3">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c) Giới hạn cho vay tối đa trong tổng dư nợ cho vay đối với từng loại khách hàng là thành viên, khách hàng không phải là thành viên và khách hàng là thành viên của hộ nghèo của quỹ tín dụng nhân dân;</w:t>
      </w:r>
    </w:p>
    <w:p w14:paraId="42E05AD3" w14:textId="77777777" w:rsidR="00027DB3" w:rsidRPr="00CF5041" w:rsidRDefault="00027DB3" w:rsidP="00027DB3">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d) Quy trình theo dõi đối với các khoản cho vay vượt quá 5% vốn tự có của quỹ tín dụng nhân dân;</w:t>
      </w:r>
    </w:p>
    <w:p w14:paraId="7EB9549B" w14:textId="340923AD" w:rsidR="00D86FF7" w:rsidRPr="00CF5041" w:rsidRDefault="00027DB3" w:rsidP="00027DB3">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đ) Quy định về việc báo cáo Ngân hàng Nhà nước chi nhánh Khu vực, Đại hội thành viên đối với các khoản cho vay thuộc đối tượng quy định tại khoản 1 Điều 135 Luật Các tổ chức tín dụng</w:t>
      </w:r>
      <w:r w:rsidR="00D86FF7" w:rsidRPr="00CF5041">
        <w:rPr>
          <w:rFonts w:ascii="Times New Roman" w:eastAsia="Times New Roman" w:hAnsi="Times New Roman" w:cs="Times New Roman"/>
          <w:color w:val="auto"/>
          <w:sz w:val="28"/>
          <w:szCs w:val="28"/>
          <w:shd w:val="clear" w:color="auto" w:fill="FFFFFF"/>
          <w:lang w:val="en-US" w:eastAsia="en-US"/>
        </w:rPr>
        <w:t>.</w:t>
      </w:r>
    </w:p>
    <w:p w14:paraId="26EFCBED" w14:textId="7C7D76AA" w:rsidR="00D86FF7" w:rsidRPr="00CF5041" w:rsidRDefault="00027DB3">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5. Định kỳ ít nhất 01 (một) năm một lần và khi cần thiết, quỹ tín dụng nhân dân phải rà soát, đánh giá lại, sửa đổi, bổ sung các quy định nội bộ cho phù hợp với yêu cầu bảo đảm an toàn trong hoạt động của quỹ tín dụng nhân dân</w:t>
      </w:r>
      <w:r w:rsidR="00D86FF7" w:rsidRPr="00CF5041">
        <w:rPr>
          <w:rFonts w:ascii="Times New Roman" w:eastAsia="Times New Roman" w:hAnsi="Times New Roman" w:cs="Times New Roman"/>
          <w:color w:val="auto"/>
          <w:sz w:val="28"/>
          <w:szCs w:val="28"/>
          <w:shd w:val="clear" w:color="auto" w:fill="FFFFFF"/>
          <w:lang w:val="en-US" w:eastAsia="en-US"/>
        </w:rPr>
        <w:t>.</w:t>
      </w:r>
    </w:p>
    <w:p w14:paraId="586F0243" w14:textId="2C77E1E6" w:rsidR="00D86FF7" w:rsidRPr="00CF5041" w:rsidRDefault="00027DB3">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xml:space="preserve">6. Trong thời gian 10 (mười) ngày kể từ ngày ban hành, sửa đổi, bổ sung hoặc thay thế các văn bản quy định nội bộ, quỹ tín dụng nhân dân gửi (trực tiếp hoặc qua dịch vụ bưu chính) quy định nội bộ được ban hành, sửa đổi, bổ sung hoặc thay thế đến Ngân hàng Nhà nước chi nhánh Khu vực. Trường hợp quy định </w:t>
      </w:r>
      <w:r w:rsidRPr="00CF5041">
        <w:rPr>
          <w:rFonts w:ascii="Times New Roman" w:eastAsia="Times New Roman" w:hAnsi="Times New Roman" w:cs="Times New Roman"/>
          <w:color w:val="auto"/>
          <w:sz w:val="28"/>
          <w:szCs w:val="28"/>
          <w:shd w:val="clear" w:color="auto" w:fill="FFFFFF"/>
          <w:lang w:val="en-US" w:eastAsia="en-US"/>
        </w:rPr>
        <w:lastRenderedPageBreak/>
        <w:t>nội bộ sửa đổi, bổ sung, thay thế, quỹ tín dụng nhân dân gửi văn bản báo cáo những nội dung sửa đổi, bổ sung kèm quy định nội bộ</w:t>
      </w:r>
      <w:r w:rsidR="00D86FF7" w:rsidRPr="00CF5041">
        <w:rPr>
          <w:rFonts w:ascii="Times New Roman" w:eastAsia="Times New Roman" w:hAnsi="Times New Roman" w:cs="Times New Roman"/>
          <w:color w:val="auto"/>
          <w:sz w:val="28"/>
          <w:szCs w:val="28"/>
          <w:shd w:val="clear" w:color="auto" w:fill="FFFFFF"/>
          <w:lang w:val="en-US" w:eastAsia="en-US"/>
        </w:rPr>
        <w:t>.</w:t>
      </w:r>
    </w:p>
    <w:p w14:paraId="6F034D31" w14:textId="77777777" w:rsidR="002F16A5" w:rsidRPr="00CF5041" w:rsidRDefault="002F16A5" w:rsidP="00140819">
      <w:pPr>
        <w:pStyle w:val="Heading1"/>
        <w:spacing w:line="264" w:lineRule="auto"/>
        <w:rPr>
          <w:color w:val="auto"/>
        </w:rPr>
      </w:pPr>
      <w:r w:rsidRPr="00CF5041">
        <w:rPr>
          <w:color w:val="auto"/>
        </w:rPr>
        <w:t>Chương II</w:t>
      </w:r>
    </w:p>
    <w:p w14:paraId="6CB54C0E" w14:textId="77777777" w:rsidR="000B17C3" w:rsidRPr="00CF5041" w:rsidRDefault="000B17C3" w:rsidP="00140819">
      <w:pPr>
        <w:pStyle w:val="Heading1"/>
        <w:spacing w:line="264" w:lineRule="auto"/>
        <w:rPr>
          <w:color w:val="auto"/>
        </w:rPr>
      </w:pPr>
      <w:r w:rsidRPr="00CF5041">
        <w:rPr>
          <w:color w:val="auto"/>
        </w:rPr>
        <w:t>QUY ĐỊNH CỤ THỂ</w:t>
      </w:r>
    </w:p>
    <w:p w14:paraId="028CCD28" w14:textId="3B6C1B34" w:rsidR="00363FFC" w:rsidRPr="00CF5041" w:rsidRDefault="00363FFC" w:rsidP="00D93948">
      <w:pPr>
        <w:pStyle w:val="Heading3"/>
        <w:spacing w:before="120" w:after="120" w:line="240" w:lineRule="auto"/>
        <w:ind w:firstLine="720"/>
        <w:rPr>
          <w:rFonts w:ascii="Times New Roman" w:hAnsi="Times New Roman"/>
          <w:b/>
        </w:rPr>
      </w:pPr>
      <w:r w:rsidRPr="00CF5041">
        <w:rPr>
          <w:rFonts w:ascii="Times New Roman" w:hAnsi="Times New Roman" w:hint="eastAsia"/>
          <w:b/>
        </w:rPr>
        <w:t>Đ</w:t>
      </w:r>
      <w:r w:rsidRPr="00CF5041">
        <w:rPr>
          <w:rFonts w:ascii="Times New Roman" w:hAnsi="Times New Roman"/>
          <w:b/>
        </w:rPr>
        <w:t xml:space="preserve">iều </w:t>
      </w:r>
      <w:r w:rsidR="00A957CF" w:rsidRPr="00CF5041">
        <w:rPr>
          <w:rFonts w:ascii="Times New Roman" w:hAnsi="Times New Roman"/>
          <w:b/>
        </w:rPr>
        <w:t>6</w:t>
      </w:r>
      <w:r w:rsidRPr="00CF5041">
        <w:rPr>
          <w:rFonts w:ascii="Times New Roman" w:hAnsi="Times New Roman"/>
          <w:b/>
        </w:rPr>
        <w:t>. Gi</w:t>
      </w:r>
      <w:r w:rsidRPr="00CF5041">
        <w:rPr>
          <w:rFonts w:ascii="Times New Roman" w:hAnsi="Times New Roman" w:hint="eastAsia"/>
          <w:b/>
        </w:rPr>
        <w:t>á</w:t>
      </w:r>
      <w:r w:rsidRPr="00CF5041">
        <w:rPr>
          <w:rFonts w:ascii="Times New Roman" w:hAnsi="Times New Roman"/>
          <w:b/>
        </w:rPr>
        <w:t xml:space="preserve"> trị thực của vốn </w:t>
      </w:r>
      <w:r w:rsidRPr="00CF5041">
        <w:rPr>
          <w:rFonts w:ascii="Times New Roman" w:hAnsi="Times New Roman" w:hint="eastAsia"/>
          <w:b/>
        </w:rPr>
        <w:t>đ</w:t>
      </w:r>
      <w:r w:rsidRPr="00CF5041">
        <w:rPr>
          <w:rFonts w:ascii="Times New Roman" w:hAnsi="Times New Roman"/>
          <w:b/>
        </w:rPr>
        <w:t>iều lệ</w:t>
      </w:r>
    </w:p>
    <w:p w14:paraId="1B77CD56" w14:textId="5030218B" w:rsidR="00A957CF" w:rsidRPr="00CF5041" w:rsidRDefault="00A957CF" w:rsidP="00A957CF">
      <w:pPr>
        <w:pStyle w:val="NormalWeb"/>
        <w:shd w:val="clear" w:color="auto" w:fill="FFFFFF"/>
        <w:spacing w:before="120" w:beforeAutospacing="0" w:after="120" w:afterAutospacing="0"/>
        <w:ind w:firstLine="720"/>
        <w:jc w:val="both"/>
        <w:rPr>
          <w:noProof w:val="0"/>
          <w:sz w:val="28"/>
          <w:szCs w:val="28"/>
          <w:shd w:val="clear" w:color="auto" w:fill="FFFFFF"/>
          <w:lang w:val="en-US"/>
        </w:rPr>
      </w:pPr>
      <w:r w:rsidRPr="00CF5041">
        <w:rPr>
          <w:noProof w:val="0"/>
          <w:sz w:val="28"/>
          <w:szCs w:val="28"/>
          <w:shd w:val="clear" w:color="auto" w:fill="FFFFFF"/>
          <w:lang w:val="en-US"/>
        </w:rPr>
        <w:t>1. Giá trị thực của vốn điều lệ của quỹ tín dụng nhân dân được xác định theo nguyên tắc quy định tại khoản 2 và cách tính quy định tại khoản 3 Điều này.</w:t>
      </w:r>
    </w:p>
    <w:p w14:paraId="5E0D0F44" w14:textId="77777777" w:rsidR="00A957CF" w:rsidRPr="00CF5041" w:rsidRDefault="00A957CF" w:rsidP="00A957CF">
      <w:pPr>
        <w:pStyle w:val="NormalWeb"/>
        <w:shd w:val="clear" w:color="auto" w:fill="FFFFFF"/>
        <w:spacing w:before="120" w:beforeAutospacing="0" w:after="120" w:afterAutospacing="0"/>
        <w:ind w:firstLine="720"/>
        <w:jc w:val="both"/>
        <w:rPr>
          <w:noProof w:val="0"/>
          <w:sz w:val="28"/>
          <w:szCs w:val="28"/>
          <w:shd w:val="clear" w:color="auto" w:fill="FFFFFF"/>
          <w:lang w:val="en-US"/>
        </w:rPr>
      </w:pPr>
      <w:r w:rsidRPr="00CF5041">
        <w:rPr>
          <w:noProof w:val="0"/>
          <w:sz w:val="28"/>
          <w:szCs w:val="28"/>
          <w:shd w:val="clear" w:color="auto" w:fill="FFFFFF"/>
          <w:lang w:val="en-US"/>
        </w:rPr>
        <w:t>2. Nguyên tắc xác định giá trị thực của vốn điều lệ:</w:t>
      </w:r>
    </w:p>
    <w:p w14:paraId="360F984B" w14:textId="6183BDD7" w:rsidR="00A957CF" w:rsidRPr="00CF5041" w:rsidRDefault="00A957CF" w:rsidP="00A957CF">
      <w:pPr>
        <w:pStyle w:val="NormalWeb"/>
        <w:shd w:val="clear" w:color="auto" w:fill="FFFFFF"/>
        <w:spacing w:before="120" w:beforeAutospacing="0" w:after="120" w:afterAutospacing="0"/>
        <w:ind w:firstLine="720"/>
        <w:jc w:val="both"/>
        <w:rPr>
          <w:noProof w:val="0"/>
          <w:sz w:val="28"/>
          <w:szCs w:val="28"/>
          <w:shd w:val="clear" w:color="auto" w:fill="FFFFFF"/>
          <w:lang w:val="en-US"/>
        </w:rPr>
      </w:pPr>
      <w:r w:rsidRPr="00CF5041">
        <w:rPr>
          <w:noProof w:val="0"/>
          <w:sz w:val="28"/>
          <w:szCs w:val="28"/>
          <w:shd w:val="clear" w:color="auto" w:fill="FFFFFF"/>
          <w:lang w:val="en-US"/>
        </w:rPr>
        <w:t xml:space="preserve">Quỹ tín dụng nhân dân </w:t>
      </w:r>
      <w:r w:rsidR="00053081" w:rsidRPr="00CF5041">
        <w:rPr>
          <w:noProof w:val="0"/>
          <w:sz w:val="28"/>
          <w:szCs w:val="28"/>
          <w:shd w:val="clear" w:color="auto" w:fill="FFFFFF"/>
          <w:lang w:val="en-US"/>
        </w:rPr>
        <w:t xml:space="preserve">xác định giá trị thực </w:t>
      </w:r>
      <w:r w:rsidRPr="00CF5041">
        <w:rPr>
          <w:noProof w:val="0"/>
          <w:sz w:val="28"/>
          <w:szCs w:val="28"/>
          <w:shd w:val="clear" w:color="auto" w:fill="FFFFFF"/>
          <w:lang w:val="en-US"/>
        </w:rPr>
        <w:t>của vốn điều lệ khi đã đáp ứng đầy đủ các yêu cầu sau:</w:t>
      </w:r>
    </w:p>
    <w:p w14:paraId="0F524100" w14:textId="77777777" w:rsidR="00A957CF" w:rsidRPr="00CF5041" w:rsidRDefault="00A957CF" w:rsidP="00A957CF">
      <w:pPr>
        <w:pStyle w:val="NormalWeb"/>
        <w:shd w:val="clear" w:color="auto" w:fill="FFFFFF"/>
        <w:spacing w:before="120" w:beforeAutospacing="0" w:after="120" w:afterAutospacing="0"/>
        <w:ind w:firstLine="720"/>
        <w:jc w:val="both"/>
        <w:rPr>
          <w:noProof w:val="0"/>
          <w:sz w:val="28"/>
          <w:szCs w:val="28"/>
          <w:shd w:val="clear" w:color="auto" w:fill="FFFFFF"/>
          <w:lang w:val="en-US"/>
        </w:rPr>
      </w:pPr>
      <w:r w:rsidRPr="00CF5041">
        <w:rPr>
          <w:noProof w:val="0"/>
          <w:sz w:val="28"/>
          <w:szCs w:val="28"/>
          <w:shd w:val="clear" w:color="auto" w:fill="FFFFFF"/>
          <w:lang w:val="en-US"/>
        </w:rPr>
        <w:t>a) Đã trích lập đầy đủ dự phòng rủi ro theo quy định của pháp luật;</w:t>
      </w:r>
    </w:p>
    <w:p w14:paraId="619468FA" w14:textId="77777777" w:rsidR="00A957CF" w:rsidRPr="00CF5041" w:rsidRDefault="00A957CF" w:rsidP="00A957CF">
      <w:pPr>
        <w:pStyle w:val="NormalWeb"/>
        <w:shd w:val="clear" w:color="auto" w:fill="FFFFFF"/>
        <w:spacing w:before="120" w:beforeAutospacing="0" w:after="120" w:afterAutospacing="0"/>
        <w:ind w:firstLine="720"/>
        <w:jc w:val="both"/>
        <w:rPr>
          <w:noProof w:val="0"/>
          <w:sz w:val="28"/>
          <w:szCs w:val="28"/>
          <w:shd w:val="clear" w:color="auto" w:fill="FFFFFF"/>
          <w:lang w:val="en-US"/>
        </w:rPr>
      </w:pPr>
      <w:r w:rsidRPr="00CF5041">
        <w:rPr>
          <w:noProof w:val="0"/>
          <w:sz w:val="28"/>
          <w:szCs w:val="28"/>
          <w:shd w:val="clear" w:color="auto" w:fill="FFFFFF"/>
          <w:lang w:val="en-US"/>
        </w:rPr>
        <w:t>b) Đã tính đầy đủ các khoản thu nhập và chi phí theo quy định của pháp luật để xác định kết quả kinh doanh.</w:t>
      </w:r>
    </w:p>
    <w:p w14:paraId="158C1FB5" w14:textId="77777777" w:rsidR="00A957CF" w:rsidRPr="00CF5041" w:rsidRDefault="00A957CF" w:rsidP="00A957CF">
      <w:pPr>
        <w:pStyle w:val="NormalWeb"/>
        <w:shd w:val="clear" w:color="auto" w:fill="FFFFFF"/>
        <w:spacing w:before="120" w:beforeAutospacing="0" w:after="120" w:afterAutospacing="0"/>
        <w:ind w:firstLine="720"/>
        <w:jc w:val="both"/>
        <w:rPr>
          <w:noProof w:val="0"/>
          <w:sz w:val="28"/>
          <w:szCs w:val="28"/>
          <w:shd w:val="clear" w:color="auto" w:fill="FFFFFF"/>
          <w:lang w:val="en-US"/>
        </w:rPr>
      </w:pPr>
      <w:r w:rsidRPr="00CF5041">
        <w:rPr>
          <w:noProof w:val="0"/>
          <w:sz w:val="28"/>
          <w:szCs w:val="28"/>
          <w:shd w:val="clear" w:color="auto" w:fill="FFFFFF"/>
          <w:lang w:val="en-US"/>
        </w:rPr>
        <w:t>3. Cách tính giá trị thực của vốn điều lệ:</w:t>
      </w:r>
    </w:p>
    <w:p w14:paraId="3BA910E9" w14:textId="77777777" w:rsidR="00A957CF" w:rsidRPr="00CF5041" w:rsidRDefault="00A957CF" w:rsidP="00A957CF">
      <w:pPr>
        <w:pStyle w:val="NormalWeb"/>
        <w:shd w:val="clear" w:color="auto" w:fill="FFFFFF"/>
        <w:spacing w:before="120" w:beforeAutospacing="0" w:after="120" w:afterAutospacing="0"/>
        <w:ind w:firstLine="720"/>
        <w:jc w:val="both"/>
        <w:rPr>
          <w:noProof w:val="0"/>
          <w:sz w:val="28"/>
          <w:szCs w:val="28"/>
          <w:shd w:val="clear" w:color="auto" w:fill="FFFFFF"/>
          <w:lang w:val="en-US"/>
        </w:rPr>
      </w:pPr>
      <w:r w:rsidRPr="00CF5041">
        <w:rPr>
          <w:noProof w:val="0"/>
          <w:sz w:val="28"/>
          <w:szCs w:val="28"/>
          <w:shd w:val="clear" w:color="auto" w:fill="FFFFFF"/>
          <w:lang w:val="en-US"/>
        </w:rPr>
        <w:t>Giá trị thực của vốn điều lệ được xác định bằng vốn điều lệ cộng lợi nhuận lũy kế chưa phân phối, trừ lỗ lũy kế chưa xử lý được phản ánh trên sổ sách kế toán.</w:t>
      </w:r>
    </w:p>
    <w:p w14:paraId="25A9522D" w14:textId="4AC1839C" w:rsidR="00984C1B" w:rsidRPr="00CF5041" w:rsidRDefault="00A957CF" w:rsidP="00A957CF">
      <w:pPr>
        <w:pStyle w:val="NormalWeb"/>
        <w:shd w:val="clear" w:color="auto" w:fill="FFFFFF"/>
        <w:spacing w:before="120" w:beforeAutospacing="0" w:after="120" w:afterAutospacing="0"/>
        <w:ind w:firstLine="720"/>
        <w:jc w:val="both"/>
        <w:rPr>
          <w:noProof w:val="0"/>
          <w:sz w:val="28"/>
          <w:szCs w:val="28"/>
          <w:shd w:val="clear" w:color="auto" w:fill="FFFFFF"/>
          <w:lang w:val="en-US"/>
        </w:rPr>
      </w:pPr>
      <w:r w:rsidRPr="00CF5041">
        <w:rPr>
          <w:noProof w:val="0"/>
          <w:sz w:val="28"/>
          <w:szCs w:val="28"/>
          <w:shd w:val="clear" w:color="auto" w:fill="FFFFFF"/>
          <w:lang w:val="en-US"/>
        </w:rPr>
        <w:t xml:space="preserve">4. Quỹ tín dụng nhân dân phải thường xuyên theo dõi, đánh giá giá trị thực của vốn điều lệ và định kỳ báo cáo Ngân hàng Nhà nước </w:t>
      </w:r>
      <w:r w:rsidR="00485A9D" w:rsidRPr="00CF5041">
        <w:rPr>
          <w:sz w:val="28"/>
          <w:szCs w:val="28"/>
          <w:shd w:val="clear" w:color="auto" w:fill="FFFFFF"/>
          <w:lang w:val="en-US"/>
        </w:rPr>
        <w:t>chi nhánh Khu vực</w:t>
      </w:r>
      <w:r w:rsidR="00485A9D" w:rsidRPr="00CF5041">
        <w:rPr>
          <w:noProof w:val="0"/>
          <w:sz w:val="28"/>
          <w:szCs w:val="28"/>
          <w:shd w:val="clear" w:color="auto" w:fill="FFFFFF"/>
          <w:lang w:val="en-US"/>
        </w:rPr>
        <w:t xml:space="preserve"> </w:t>
      </w:r>
      <w:r w:rsidRPr="00CF5041">
        <w:rPr>
          <w:noProof w:val="0"/>
          <w:sz w:val="28"/>
          <w:szCs w:val="28"/>
          <w:shd w:val="clear" w:color="auto" w:fill="FFFFFF"/>
          <w:lang w:val="en-US"/>
        </w:rPr>
        <w:t xml:space="preserve">giá trị thực của vốn điều lệ </w:t>
      </w:r>
      <w:r w:rsidR="00984C1B" w:rsidRPr="00CF5041">
        <w:rPr>
          <w:noProof w:val="0"/>
          <w:sz w:val="28"/>
          <w:szCs w:val="28"/>
          <w:shd w:val="clear" w:color="auto" w:fill="FFFFFF"/>
          <w:lang w:val="en-US"/>
        </w:rPr>
        <w:t>như sau:</w:t>
      </w:r>
    </w:p>
    <w:p w14:paraId="08400665" w14:textId="7CE2D7FD" w:rsidR="00822211" w:rsidRPr="00CF5041" w:rsidRDefault="00984C1B" w:rsidP="00A957CF">
      <w:pPr>
        <w:pStyle w:val="NormalWeb"/>
        <w:shd w:val="clear" w:color="auto" w:fill="FFFFFF"/>
        <w:spacing w:before="120" w:beforeAutospacing="0" w:after="120" w:afterAutospacing="0"/>
        <w:ind w:firstLine="720"/>
        <w:jc w:val="both"/>
        <w:rPr>
          <w:sz w:val="28"/>
          <w:szCs w:val="28"/>
          <w:lang w:val="en-US"/>
        </w:rPr>
      </w:pPr>
      <w:r w:rsidRPr="00CF5041">
        <w:rPr>
          <w:noProof w:val="0"/>
          <w:sz w:val="28"/>
          <w:szCs w:val="28"/>
          <w:shd w:val="clear" w:color="auto" w:fill="FFFFFF"/>
          <w:lang w:val="en-US"/>
        </w:rPr>
        <w:t>a) Chậm nhất đến ngày 15 tháng 7 hằng năm, quỹ tín dụng nhân dân báo cáo giá trị thực của vốn điều lệ tại thời điểm cuối ngày 30 tháng 6</w:t>
      </w:r>
      <w:r w:rsidR="00822211" w:rsidRPr="00CF5041">
        <w:rPr>
          <w:noProof w:val="0"/>
          <w:sz w:val="28"/>
          <w:szCs w:val="28"/>
          <w:shd w:val="clear" w:color="auto" w:fill="FFFFFF"/>
          <w:lang w:val="en-US"/>
        </w:rPr>
        <w:t xml:space="preserve"> của năm hiện tại</w:t>
      </w:r>
      <w:r w:rsidR="00822211" w:rsidRPr="00CF5041">
        <w:rPr>
          <w:sz w:val="28"/>
          <w:szCs w:val="28"/>
          <w:lang w:val="en-US"/>
        </w:rPr>
        <w:t>;</w:t>
      </w:r>
    </w:p>
    <w:p w14:paraId="7C14A100" w14:textId="1616D3F9" w:rsidR="00291018" w:rsidRPr="00CF5041" w:rsidRDefault="00291018" w:rsidP="00291018">
      <w:pPr>
        <w:pStyle w:val="NormalWeb"/>
        <w:shd w:val="clear" w:color="auto" w:fill="FFFFFF"/>
        <w:spacing w:before="120" w:beforeAutospacing="0" w:after="120" w:afterAutospacing="0"/>
        <w:ind w:firstLine="720"/>
        <w:jc w:val="both"/>
        <w:rPr>
          <w:sz w:val="28"/>
          <w:szCs w:val="28"/>
          <w:lang w:val="en-US"/>
        </w:rPr>
      </w:pPr>
      <w:r w:rsidRPr="00CF5041">
        <w:rPr>
          <w:noProof w:val="0"/>
          <w:sz w:val="28"/>
          <w:szCs w:val="28"/>
          <w:shd w:val="clear" w:color="auto" w:fill="FFFFFF"/>
          <w:lang w:val="en-US"/>
        </w:rPr>
        <w:t>b) Chậm nhất đến ngày 15 tháng 01 hằng năm, quỹ tín dụng nhân dân báo cáo giá trị thực của vốn điều lệ tại thời điểm cuối ngày 31 tháng 12 của năm trước liền kề</w:t>
      </w:r>
      <w:r w:rsidR="00FF4E57" w:rsidRPr="00CF5041">
        <w:rPr>
          <w:sz w:val="28"/>
          <w:szCs w:val="28"/>
          <w:lang w:val="en-US"/>
        </w:rPr>
        <w:t>.</w:t>
      </w:r>
    </w:p>
    <w:p w14:paraId="04D0AB9C" w14:textId="0A1E265E" w:rsidR="00363FFC" w:rsidRPr="00CF5041" w:rsidRDefault="00FF4E57" w:rsidP="00A957CF">
      <w:pPr>
        <w:pStyle w:val="NormalWeb"/>
        <w:shd w:val="clear" w:color="auto" w:fill="FFFFFF"/>
        <w:spacing w:before="120" w:beforeAutospacing="0" w:after="120" w:afterAutospacing="0"/>
        <w:ind w:firstLine="720"/>
        <w:jc w:val="both"/>
        <w:rPr>
          <w:sz w:val="28"/>
          <w:szCs w:val="28"/>
        </w:rPr>
      </w:pPr>
      <w:r w:rsidRPr="00CF5041">
        <w:rPr>
          <w:sz w:val="28"/>
          <w:szCs w:val="28"/>
          <w:lang w:val="en-US"/>
        </w:rPr>
        <w:t>5.</w:t>
      </w:r>
      <w:r w:rsidR="00822211" w:rsidRPr="00CF5041">
        <w:rPr>
          <w:sz w:val="28"/>
          <w:szCs w:val="28"/>
          <w:lang w:val="en-US"/>
        </w:rPr>
        <w:t xml:space="preserve"> Trường hợp giá trị thực của vốn điều lệ tại thời điểm báo cáo nêu tại điểm a</w:t>
      </w:r>
      <w:r w:rsidR="00291018" w:rsidRPr="00CF5041">
        <w:rPr>
          <w:sz w:val="28"/>
          <w:szCs w:val="28"/>
          <w:lang w:val="en-US"/>
        </w:rPr>
        <w:t>, b</w:t>
      </w:r>
      <w:r w:rsidR="00822211" w:rsidRPr="00CF5041">
        <w:rPr>
          <w:sz w:val="28"/>
          <w:szCs w:val="28"/>
          <w:lang w:val="en-US"/>
        </w:rPr>
        <w:t xml:space="preserve"> khoản 4 Điều này chưa bao gồm các bút toán điều chỉnh của kiểm toán độc lập (nếu có), quỹ tín dụng nhân dân bổ sung vào kỳ lập báo cáo tài chính tiếp theo.</w:t>
      </w:r>
      <w:r w:rsidR="00363FFC" w:rsidRPr="00CF5041">
        <w:rPr>
          <w:sz w:val="28"/>
          <w:szCs w:val="28"/>
        </w:rPr>
        <w:t xml:space="preserve"> </w:t>
      </w:r>
    </w:p>
    <w:p w14:paraId="42152F49" w14:textId="71401A01" w:rsidR="009B38BE" w:rsidRPr="00CF5041" w:rsidRDefault="009B38BE" w:rsidP="00D93948">
      <w:pPr>
        <w:pStyle w:val="Heading3"/>
        <w:spacing w:before="120" w:after="120" w:line="240" w:lineRule="auto"/>
        <w:ind w:firstLine="720"/>
        <w:rPr>
          <w:b/>
        </w:rPr>
      </w:pPr>
      <w:r w:rsidRPr="00CF5041">
        <w:rPr>
          <w:rFonts w:ascii="Times New Roman" w:hAnsi="Times New Roman"/>
          <w:b/>
          <w:lang w:val="vi-VN"/>
        </w:rPr>
        <w:t xml:space="preserve">Điều </w:t>
      </w:r>
      <w:r w:rsidR="00CF5A2B" w:rsidRPr="00CF5041">
        <w:rPr>
          <w:rFonts w:ascii="Times New Roman" w:hAnsi="Times New Roman"/>
          <w:b/>
        </w:rPr>
        <w:t>7</w:t>
      </w:r>
      <w:r w:rsidRPr="00CF5041">
        <w:rPr>
          <w:rFonts w:ascii="Times New Roman" w:hAnsi="Times New Roman"/>
          <w:b/>
          <w:lang w:val="vi-VN"/>
        </w:rPr>
        <w:t>. Xử lý khi giá trị thực của vốn điều lệ giảm thấp hơn mức vốn pháp định</w:t>
      </w:r>
    </w:p>
    <w:p w14:paraId="6E09B97D" w14:textId="77777777" w:rsidR="00CF5A2B" w:rsidRPr="00CF5041" w:rsidRDefault="00CF5A2B" w:rsidP="00CF5A2B">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1. Khi giá trị thực của vốn điều lệ của quỹ tín dụng nhân dân giảm thấp hơn mức vốn pháp định, quỹ tín dụng nhân dân phải:</w:t>
      </w:r>
    </w:p>
    <w:p w14:paraId="061DCF93" w14:textId="77777777" w:rsidR="00CF5A2B" w:rsidRPr="00CF5041" w:rsidRDefault="00CF5A2B" w:rsidP="00CF5A2B">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a) Xây dựng và tự triển khai thực hiện phương án xử lý để đảm bảo giá trị thực của vốn điều lệ tối thiểu bằng mức vốn pháp định;</w:t>
      </w:r>
    </w:p>
    <w:p w14:paraId="40B0E1E4" w14:textId="77777777" w:rsidR="00CF5A2B" w:rsidRPr="00CF5041" w:rsidRDefault="00CF5A2B" w:rsidP="00CF5A2B">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xml:space="preserve">b) Trong thời gian tối đa 30 ngày khi giá trị thực của vốn điều lệ giảm thấp hơn mức vốn pháp định, phải có văn bản báo cáo phương án xử lý và cam kết thực </w:t>
      </w:r>
      <w:r w:rsidRPr="00CF5041">
        <w:rPr>
          <w:rFonts w:ascii="Times New Roman" w:eastAsia="Times New Roman" w:hAnsi="Times New Roman" w:cs="Times New Roman"/>
          <w:color w:val="auto"/>
          <w:sz w:val="28"/>
          <w:szCs w:val="28"/>
          <w:shd w:val="clear" w:color="auto" w:fill="FFFFFF"/>
          <w:lang w:val="en-US" w:eastAsia="en-US"/>
        </w:rPr>
        <w:lastRenderedPageBreak/>
        <w:t>hiện phương án gửi trực tiếp hoặc qua dịch vụ bưu chính cho Ngân hàng Nhà nước, trong đó tối thiểu phải có các nội dung sau:</w:t>
      </w:r>
    </w:p>
    <w:p w14:paraId="5CD6B71A" w14:textId="77777777" w:rsidR="00CF5A2B" w:rsidRPr="00CF5041" w:rsidRDefault="00CF5A2B" w:rsidP="00CF5A2B">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(i) Giá trị thực của vốn điều lệ theo quy định tại Điều 6 Thông tư này;</w:t>
      </w:r>
    </w:p>
    <w:p w14:paraId="343B4107" w14:textId="77777777" w:rsidR="00CF5A2B" w:rsidRPr="00CF5041" w:rsidRDefault="00CF5A2B" w:rsidP="00CF5A2B">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(ii) Nguyên nhân giá trị thực của vốn điều lệ giảm thấp hơn mức vốn pháp định;</w:t>
      </w:r>
    </w:p>
    <w:p w14:paraId="603A888D" w14:textId="77777777" w:rsidR="00CF5A2B" w:rsidRPr="00CF5041" w:rsidRDefault="00CF5A2B" w:rsidP="00CF5A2B">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(iii) Các biện pháp bảo đảm giá trị thực của vốn điều lệ không thấp hơn mức vốn pháp định và duy trì các hạn chế, giới hạn, tỷ lệ bảo đảm an toàn trong hoạt động;</w:t>
      </w:r>
    </w:p>
    <w:p w14:paraId="40956F5A" w14:textId="77777777" w:rsidR="00CF5A2B" w:rsidRPr="00CF5041" w:rsidRDefault="00CF5A2B" w:rsidP="00CF5A2B">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c) Tổ chức triển khai thực hiện các biện pháp xử lý theo yêu cầu của Ngân hàng Nhà nước (nếu có).</w:t>
      </w:r>
    </w:p>
    <w:p w14:paraId="3FDD9946" w14:textId="6A607173" w:rsidR="00CF5A2B" w:rsidRPr="00CF5041" w:rsidRDefault="00CF5A2B" w:rsidP="00CF5A2B">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xml:space="preserve">2. Các biện pháp Ngân hàng Nhà nước áp dụng để xử lý khi </w:t>
      </w:r>
      <w:r w:rsidR="005C5EDB" w:rsidRPr="00CF5041">
        <w:rPr>
          <w:rFonts w:ascii="Times New Roman" w:eastAsia="Times New Roman" w:hAnsi="Times New Roman" w:cs="Times New Roman"/>
          <w:color w:val="auto"/>
          <w:sz w:val="28"/>
          <w:szCs w:val="28"/>
          <w:shd w:val="clear" w:color="auto" w:fill="FFFFFF"/>
          <w:lang w:val="en-US" w:eastAsia="en-US"/>
        </w:rPr>
        <w:t xml:space="preserve">giá trị thực của </w:t>
      </w:r>
      <w:r w:rsidRPr="00CF5041">
        <w:rPr>
          <w:rFonts w:ascii="Times New Roman" w:eastAsia="Times New Roman" w:hAnsi="Times New Roman" w:cs="Times New Roman"/>
          <w:color w:val="auto"/>
          <w:sz w:val="28"/>
          <w:szCs w:val="28"/>
          <w:shd w:val="clear" w:color="auto" w:fill="FFFFFF"/>
          <w:lang w:val="en-US" w:eastAsia="en-US"/>
        </w:rPr>
        <w:t xml:space="preserve">vốn điều lệ của quỹ tín dụng nhân dân giảm thấp hơn </w:t>
      </w:r>
      <w:r w:rsidR="00C25206" w:rsidRPr="00CF5041">
        <w:rPr>
          <w:rFonts w:ascii="Times New Roman" w:eastAsia="Times New Roman" w:hAnsi="Times New Roman" w:cs="Times New Roman"/>
          <w:color w:val="auto"/>
          <w:sz w:val="28"/>
          <w:szCs w:val="28"/>
          <w:shd w:val="clear" w:color="auto" w:fill="FFFFFF"/>
          <w:lang w:val="en-US" w:eastAsia="en-US"/>
        </w:rPr>
        <w:t xml:space="preserve">mức </w:t>
      </w:r>
      <w:r w:rsidRPr="00CF5041">
        <w:rPr>
          <w:rFonts w:ascii="Times New Roman" w:eastAsia="Times New Roman" w:hAnsi="Times New Roman" w:cs="Times New Roman"/>
          <w:color w:val="auto"/>
          <w:sz w:val="28"/>
          <w:szCs w:val="28"/>
          <w:shd w:val="clear" w:color="auto" w:fill="FFFFFF"/>
          <w:lang w:val="en-US" w:eastAsia="en-US"/>
        </w:rPr>
        <w:t>vốn pháp định:</w:t>
      </w:r>
    </w:p>
    <w:p w14:paraId="334DFA82" w14:textId="77777777" w:rsidR="00CF5A2B" w:rsidRPr="00CF5041" w:rsidRDefault="00CF5A2B" w:rsidP="00CF5A2B">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a) Đánh giá, kiểm tra, thanh tra hoặc yêu cầu quỹ tín dụng nhân dân thực hiện kiểm toán độc lập để xác định giá trị thực của vốn điều lệ tại phương án xử lý do quỹ tín dụng nhân dân báo cáo theo quy định tại khoản 1 Điều này;</w:t>
      </w:r>
    </w:p>
    <w:p w14:paraId="51900C2A" w14:textId="77777777" w:rsidR="00CF5A2B" w:rsidRPr="00CF5041" w:rsidRDefault="00CF5A2B" w:rsidP="00CF5A2B">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b) Yêu cầu sửa đổi, bổ sung, hoàn thiện các biện pháp xử lý của quỹ tín dụng nhân dân khi giá trị thực của vốn điều lệ thấp hơn mức vốn pháp định nêu tại phương án quy định tại khoản 1 Điều này trong trường hợp cần thiết;</w:t>
      </w:r>
    </w:p>
    <w:p w14:paraId="1E2F9747" w14:textId="77777777" w:rsidR="00CF5A2B" w:rsidRPr="00CF5041" w:rsidRDefault="00CF5A2B" w:rsidP="00CF5A2B">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c) Giám sát, thanh tra, kiểm tra việc tổ chức, triển khai thực hiện các biện pháp tại phương án xử lý, bao gồm cả các biện pháp xử lý theo yêu cầu của Ngân hàng Nhà nước;</w:t>
      </w:r>
    </w:p>
    <w:p w14:paraId="22CB477A" w14:textId="77777777" w:rsidR="00CF5A2B" w:rsidRPr="00CF5041" w:rsidRDefault="00CF5A2B" w:rsidP="00CF5A2B">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d) Tùy theo mức độ giảm giá trị thực của vốn điều lệ so với mức vốn pháp định, Ngân hàng Nhà nước quyết định cụ thể các biện pháp xử lý sau đây đối với quỹ tín dụng nhân dân:</w:t>
      </w:r>
    </w:p>
    <w:p w14:paraId="6B81CE23" w14:textId="77777777" w:rsidR="00CF5A2B" w:rsidRPr="00CF5041" w:rsidRDefault="00CF5A2B" w:rsidP="00CF5A2B">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(i) Các biện pháp quy định tại khoản 2 Điều 59 Luật Ngân hàng Nhà nước Việt Nam khi giá trị thực của vốn điều lệ giảm xuống dưới 80% của mức vốn pháp định;</w:t>
      </w:r>
    </w:p>
    <w:p w14:paraId="2C90979D" w14:textId="00603189" w:rsidR="009B38BE" w:rsidRPr="00CF5041" w:rsidRDefault="00CF5A2B" w:rsidP="00CF5A2B">
      <w:pPr>
        <w:widowControl/>
        <w:shd w:val="clear" w:color="auto" w:fill="FFFFFF"/>
        <w:spacing w:before="120" w:after="120"/>
        <w:ind w:firstLine="720"/>
        <w:jc w:val="both"/>
        <w:rPr>
          <w:sz w:val="28"/>
          <w:szCs w:val="28"/>
        </w:rPr>
      </w:pPr>
      <w:r w:rsidRPr="00CF5041">
        <w:rPr>
          <w:rFonts w:ascii="Times New Roman" w:eastAsia="Times New Roman" w:hAnsi="Times New Roman" w:cs="Times New Roman"/>
          <w:color w:val="auto"/>
          <w:sz w:val="28"/>
          <w:szCs w:val="28"/>
          <w:shd w:val="clear" w:color="auto" w:fill="FFFFFF"/>
          <w:lang w:val="en-US" w:eastAsia="en-US"/>
        </w:rPr>
        <w:t>(ii) Áp dụng các biện pháp can thiệp sớm, kiểm soát đặc biệt, cơ cấu lại theo quy định của pháp luật</w:t>
      </w:r>
      <w:r w:rsidR="009B38BE" w:rsidRPr="00CF5041">
        <w:rPr>
          <w:rFonts w:ascii="Times New Roman" w:eastAsia="Times New Roman" w:hAnsi="Times New Roman" w:cs="Times New Roman"/>
          <w:color w:val="auto"/>
          <w:sz w:val="28"/>
          <w:szCs w:val="28"/>
          <w:shd w:val="clear" w:color="auto" w:fill="FFFFFF"/>
          <w:lang w:val="en-US" w:eastAsia="en-US"/>
        </w:rPr>
        <w:t>.</w:t>
      </w:r>
    </w:p>
    <w:p w14:paraId="544F2924" w14:textId="7FD8A706" w:rsidR="00816444" w:rsidRPr="00CF5041" w:rsidRDefault="00505375" w:rsidP="00D93948">
      <w:pPr>
        <w:pStyle w:val="Heading3"/>
        <w:spacing w:before="120" w:after="120" w:line="240" w:lineRule="auto"/>
        <w:ind w:firstLine="720"/>
        <w:rPr>
          <w:rFonts w:asciiTheme="minorHAnsi" w:hAnsiTheme="minorHAnsi"/>
          <w:b/>
          <w:lang w:val="vi-VN"/>
        </w:rPr>
      </w:pPr>
      <w:bookmarkStart w:id="9" w:name="muc_1"/>
      <w:r w:rsidRPr="00CF5041">
        <w:rPr>
          <w:rFonts w:hint="eastAsia"/>
          <w:b/>
          <w:lang w:val="vi-VN"/>
        </w:rPr>
        <w:t>Đ</w:t>
      </w:r>
      <w:r w:rsidRPr="00CF5041">
        <w:rPr>
          <w:b/>
          <w:lang w:val="vi-VN"/>
        </w:rPr>
        <w:t xml:space="preserve">iều </w:t>
      </w:r>
      <w:r w:rsidR="00A72973" w:rsidRPr="00CF5041">
        <w:rPr>
          <w:b/>
          <w:lang w:val="vi-VN"/>
        </w:rPr>
        <w:t>8</w:t>
      </w:r>
      <w:r w:rsidRPr="00CF5041">
        <w:rPr>
          <w:b/>
          <w:lang w:val="vi-VN"/>
        </w:rPr>
        <w:t xml:space="preserve">. </w:t>
      </w:r>
      <w:r w:rsidR="00F73860" w:rsidRPr="00CF5041">
        <w:rPr>
          <w:b/>
          <w:lang w:val="vi-VN"/>
        </w:rPr>
        <w:t>Tỷ lệ an to</w:t>
      </w:r>
      <w:r w:rsidR="00F73860" w:rsidRPr="00CF5041">
        <w:rPr>
          <w:rFonts w:hint="eastAsia"/>
          <w:b/>
          <w:lang w:val="vi-VN"/>
        </w:rPr>
        <w:t>à</w:t>
      </w:r>
      <w:r w:rsidR="00F73860" w:rsidRPr="00CF5041">
        <w:rPr>
          <w:b/>
          <w:lang w:val="vi-VN"/>
        </w:rPr>
        <w:t>n vốn</w:t>
      </w:r>
    </w:p>
    <w:p w14:paraId="71DA695D" w14:textId="3F9126D9" w:rsidR="00D86FF7" w:rsidRPr="00CF5041" w:rsidRDefault="00D86FF7">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xml:space="preserve">1. </w:t>
      </w:r>
      <w:r w:rsidR="00C24435" w:rsidRPr="00CF5041">
        <w:rPr>
          <w:rFonts w:ascii="Times New Roman" w:eastAsia="Times New Roman" w:hAnsi="Times New Roman" w:cs="Times New Roman"/>
          <w:color w:val="auto"/>
          <w:sz w:val="28"/>
          <w:szCs w:val="28"/>
          <w:shd w:val="clear" w:color="auto" w:fill="FFFFFF"/>
          <w:lang w:val="en-US" w:eastAsia="en-US"/>
        </w:rPr>
        <w:t>Quỹ tín dụng nhân dân phải duy trì tỷ lệ an toàn vốn tối thiểu 8%.</w:t>
      </w:r>
    </w:p>
    <w:p w14:paraId="630910B7" w14:textId="77777777" w:rsidR="00D86FF7" w:rsidRPr="00CF5041" w:rsidRDefault="00D86FF7">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2. Tỷ lệ an toàn vốn được xác định bằng công thức sau:</w:t>
      </w:r>
    </w:p>
    <w:p w14:paraId="01418F52" w14:textId="7E5FEBFB" w:rsidR="00662D68" w:rsidRPr="00CF5041" w:rsidRDefault="00662D68" w:rsidP="00662D68">
      <w:pPr>
        <w:shd w:val="clear" w:color="auto" w:fill="FFFFFF"/>
        <w:spacing w:before="120" w:after="120"/>
        <w:rPr>
          <w:rFonts w:eastAsia="Times New Roman" w:cs="Times New Roman"/>
          <w:kern w:val="36"/>
        </w:rPr>
      </w:pPr>
    </w:p>
    <w:p w14:paraId="4B23E3AD" w14:textId="0AA6BF36" w:rsidR="00662D68" w:rsidRPr="00CF5041" w:rsidRDefault="00662D68" w:rsidP="00662D68">
      <w:pPr>
        <w:shd w:val="clear" w:color="auto" w:fill="FFFFFF"/>
        <w:spacing w:before="120" w:after="120"/>
        <w:rPr>
          <w:rFonts w:eastAsia="Times New Roman" w:cs="Times New Roman"/>
          <w:kern w:val="36"/>
          <w:sz w:val="26"/>
          <w:szCs w:val="26"/>
        </w:rPr>
      </w:pPr>
      <m:oMathPara>
        <m:oMath>
          <m:r>
            <m:rPr>
              <m:sty m:val="p"/>
            </m:rPr>
            <w:rPr>
              <w:rFonts w:ascii="Cambria Math" w:eastAsia="Times New Roman" w:hAnsi="Cambria Math" w:cs="Times New Roman"/>
              <w:kern w:val="36"/>
              <w:sz w:val="26"/>
              <w:szCs w:val="26"/>
            </w:rPr>
            <m:t>Tỷ lệ an to</m:t>
          </m:r>
          <m:r>
            <m:rPr>
              <m:sty m:val="p"/>
            </m:rPr>
            <w:rPr>
              <w:rFonts w:ascii="Cambria Math" w:eastAsia="Times New Roman" w:hAnsi="Cambria Math" w:cs="Times New Roman" w:hint="eastAsia"/>
              <w:kern w:val="36"/>
              <w:sz w:val="26"/>
              <w:szCs w:val="26"/>
            </w:rPr>
            <m:t>à</m:t>
          </m:r>
          <m:r>
            <m:rPr>
              <m:sty m:val="p"/>
            </m:rPr>
            <w:rPr>
              <w:rFonts w:ascii="Cambria Math" w:eastAsia="Times New Roman" w:hAnsi="Cambria Math" w:cs="Times New Roman"/>
              <w:kern w:val="36"/>
              <w:sz w:val="26"/>
              <w:szCs w:val="26"/>
            </w:rPr>
            <m:t>n vốn (%)=</m:t>
          </m:r>
          <m:f>
            <m:fPr>
              <m:ctrlPr>
                <w:rPr>
                  <w:rFonts w:ascii="Cambria Math" w:eastAsia="Times New Roman" w:hAnsi="Cambria Math" w:cs="Times New Roman"/>
                  <w:kern w:val="36"/>
                  <w:sz w:val="26"/>
                  <w:szCs w:val="26"/>
                </w:rPr>
              </m:ctrlPr>
            </m:fPr>
            <m:num>
              <m:r>
                <m:rPr>
                  <m:sty m:val="p"/>
                </m:rPr>
                <w:rPr>
                  <w:rFonts w:ascii="Cambria Math" w:eastAsia="Times New Roman" w:hAnsi="Cambria Math" w:cs="Times New Roman"/>
                  <w:kern w:val="36"/>
                  <w:sz w:val="26"/>
                  <w:szCs w:val="26"/>
                </w:rPr>
                <m:t>Vốn tự c</m:t>
              </m:r>
              <m:r>
                <m:rPr>
                  <m:sty m:val="p"/>
                </m:rPr>
                <w:rPr>
                  <w:rFonts w:ascii="Cambria Math" w:eastAsia="Times New Roman" w:hAnsi="Cambria Math" w:cs="Times New Roman" w:hint="eastAsia"/>
                  <w:kern w:val="36"/>
                  <w:sz w:val="26"/>
                  <w:szCs w:val="26"/>
                </w:rPr>
                <m:t>ó</m:t>
              </m:r>
            </m:num>
            <m:den>
              <m:r>
                <m:rPr>
                  <m:sty m:val="p"/>
                </m:rPr>
                <w:rPr>
                  <w:rFonts w:ascii="Cambria Math" w:eastAsia="Times New Roman" w:hAnsi="Cambria Math" w:cs="Times New Roman"/>
                  <w:kern w:val="36"/>
                  <w:sz w:val="26"/>
                  <w:szCs w:val="26"/>
                </w:rPr>
                <m:t>Tổng t</m:t>
              </m:r>
              <m:r>
                <m:rPr>
                  <m:sty m:val="p"/>
                </m:rPr>
                <w:rPr>
                  <w:rFonts w:ascii="Cambria Math" w:eastAsia="Times New Roman" w:hAnsi="Cambria Math" w:cs="Times New Roman" w:hint="eastAsia"/>
                  <w:kern w:val="36"/>
                  <w:sz w:val="26"/>
                  <w:szCs w:val="26"/>
                </w:rPr>
                <m:t>à</m:t>
              </m:r>
              <m:r>
                <m:rPr>
                  <m:sty m:val="p"/>
                </m:rPr>
                <w:rPr>
                  <w:rFonts w:ascii="Cambria Math" w:eastAsia="Times New Roman" w:hAnsi="Cambria Math" w:cs="Times New Roman"/>
                  <w:kern w:val="36"/>
                  <w:sz w:val="26"/>
                  <w:szCs w:val="26"/>
                </w:rPr>
                <m:t xml:space="preserve">i sản </m:t>
              </m:r>
              <m:r>
                <m:rPr>
                  <m:nor/>
                </m:rPr>
                <w:rPr>
                  <w:rFonts w:ascii="Cambria Math" w:eastAsia="Times New Roman" w:hAnsi="Cambria Math"/>
                  <w:kern w:val="36"/>
                  <w:sz w:val="26"/>
                  <w:szCs w:val="26"/>
                </w:rPr>
                <m:t>"C</m:t>
              </m:r>
              <m:r>
                <m:rPr>
                  <m:nor/>
                </m:rPr>
                <w:rPr>
                  <w:rFonts w:ascii="Cambria Math" w:eastAsia="Times New Roman" w:hAnsi="Cambria Math" w:hint="eastAsia"/>
                  <w:kern w:val="36"/>
                  <w:sz w:val="26"/>
                  <w:szCs w:val="26"/>
                </w:rPr>
                <m:t>ó</m:t>
              </m:r>
              <m:r>
                <m:rPr>
                  <m:nor/>
                </m:rPr>
                <w:rPr>
                  <w:rFonts w:ascii="Cambria Math" w:eastAsia="Times New Roman" w:hAnsi="Cambria Math"/>
                  <w:kern w:val="36"/>
                  <w:sz w:val="26"/>
                  <w:szCs w:val="26"/>
                </w:rPr>
                <m:t>" rủi ro</m:t>
              </m:r>
            </m:den>
          </m:f>
          <m:r>
            <m:rPr>
              <m:sty m:val="p"/>
            </m:rPr>
            <w:rPr>
              <w:rFonts w:ascii="Cambria Math" w:eastAsia="Times New Roman" w:hAnsi="Cambria Math" w:cs="Times New Roman" w:hint="eastAsia"/>
              <w:kern w:val="36"/>
              <w:sz w:val="26"/>
              <w:szCs w:val="26"/>
            </w:rPr>
            <m:t>×</m:t>
          </m:r>
          <m:r>
            <m:rPr>
              <m:sty m:val="p"/>
            </m:rPr>
            <w:rPr>
              <w:rFonts w:ascii="Cambria Math" w:eastAsia="Times New Roman" w:hAnsi="Cambria Math" w:cs="Times New Roman"/>
              <w:kern w:val="36"/>
              <w:sz w:val="26"/>
              <w:szCs w:val="26"/>
            </w:rPr>
            <m:t>100</m:t>
          </m:r>
        </m:oMath>
      </m:oMathPara>
    </w:p>
    <w:p w14:paraId="647589F9" w14:textId="77777777" w:rsidR="00EE061C" w:rsidRPr="00CF5041" w:rsidRDefault="00EE061C">
      <w:pPr>
        <w:widowControl/>
        <w:shd w:val="clear" w:color="auto" w:fill="FFFFFF"/>
        <w:spacing w:before="120" w:after="120"/>
        <w:ind w:firstLine="720"/>
        <w:jc w:val="both"/>
        <w:rPr>
          <w:rFonts w:ascii="Times New Roman" w:eastAsia="Times New Roman" w:hAnsi="Times New Roman" w:cs="Times New Roman"/>
          <w:b/>
          <w:color w:val="auto"/>
          <w:sz w:val="28"/>
          <w:szCs w:val="28"/>
          <w:shd w:val="clear" w:color="auto" w:fill="FFFFFF"/>
          <w:lang w:val="en-US" w:eastAsia="en-US"/>
        </w:rPr>
      </w:pPr>
    </w:p>
    <w:p w14:paraId="588FFC7E" w14:textId="77777777" w:rsidR="00D86FF7" w:rsidRPr="00CF5041" w:rsidRDefault="00D86FF7">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Trong đó:</w:t>
      </w:r>
    </w:p>
    <w:p w14:paraId="5965F80C" w14:textId="77777777" w:rsidR="00C24435"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Vốn tự có được xác định theo quy định tại khoản 3 Điều này;</w:t>
      </w:r>
    </w:p>
    <w:p w14:paraId="051EA85E" w14:textId="4610AB99" w:rsidR="00D86FF7"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lastRenderedPageBreak/>
        <w:t>- Tổng tài sản “Có” rủi ro là tổng giá trị các tài sản “Có” được xác định theo mức độ rủi ro quy định tại khoản 4 Điều này</w:t>
      </w:r>
      <w:r w:rsidR="00D86FF7" w:rsidRPr="00CF5041">
        <w:rPr>
          <w:rFonts w:ascii="Times New Roman" w:eastAsia="Times New Roman" w:hAnsi="Times New Roman" w:cs="Times New Roman"/>
          <w:color w:val="auto"/>
          <w:sz w:val="28"/>
          <w:szCs w:val="28"/>
          <w:shd w:val="clear" w:color="auto" w:fill="FFFFFF"/>
          <w:lang w:val="en-US" w:eastAsia="en-US"/>
        </w:rPr>
        <w:t>.</w:t>
      </w:r>
    </w:p>
    <w:p w14:paraId="741657BB" w14:textId="77777777" w:rsidR="00C24435"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3. Vốn tự có bao gồm tổng Vốn cấp 1 và Vốn cấp 2 trừ đi Khoản phải trừ khỏi vốn tự có tại thời điểm xác định vốn tự có, cụ thể:</w:t>
      </w:r>
    </w:p>
    <w:p w14:paraId="18309394" w14:textId="77777777" w:rsidR="00C24435"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a) Vốn cấp 1</w:t>
      </w:r>
    </w:p>
    <w:p w14:paraId="1A9A44F2" w14:textId="77777777" w:rsidR="00C24435"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Vốn cấp 1 gồm:</w:t>
      </w:r>
    </w:p>
    <w:p w14:paraId="2B53C9E3" w14:textId="77777777" w:rsidR="00C24435"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(i) Vốn điều lệ;</w:t>
      </w:r>
    </w:p>
    <w:p w14:paraId="4874D85D" w14:textId="77777777" w:rsidR="00C24435"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(ii) Vốn đầu tư xây dựng cơ bản, mua sắm tài sản cố định;</w:t>
      </w:r>
    </w:p>
    <w:p w14:paraId="459D4BE4" w14:textId="77777777" w:rsidR="00C24435"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(iii) Quỹ dự trữ bổ sung vốn điều lệ;</w:t>
      </w:r>
    </w:p>
    <w:p w14:paraId="3E753714" w14:textId="77777777" w:rsidR="00C24435"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(iv) Quỹ đầu tư phát triển;</w:t>
      </w:r>
    </w:p>
    <w:p w14:paraId="31CEDE85" w14:textId="77777777" w:rsidR="00C24435"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(v) Quỹ dự phòng tài chính;</w:t>
      </w:r>
    </w:p>
    <w:p w14:paraId="683B6F81" w14:textId="77777777" w:rsidR="00C24435"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(vi) Vốn của các tổ chức, cá nhân tài trợ không hoàn lại cho quỹ tín dụng nhân dân;</w:t>
      </w:r>
    </w:p>
    <w:p w14:paraId="4B3183E0" w14:textId="77777777" w:rsidR="00C24435"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(vii) Lợi nhuận lũy kế chưa phân phối;</w:t>
      </w:r>
    </w:p>
    <w:p w14:paraId="459D0450" w14:textId="77777777" w:rsidR="00C24435"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Vốn cấp 1 phải trừ đi các khoản sau:</w:t>
      </w:r>
    </w:p>
    <w:p w14:paraId="33BB4608" w14:textId="77777777" w:rsidR="00C24435"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(i) Lỗ lũy kế (nếu có);</w:t>
      </w:r>
    </w:p>
    <w:p w14:paraId="327A79FF" w14:textId="77777777" w:rsidR="00C24435"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(ii) Số vốn góp vào ngân hàng hợp tác xã;</w:t>
      </w:r>
    </w:p>
    <w:p w14:paraId="1FA7045B" w14:textId="77777777" w:rsidR="00C24435"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b) Vốn cấp 2 được tính tối đa bằng 100% giá trị Vốn cấp 1, gồm: Dự phòng chung, tối đa bằng 1,25% tổng tài sản "Có" rủi ro;</w:t>
      </w:r>
    </w:p>
    <w:p w14:paraId="655ECCEE" w14:textId="7B1F1B7C" w:rsidR="00C24435"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c) Khoản phải trừ khỏi vốn tự có: 100% chênh lệch giảm do đánh giá lại tài sản theo quy định của pháp luật</w:t>
      </w:r>
      <w:r w:rsidR="00EF6D84" w:rsidRPr="00CF5041">
        <w:rPr>
          <w:rFonts w:ascii="Times New Roman" w:eastAsia="Times New Roman" w:hAnsi="Times New Roman" w:cs="Times New Roman"/>
          <w:color w:val="auto"/>
          <w:sz w:val="28"/>
          <w:szCs w:val="28"/>
          <w:shd w:val="clear" w:color="auto" w:fill="FFFFFF"/>
          <w:lang w:val="en-US" w:eastAsia="en-US"/>
        </w:rPr>
        <w:t>;</w:t>
      </w:r>
    </w:p>
    <w:p w14:paraId="00E8B74F" w14:textId="7B334982" w:rsidR="00C24435"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xml:space="preserve">Việc xác định cụ thể vốn tự có để tính tỷ lệ an toàn vốn được quy định tại Phụ lục </w:t>
      </w:r>
      <w:r w:rsidR="008F47E7" w:rsidRPr="00CF5041">
        <w:rPr>
          <w:rFonts w:ascii="Times New Roman" w:eastAsia="Times New Roman" w:hAnsi="Times New Roman" w:cs="Times New Roman"/>
          <w:color w:val="auto"/>
          <w:sz w:val="28"/>
          <w:szCs w:val="28"/>
          <w:shd w:val="clear" w:color="auto" w:fill="FFFFFF"/>
          <w:lang w:val="en-US" w:eastAsia="en-US"/>
        </w:rPr>
        <w:t>I</w:t>
      </w:r>
      <w:r w:rsidRPr="00CF5041">
        <w:rPr>
          <w:rFonts w:ascii="Times New Roman" w:eastAsia="Times New Roman" w:hAnsi="Times New Roman" w:cs="Times New Roman"/>
          <w:color w:val="auto"/>
          <w:sz w:val="28"/>
          <w:szCs w:val="28"/>
          <w:shd w:val="clear" w:color="auto" w:fill="FFFFFF"/>
          <w:lang w:val="en-US" w:eastAsia="en-US"/>
        </w:rPr>
        <w:t xml:space="preserve"> ban hành kèm theo Thông tư này.</w:t>
      </w:r>
    </w:p>
    <w:p w14:paraId="7ACCF3F0" w14:textId="77777777" w:rsidR="00C24435"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4. Tài sản "Có" được phân nhóm theo các mức độ rủi ro như sau:</w:t>
      </w:r>
    </w:p>
    <w:p w14:paraId="23B73EC5" w14:textId="77777777" w:rsidR="00C24435"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a) Nhóm tài sản có hệ số rủi ro 0% bao gồm:</w:t>
      </w:r>
    </w:p>
    <w:p w14:paraId="47EFBEE4" w14:textId="77777777" w:rsidR="00C24435"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(i) Tiền mặt;</w:t>
      </w:r>
    </w:p>
    <w:p w14:paraId="537B1AED" w14:textId="77777777" w:rsidR="00C24435"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(ii) Tiền gửi tại Ngân hàng Nhà nước;</w:t>
      </w:r>
    </w:p>
    <w:p w14:paraId="34C4D7BB" w14:textId="77777777" w:rsidR="00C24435"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(iii) Tiền gửi tại ngân hàng hợp tác xã;</w:t>
      </w:r>
    </w:p>
    <w:p w14:paraId="328B04F1" w14:textId="2D8FA602" w:rsidR="00C24435"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w:t>
      </w:r>
      <w:r w:rsidR="00697B3C" w:rsidRPr="00CF5041">
        <w:rPr>
          <w:rFonts w:ascii="Times New Roman" w:eastAsia="Times New Roman" w:hAnsi="Times New Roman" w:cs="Times New Roman"/>
          <w:color w:val="auto"/>
          <w:sz w:val="28"/>
          <w:szCs w:val="28"/>
          <w:shd w:val="clear" w:color="auto" w:fill="FFFFFF"/>
          <w:lang w:val="en-US" w:eastAsia="en-US"/>
        </w:rPr>
        <w:t>i</w:t>
      </w:r>
      <w:r w:rsidRPr="00CF5041">
        <w:rPr>
          <w:rFonts w:ascii="Times New Roman" w:eastAsia="Times New Roman" w:hAnsi="Times New Roman" w:cs="Times New Roman"/>
          <w:color w:val="auto"/>
          <w:sz w:val="28"/>
          <w:szCs w:val="28"/>
          <w:shd w:val="clear" w:color="auto" w:fill="FFFFFF"/>
          <w:lang w:val="en-US" w:eastAsia="en-US"/>
        </w:rPr>
        <w:t>v) Dư nợ cho vay có bảo đảm toàn bộ bằng tiền, tiền gửi tại chính quỹ tín dụng nhân dân;</w:t>
      </w:r>
    </w:p>
    <w:p w14:paraId="1A496074" w14:textId="7AE06CB2" w:rsidR="00C24435"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(v) Dư nợ cho vay được bảo đảm toàn bộ bằng giấy tờ có giá do Chính phủ, Ngân hàng Nhà nước phát hành;</w:t>
      </w:r>
    </w:p>
    <w:p w14:paraId="7B3EE135" w14:textId="69EC80E5" w:rsidR="00E27089" w:rsidRPr="00CF5041" w:rsidRDefault="00E27089" w:rsidP="00E27089">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(vi) Vốn góp vào ngân hàng hợp tác xã</w:t>
      </w:r>
      <w:r w:rsidR="00EF6D84" w:rsidRPr="00CF5041">
        <w:rPr>
          <w:rFonts w:ascii="Times New Roman" w:eastAsia="Times New Roman" w:hAnsi="Times New Roman" w:cs="Times New Roman"/>
          <w:color w:val="auto"/>
          <w:sz w:val="28"/>
          <w:szCs w:val="28"/>
          <w:shd w:val="clear" w:color="auto" w:fill="FFFFFF"/>
          <w:lang w:val="en-US" w:eastAsia="en-US"/>
        </w:rPr>
        <w:t>;</w:t>
      </w:r>
    </w:p>
    <w:p w14:paraId="0C05FFE3" w14:textId="77777777" w:rsidR="00C24435"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b) Nhóm tài sản có hệ số rủi ro 20% bao gồm:</w:t>
      </w:r>
    </w:p>
    <w:p w14:paraId="5D364E5A" w14:textId="790637A5" w:rsidR="00C24435"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lastRenderedPageBreak/>
        <w:t xml:space="preserve">(i) Tiền gửi </w:t>
      </w:r>
      <w:r w:rsidR="007A64D4" w:rsidRPr="00CF5041">
        <w:rPr>
          <w:rFonts w:ascii="Times New Roman" w:eastAsia="Times New Roman" w:hAnsi="Times New Roman" w:cs="Times New Roman"/>
          <w:color w:val="auto"/>
          <w:sz w:val="28"/>
          <w:szCs w:val="28"/>
          <w:shd w:val="clear" w:color="auto" w:fill="FFFFFF"/>
          <w:lang w:val="en-US" w:eastAsia="en-US"/>
        </w:rPr>
        <w:t xml:space="preserve">thanh toán </w:t>
      </w:r>
      <w:r w:rsidRPr="00CF5041">
        <w:rPr>
          <w:rFonts w:ascii="Times New Roman" w:eastAsia="Times New Roman" w:hAnsi="Times New Roman" w:cs="Times New Roman"/>
          <w:color w:val="auto"/>
          <w:sz w:val="28"/>
          <w:szCs w:val="28"/>
          <w:shd w:val="clear" w:color="auto" w:fill="FFFFFF"/>
          <w:lang w:val="en-US" w:eastAsia="en-US"/>
        </w:rPr>
        <w:t>tại ngân hàng thương mại, chi nhánh ngân hàng nước ngoài</w:t>
      </w:r>
      <w:r w:rsidR="00BE50D4" w:rsidRPr="00CF5041">
        <w:rPr>
          <w:rFonts w:ascii="Times New Roman" w:eastAsia="Times New Roman" w:hAnsi="Times New Roman" w:cs="Times New Roman"/>
          <w:color w:val="auto"/>
          <w:sz w:val="28"/>
          <w:szCs w:val="28"/>
          <w:shd w:val="clear" w:color="auto" w:fill="FFFFFF"/>
          <w:lang w:val="en-US" w:eastAsia="en-US"/>
        </w:rPr>
        <w:t>, trừ tiền gửi tại tổ chức tín dụng được kiểm soát đặc biệt theo quy định tại khoản 9 Điều 174 Luật Các tổ chức tín dụng</w:t>
      </w:r>
      <w:r w:rsidRPr="00CF5041">
        <w:rPr>
          <w:rFonts w:ascii="Times New Roman" w:eastAsia="Times New Roman" w:hAnsi="Times New Roman" w:cs="Times New Roman"/>
          <w:color w:val="auto"/>
          <w:sz w:val="28"/>
          <w:szCs w:val="28"/>
          <w:shd w:val="clear" w:color="auto" w:fill="FFFFFF"/>
          <w:lang w:val="en-US" w:eastAsia="en-US"/>
        </w:rPr>
        <w:t>;</w:t>
      </w:r>
    </w:p>
    <w:p w14:paraId="0768B6F4" w14:textId="77777777" w:rsidR="00C24435"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(ii) Dư nợ cho vay được bảo đảm toàn bộ bằng giấy tờ có giá do tổ chức tài chính nhà nước, tổ chức tín dụng, chi nhánh ngân hàng nước ngoài phát hành;</w:t>
      </w:r>
    </w:p>
    <w:p w14:paraId="573F6377" w14:textId="77777777" w:rsidR="00C24435"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c) Nhóm tài sản có hệ số rủi ro 50% bao gồm: Dư nợ cho vay được bảo đảm toàn bộ bằng nhà ở, quyền sử dụng đất, nhà ở gắn với quyền sử dụng đất của bên vay theo quy định của pháp luật;</w:t>
      </w:r>
    </w:p>
    <w:p w14:paraId="35D7A83E" w14:textId="77777777" w:rsidR="00C24435"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d) Nhóm tài sản có hệ số rủi ro 100% bao gồm:</w:t>
      </w:r>
    </w:p>
    <w:p w14:paraId="112939D7" w14:textId="69955E1C" w:rsidR="00C24435"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(i) Giá trị nguyên giá của Tài sản cố định của quỹ tín dụng nhân dân;</w:t>
      </w:r>
      <w:r w:rsidR="00697B3C" w:rsidRPr="00CF5041">
        <w:rPr>
          <w:rFonts w:ascii="Times New Roman" w:eastAsia="Times New Roman" w:hAnsi="Times New Roman" w:cs="Times New Roman"/>
          <w:color w:val="auto"/>
          <w:sz w:val="28"/>
          <w:szCs w:val="28"/>
          <w:shd w:val="clear" w:color="auto" w:fill="FFFFFF"/>
          <w:lang w:val="en-US" w:eastAsia="en-US"/>
        </w:rPr>
        <w:t xml:space="preserve">(ii) </w:t>
      </w:r>
      <w:r w:rsidRPr="00CF5041">
        <w:rPr>
          <w:rFonts w:ascii="Times New Roman" w:eastAsia="Times New Roman" w:hAnsi="Times New Roman" w:cs="Times New Roman"/>
          <w:color w:val="auto"/>
          <w:sz w:val="28"/>
          <w:szCs w:val="28"/>
          <w:shd w:val="clear" w:color="auto" w:fill="FFFFFF"/>
          <w:lang w:val="en-US" w:eastAsia="en-US"/>
        </w:rPr>
        <w:t>Các tài sản “Có” khác còn lại trên bảng cân đối kế toán ngoài tài sản “Có” quy định tại điểm a, điểm b, điểm c, điểm d(i) khoản này</w:t>
      </w:r>
      <w:r w:rsidR="00EB64DC" w:rsidRPr="00CF5041">
        <w:rPr>
          <w:rFonts w:ascii="Times New Roman" w:eastAsia="Times New Roman" w:hAnsi="Times New Roman" w:cs="Times New Roman"/>
          <w:color w:val="auto"/>
          <w:sz w:val="28"/>
          <w:szCs w:val="28"/>
          <w:shd w:val="clear" w:color="auto" w:fill="FFFFFF"/>
          <w:lang w:val="en-US" w:eastAsia="en-US"/>
        </w:rPr>
        <w:t>;</w:t>
      </w:r>
    </w:p>
    <w:p w14:paraId="6B2F2477" w14:textId="7E91B2BE" w:rsidR="00D86FF7" w:rsidRPr="00CF5041" w:rsidRDefault="00C24435" w:rsidP="00C2443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xml:space="preserve">Việc xác định cụ thể giá trị tài sản "Có" rủi ro được quy định tại Phụ lục </w:t>
      </w:r>
      <w:r w:rsidR="003004ED" w:rsidRPr="00CF5041">
        <w:rPr>
          <w:rFonts w:ascii="Times New Roman" w:eastAsia="Times New Roman" w:hAnsi="Times New Roman" w:cs="Times New Roman"/>
          <w:color w:val="auto"/>
          <w:sz w:val="28"/>
          <w:szCs w:val="28"/>
          <w:shd w:val="clear" w:color="auto" w:fill="FFFFFF"/>
          <w:lang w:val="en-US" w:eastAsia="en-US"/>
        </w:rPr>
        <w:t>II</w:t>
      </w:r>
      <w:r w:rsidRPr="00CF5041">
        <w:rPr>
          <w:rFonts w:ascii="Times New Roman" w:eastAsia="Times New Roman" w:hAnsi="Times New Roman" w:cs="Times New Roman"/>
          <w:color w:val="auto"/>
          <w:sz w:val="28"/>
          <w:szCs w:val="28"/>
          <w:shd w:val="clear" w:color="auto" w:fill="FFFFFF"/>
          <w:lang w:val="en-US" w:eastAsia="en-US"/>
        </w:rPr>
        <w:t xml:space="preserve"> ban hành kèm theo Thông tư này</w:t>
      </w:r>
      <w:r w:rsidR="00D86FF7" w:rsidRPr="00CF5041">
        <w:rPr>
          <w:rFonts w:ascii="Times New Roman" w:eastAsia="Times New Roman" w:hAnsi="Times New Roman" w:cs="Times New Roman"/>
          <w:color w:val="auto"/>
          <w:sz w:val="28"/>
          <w:szCs w:val="28"/>
          <w:shd w:val="clear" w:color="auto" w:fill="FFFFFF"/>
          <w:lang w:val="en-US" w:eastAsia="en-US"/>
        </w:rPr>
        <w:t>.</w:t>
      </w:r>
    </w:p>
    <w:p w14:paraId="1E2892AD" w14:textId="21AB5166" w:rsidR="00F73860" w:rsidRPr="00CF5041" w:rsidRDefault="004A71D1" w:rsidP="00D93948">
      <w:pPr>
        <w:pStyle w:val="Heading3"/>
        <w:spacing w:before="120" w:after="120" w:line="240" w:lineRule="auto"/>
        <w:ind w:firstLine="720"/>
        <w:rPr>
          <w:b/>
        </w:rPr>
      </w:pPr>
      <w:bookmarkStart w:id="10" w:name="dieu_6"/>
      <w:r w:rsidRPr="00CF5041">
        <w:rPr>
          <w:rFonts w:ascii="Times New Roman" w:hAnsi="Times New Roman"/>
          <w:b/>
          <w:lang w:val="vi-VN"/>
        </w:rPr>
        <w:t xml:space="preserve">Điều </w:t>
      </w:r>
      <w:r w:rsidR="00947520" w:rsidRPr="00CF5041">
        <w:rPr>
          <w:rFonts w:ascii="Times New Roman" w:hAnsi="Times New Roman"/>
          <w:b/>
        </w:rPr>
        <w:t>9</w:t>
      </w:r>
      <w:r w:rsidRPr="00CF5041">
        <w:rPr>
          <w:rFonts w:ascii="Times New Roman" w:hAnsi="Times New Roman"/>
          <w:b/>
        </w:rPr>
        <w:t xml:space="preserve">. </w:t>
      </w:r>
      <w:r w:rsidR="00F73860" w:rsidRPr="00CF5041">
        <w:rPr>
          <w:rFonts w:ascii="Times New Roman" w:hAnsi="Times New Roman"/>
          <w:b/>
        </w:rPr>
        <w:t>Tỷ lệ khả</w:t>
      </w:r>
      <w:r w:rsidR="00F73860" w:rsidRPr="00CF5041">
        <w:rPr>
          <w:b/>
        </w:rPr>
        <w:t xml:space="preserve"> n</w:t>
      </w:r>
      <w:r w:rsidR="00F73860" w:rsidRPr="00CF5041">
        <w:rPr>
          <w:rFonts w:hint="eastAsia"/>
          <w:b/>
        </w:rPr>
        <w:t>ă</w:t>
      </w:r>
      <w:r w:rsidR="00F73860" w:rsidRPr="00CF5041">
        <w:rPr>
          <w:b/>
        </w:rPr>
        <w:t>ng chi trả</w:t>
      </w:r>
    </w:p>
    <w:p w14:paraId="3DB4005A" w14:textId="47E23493" w:rsidR="00B572A5" w:rsidRPr="00CF5041" w:rsidRDefault="00B572A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1. Tỷ lệ khả năng chi trả được xác định bằng công thức sau:</w:t>
      </w:r>
    </w:p>
    <w:p w14:paraId="4D7F202C" w14:textId="77777777" w:rsidR="009B4701" w:rsidRPr="00CF5041" w:rsidRDefault="009B4701" w:rsidP="00B572A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p>
    <w:p w14:paraId="56B75A9D" w14:textId="73622CDF" w:rsidR="00003FAA" w:rsidRPr="00CF5041" w:rsidRDefault="009B4701" w:rsidP="00B572A5">
      <w:pPr>
        <w:widowControl/>
        <w:shd w:val="clear" w:color="auto" w:fill="FFFFFF"/>
        <w:spacing w:before="120" w:after="120"/>
        <w:ind w:firstLine="720"/>
        <w:jc w:val="both"/>
        <w:rPr>
          <w:rFonts w:ascii="Times New Roman" w:eastAsia="Times New Roman" w:hAnsi="Times New Roman" w:cs="Times New Roman"/>
          <w:color w:val="auto"/>
          <w:sz w:val="26"/>
          <w:szCs w:val="26"/>
          <w:shd w:val="clear" w:color="auto" w:fill="FFFFFF"/>
          <w:lang w:val="en-US" w:eastAsia="en-US"/>
        </w:rPr>
      </w:pPr>
      <m:oMathPara>
        <m:oMath>
          <m:r>
            <m:rPr>
              <m:sty m:val="p"/>
            </m:rPr>
            <w:rPr>
              <w:rFonts w:ascii="Cambria Math" w:eastAsia="Times New Roman" w:hAnsi="Cambria Math" w:cs="Times New Roman"/>
              <w:color w:val="auto"/>
              <w:sz w:val="26"/>
              <w:szCs w:val="26"/>
              <w:shd w:val="clear" w:color="auto" w:fill="FFFFFF"/>
              <w:lang w:val="en-US" w:eastAsia="en-US"/>
            </w:rPr>
            <m:t>Tỷ lệ khả n</m:t>
          </m:r>
          <m:r>
            <m:rPr>
              <m:sty m:val="p"/>
            </m:rPr>
            <w:rPr>
              <w:rFonts w:ascii="Cambria Math" w:eastAsia="Times New Roman" w:hAnsi="Cambria Math" w:cs="Times New Roman" w:hint="eastAsia"/>
              <w:color w:val="auto"/>
              <w:sz w:val="26"/>
              <w:szCs w:val="26"/>
              <w:shd w:val="clear" w:color="auto" w:fill="FFFFFF"/>
              <w:lang w:val="en-US" w:eastAsia="en-US"/>
            </w:rPr>
            <m:t>ă</m:t>
          </m:r>
          <m:r>
            <m:rPr>
              <m:sty m:val="p"/>
            </m:rPr>
            <w:rPr>
              <w:rFonts w:ascii="Cambria Math" w:eastAsia="Times New Roman" w:hAnsi="Cambria Math" w:cs="Times New Roman"/>
              <w:color w:val="auto"/>
              <w:sz w:val="26"/>
              <w:szCs w:val="26"/>
              <w:shd w:val="clear" w:color="auto" w:fill="FFFFFF"/>
              <w:lang w:val="en-US" w:eastAsia="en-US"/>
            </w:rPr>
            <m:t xml:space="preserve">ng chi trả </m:t>
          </m:r>
          <m:d>
            <m:dPr>
              <m:ctrlPr>
                <w:rPr>
                  <w:rFonts w:ascii="Cambria Math" w:eastAsia="Times New Roman" w:hAnsi="Cambria Math" w:cs="Times New Roman"/>
                  <w:color w:val="auto"/>
                  <w:sz w:val="26"/>
                  <w:szCs w:val="26"/>
                  <w:shd w:val="clear" w:color="auto" w:fill="FFFFFF"/>
                  <w:lang w:val="en-US" w:eastAsia="en-US"/>
                </w:rPr>
              </m:ctrlPr>
            </m:dPr>
            <m:e>
              <m:r>
                <m:rPr>
                  <m:sty m:val="p"/>
                </m:rPr>
                <w:rPr>
                  <w:rFonts w:ascii="Cambria Math" w:eastAsia="Times New Roman" w:hAnsi="Cambria Math" w:cs="Times New Roman"/>
                  <w:color w:val="auto"/>
                  <w:sz w:val="26"/>
                  <w:szCs w:val="26"/>
                  <w:shd w:val="clear" w:color="auto" w:fill="FFFFFF"/>
                  <w:lang w:val="en-US" w:eastAsia="en-US"/>
                </w:rPr>
                <m:t>%</m:t>
              </m:r>
            </m:e>
          </m:d>
          <m:r>
            <m:rPr>
              <m:sty m:val="p"/>
            </m:rPr>
            <w:rPr>
              <w:rFonts w:ascii="Cambria Math" w:eastAsia="Times New Roman" w:hAnsi="Cambria Math" w:cs="Times New Roman"/>
              <w:color w:val="auto"/>
              <w:sz w:val="26"/>
              <w:szCs w:val="26"/>
              <w:shd w:val="clear" w:color="auto" w:fill="FFFFFF"/>
              <w:lang w:val="en-US" w:eastAsia="en-US"/>
            </w:rPr>
            <m:t xml:space="preserve">= </m:t>
          </m:r>
          <m:f>
            <m:fPr>
              <m:ctrlPr>
                <w:rPr>
                  <w:rFonts w:ascii="Cambria Math" w:eastAsia="Times New Roman" w:hAnsi="Cambria Math" w:cs="Times New Roman"/>
                  <w:color w:val="auto"/>
                  <w:sz w:val="26"/>
                  <w:szCs w:val="26"/>
                  <w:shd w:val="clear" w:color="auto" w:fill="FFFFFF"/>
                  <w:lang w:val="en-US" w:eastAsia="en-US"/>
                </w:rPr>
              </m:ctrlPr>
            </m:fPr>
            <m:num>
              <m:r>
                <m:rPr>
                  <m:sty m:val="p"/>
                </m:rPr>
                <w:rPr>
                  <w:rFonts w:ascii="Cambria Math" w:eastAsia="Times New Roman" w:hAnsi="Cambria Math" w:cs="Times New Roman"/>
                  <w:color w:val="auto"/>
                  <w:sz w:val="26"/>
                  <w:szCs w:val="26"/>
                  <w:shd w:val="clear" w:color="auto" w:fill="FFFFFF"/>
                  <w:lang w:val="en-US" w:eastAsia="en-US"/>
                </w:rPr>
                <m:t>T</m:t>
              </m:r>
              <m:r>
                <m:rPr>
                  <m:sty m:val="p"/>
                </m:rPr>
                <w:rPr>
                  <w:rFonts w:ascii="Cambria Math" w:eastAsia="Times New Roman" w:hAnsi="Cambria Math" w:cs="Times New Roman" w:hint="eastAsia"/>
                  <w:color w:val="auto"/>
                  <w:sz w:val="26"/>
                  <w:szCs w:val="26"/>
                  <w:shd w:val="clear" w:color="auto" w:fill="FFFFFF"/>
                  <w:lang w:val="en-US" w:eastAsia="en-US"/>
                </w:rPr>
                <m:t>à</m:t>
              </m:r>
              <m:r>
                <m:rPr>
                  <m:sty m:val="p"/>
                </m:rPr>
                <w:rPr>
                  <w:rFonts w:ascii="Cambria Math" w:eastAsia="Times New Roman" w:hAnsi="Cambria Math" w:cs="Times New Roman"/>
                  <w:color w:val="auto"/>
                  <w:sz w:val="26"/>
                  <w:szCs w:val="26"/>
                  <w:shd w:val="clear" w:color="auto" w:fill="FFFFFF"/>
                  <w:lang w:val="en-US" w:eastAsia="en-US"/>
                </w:rPr>
                <m:t>i sản "</m:t>
              </m:r>
              <m:r>
                <m:rPr>
                  <m:nor/>
                </m:rPr>
                <w:rPr>
                  <w:rFonts w:ascii="Times New Roman" w:eastAsia="Times New Roman" w:hAnsi="Times New Roman" w:cs="Times New Roman"/>
                  <w:color w:val="auto"/>
                  <w:sz w:val="26"/>
                  <w:szCs w:val="26"/>
                  <w:shd w:val="clear" w:color="auto" w:fill="FFFFFF"/>
                  <w:lang w:val="en-US" w:eastAsia="en-US"/>
                </w:rPr>
                <m:t>Có" có</m:t>
              </m:r>
              <m:r>
                <m:rPr>
                  <m:sty m:val="p"/>
                </m:rPr>
                <w:rPr>
                  <w:rFonts w:ascii="Cambria Math" w:eastAsia="Times New Roman" w:hAnsi="Cambria Math" w:cs="Times New Roman"/>
                  <w:color w:val="auto"/>
                  <w:sz w:val="26"/>
                  <w:szCs w:val="26"/>
                  <w:shd w:val="clear" w:color="auto" w:fill="FFFFFF"/>
                  <w:lang w:val="en-US" w:eastAsia="en-US"/>
                </w:rPr>
                <m:t xml:space="preserve"> thể thanh to</m:t>
              </m:r>
              <m:r>
                <m:rPr>
                  <m:sty m:val="p"/>
                </m:rPr>
                <w:rPr>
                  <w:rFonts w:ascii="Cambria Math" w:eastAsia="Times New Roman" w:hAnsi="Cambria Math" w:cs="Times New Roman" w:hint="eastAsia"/>
                  <w:color w:val="auto"/>
                  <w:sz w:val="26"/>
                  <w:szCs w:val="26"/>
                  <w:shd w:val="clear" w:color="auto" w:fill="FFFFFF"/>
                  <w:lang w:val="en-US" w:eastAsia="en-US"/>
                </w:rPr>
                <m:t>á</m:t>
              </m:r>
              <m:r>
                <m:rPr>
                  <m:sty m:val="p"/>
                </m:rPr>
                <w:rPr>
                  <w:rFonts w:ascii="Cambria Math" w:eastAsia="Times New Roman" w:hAnsi="Cambria Math" w:cs="Times New Roman"/>
                  <w:color w:val="auto"/>
                  <w:sz w:val="26"/>
                  <w:szCs w:val="26"/>
                  <w:shd w:val="clear" w:color="auto" w:fill="FFFFFF"/>
                  <w:lang w:val="en-US" w:eastAsia="en-US"/>
                </w:rPr>
                <m:t>n ngay</m:t>
              </m:r>
            </m:num>
            <m:den>
              <m:r>
                <m:rPr>
                  <m:sty m:val="p"/>
                </m:rPr>
                <w:rPr>
                  <w:rFonts w:ascii="Cambria Math" w:eastAsia="Times New Roman" w:hAnsi="Cambria Math" w:cs="Times New Roman"/>
                  <w:color w:val="auto"/>
                  <w:sz w:val="26"/>
                  <w:szCs w:val="26"/>
                  <w:shd w:val="clear" w:color="auto" w:fill="FFFFFF"/>
                  <w:lang w:val="en-US" w:eastAsia="en-US"/>
                </w:rPr>
                <m:t>T</m:t>
              </m:r>
              <m:r>
                <m:rPr>
                  <m:sty m:val="p"/>
                </m:rPr>
                <w:rPr>
                  <w:rFonts w:ascii="Cambria Math" w:eastAsia="Times New Roman" w:hAnsi="Cambria Math" w:cs="Times New Roman" w:hint="eastAsia"/>
                  <w:color w:val="auto"/>
                  <w:sz w:val="26"/>
                  <w:szCs w:val="26"/>
                  <w:shd w:val="clear" w:color="auto" w:fill="FFFFFF"/>
                  <w:lang w:val="en-US" w:eastAsia="en-US"/>
                </w:rPr>
                <m:t>à</m:t>
              </m:r>
              <m:r>
                <m:rPr>
                  <m:sty m:val="p"/>
                </m:rPr>
                <w:rPr>
                  <w:rFonts w:ascii="Cambria Math" w:eastAsia="Times New Roman" w:hAnsi="Cambria Math" w:cs="Times New Roman"/>
                  <w:color w:val="auto"/>
                  <w:sz w:val="26"/>
                  <w:szCs w:val="26"/>
                  <w:shd w:val="clear" w:color="auto" w:fill="FFFFFF"/>
                  <w:lang w:val="en-US" w:eastAsia="en-US"/>
                </w:rPr>
                <m:t>i sản "Nợ" phải thanh to</m:t>
              </m:r>
              <m:r>
                <m:rPr>
                  <m:sty m:val="p"/>
                </m:rPr>
                <w:rPr>
                  <w:rFonts w:ascii="Cambria Math" w:eastAsia="Times New Roman" w:hAnsi="Cambria Math" w:cs="Times New Roman" w:hint="eastAsia"/>
                  <w:color w:val="auto"/>
                  <w:sz w:val="26"/>
                  <w:szCs w:val="26"/>
                  <w:shd w:val="clear" w:color="auto" w:fill="FFFFFF"/>
                  <w:lang w:val="en-US" w:eastAsia="en-US"/>
                </w:rPr>
                <m:t>á</m:t>
              </m:r>
              <m:r>
                <m:rPr>
                  <m:sty m:val="p"/>
                </m:rPr>
                <w:rPr>
                  <w:rFonts w:ascii="Cambria Math" w:eastAsia="Times New Roman" w:hAnsi="Cambria Math" w:cs="Times New Roman"/>
                  <w:color w:val="auto"/>
                  <w:sz w:val="26"/>
                  <w:szCs w:val="26"/>
                  <w:shd w:val="clear" w:color="auto" w:fill="FFFFFF"/>
                  <w:lang w:val="en-US" w:eastAsia="en-US"/>
                </w:rPr>
                <m:t>n</m:t>
              </m:r>
            </m:den>
          </m:f>
          <m:r>
            <w:rPr>
              <w:rFonts w:ascii="Cambria Math" w:eastAsia="Times New Roman" w:hAnsi="Cambria Math" w:cs="Times New Roman"/>
              <w:color w:val="auto"/>
              <w:sz w:val="26"/>
              <w:szCs w:val="26"/>
              <w:shd w:val="clear" w:color="auto" w:fill="FFFFFF"/>
              <w:lang w:val="en-US" w:eastAsia="en-US"/>
            </w:rPr>
            <m:t xml:space="preserve"> </m:t>
          </m:r>
          <m:r>
            <m:rPr>
              <m:sty m:val="p"/>
            </m:rPr>
            <w:rPr>
              <w:rFonts w:ascii="Cambria Math" w:eastAsia="Times New Roman" w:hAnsi="Cambria Math" w:cs="Times New Roman"/>
              <w:color w:val="auto"/>
              <w:sz w:val="26"/>
              <w:szCs w:val="26"/>
              <w:shd w:val="clear" w:color="auto" w:fill="FFFFFF"/>
              <w:lang w:val="en-US" w:eastAsia="en-US"/>
            </w:rPr>
            <m:t>x 100</m:t>
          </m:r>
        </m:oMath>
      </m:oMathPara>
    </w:p>
    <w:p w14:paraId="21021FC3" w14:textId="77777777" w:rsidR="009B4701" w:rsidRPr="00CF5041" w:rsidRDefault="009B4701" w:rsidP="00B572A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p>
    <w:p w14:paraId="73C70B55" w14:textId="36832254" w:rsidR="00383527" w:rsidRPr="00CF5041" w:rsidRDefault="00383527" w:rsidP="00383527">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xml:space="preserve">Trong đó: Tài sản “Có” có thể thanh toán ngay, Tài sản “Nợ” phải thanh toán được xác định theo quy định tại Phụ lục </w:t>
      </w:r>
      <w:r w:rsidR="000136EC" w:rsidRPr="00CF5041">
        <w:rPr>
          <w:rFonts w:ascii="Times New Roman" w:eastAsia="Times New Roman" w:hAnsi="Times New Roman" w:cs="Times New Roman"/>
          <w:color w:val="auto"/>
          <w:sz w:val="28"/>
          <w:szCs w:val="28"/>
          <w:shd w:val="clear" w:color="auto" w:fill="FFFFFF"/>
          <w:lang w:val="en-US" w:eastAsia="en-US"/>
        </w:rPr>
        <w:t>III</w:t>
      </w:r>
      <w:r w:rsidRPr="00CF5041">
        <w:rPr>
          <w:rFonts w:ascii="Times New Roman" w:eastAsia="Times New Roman" w:hAnsi="Times New Roman" w:cs="Times New Roman"/>
          <w:color w:val="auto"/>
          <w:sz w:val="28"/>
          <w:szCs w:val="28"/>
          <w:shd w:val="clear" w:color="auto" w:fill="FFFFFF"/>
          <w:lang w:val="en-US" w:eastAsia="en-US"/>
        </w:rPr>
        <w:t xml:space="preserve"> ban hành kèm theo Thông tư này.</w:t>
      </w:r>
    </w:p>
    <w:p w14:paraId="57B7B552" w14:textId="79FD44AC" w:rsidR="00B572A5" w:rsidRPr="00CF5041" w:rsidRDefault="00383527" w:rsidP="00383527">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2. Kết thúc ngày làm việc, quỹ tín dụng nhân dân phải duy trì tỷ lệ khả năng chi trả trong ngày tiếp theo và tỷ lệ khả năng chi trả trong khoảng thời gian 7 (bảy) ngày tiếp theo tối thiểu bằng 100%</w:t>
      </w:r>
      <w:r w:rsidR="00B572A5" w:rsidRPr="00CF5041">
        <w:rPr>
          <w:rFonts w:ascii="Times New Roman" w:eastAsia="Times New Roman" w:hAnsi="Times New Roman" w:cs="Times New Roman"/>
          <w:color w:val="auto"/>
          <w:sz w:val="28"/>
          <w:szCs w:val="28"/>
          <w:shd w:val="clear" w:color="auto" w:fill="FFFFFF"/>
          <w:lang w:val="en-US" w:eastAsia="en-US"/>
        </w:rPr>
        <w:t>.</w:t>
      </w:r>
    </w:p>
    <w:p w14:paraId="1F48EAB7" w14:textId="56F1CDA6" w:rsidR="007B2D3A" w:rsidRPr="00CF5041" w:rsidRDefault="007B2D3A" w:rsidP="00D93948">
      <w:pPr>
        <w:pStyle w:val="Heading3"/>
        <w:spacing w:before="120" w:after="120" w:line="240" w:lineRule="auto"/>
        <w:ind w:firstLine="720"/>
        <w:rPr>
          <w:b/>
        </w:rPr>
      </w:pPr>
      <w:bookmarkStart w:id="11" w:name="dieu_9"/>
      <w:bookmarkEnd w:id="10"/>
      <w:r w:rsidRPr="00CF5041">
        <w:rPr>
          <w:rFonts w:ascii="Times New Roman" w:hAnsi="Times New Roman"/>
          <w:b/>
          <w:lang w:val="vi-VN"/>
        </w:rPr>
        <w:t xml:space="preserve">Điều </w:t>
      </w:r>
      <w:r w:rsidR="00947520" w:rsidRPr="00CF5041">
        <w:rPr>
          <w:rFonts w:ascii="Times New Roman" w:hAnsi="Times New Roman"/>
          <w:b/>
        </w:rPr>
        <w:t>10</w:t>
      </w:r>
      <w:r w:rsidRPr="00CF5041">
        <w:rPr>
          <w:b/>
          <w:lang w:val="vi-VN"/>
        </w:rPr>
        <w:t xml:space="preserve">. </w:t>
      </w:r>
      <w:bookmarkEnd w:id="11"/>
      <w:r w:rsidR="00DB3088" w:rsidRPr="00CF5041">
        <w:rPr>
          <w:b/>
        </w:rPr>
        <w:t>T</w:t>
      </w:r>
      <w:r w:rsidR="00A91705" w:rsidRPr="00CF5041">
        <w:rPr>
          <w:b/>
        </w:rPr>
        <w:t xml:space="preserve">ỷ lệ nguồn vốn ngắn hạn </w:t>
      </w:r>
      <w:r w:rsidR="00A91705" w:rsidRPr="00CF5041">
        <w:rPr>
          <w:rFonts w:hint="eastAsia"/>
          <w:b/>
        </w:rPr>
        <w:t>đư</w:t>
      </w:r>
      <w:r w:rsidR="00A91705" w:rsidRPr="00CF5041">
        <w:rPr>
          <w:b/>
        </w:rPr>
        <w:t xml:space="preserve">ợc sử dụng </w:t>
      </w:r>
      <w:r w:rsidR="00A91705" w:rsidRPr="00CF5041">
        <w:rPr>
          <w:rFonts w:hint="eastAsia"/>
          <w:b/>
        </w:rPr>
        <w:t>đ</w:t>
      </w:r>
      <w:r w:rsidR="00A91705" w:rsidRPr="00CF5041">
        <w:rPr>
          <w:b/>
        </w:rPr>
        <w:t>ể cho vay trung hạn v</w:t>
      </w:r>
      <w:r w:rsidR="00A91705" w:rsidRPr="00CF5041">
        <w:rPr>
          <w:rFonts w:hint="eastAsia"/>
          <w:b/>
        </w:rPr>
        <w:t>à</w:t>
      </w:r>
      <w:r w:rsidR="00A91705" w:rsidRPr="00CF5041">
        <w:rPr>
          <w:b/>
        </w:rPr>
        <w:t xml:space="preserve"> d</w:t>
      </w:r>
      <w:r w:rsidR="00A91705" w:rsidRPr="00CF5041">
        <w:rPr>
          <w:rFonts w:hint="eastAsia"/>
          <w:b/>
        </w:rPr>
        <w:t>à</w:t>
      </w:r>
      <w:r w:rsidR="00A91705" w:rsidRPr="00CF5041">
        <w:rPr>
          <w:b/>
        </w:rPr>
        <w:t>i hạn</w:t>
      </w:r>
    </w:p>
    <w:p w14:paraId="60C2D555" w14:textId="156B36F8" w:rsidR="00671177" w:rsidRPr="00CF5041" w:rsidRDefault="00671177" w:rsidP="00671177">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1. Quỹ tín dụng nhân dân phải duy trì tỷ lệ nguồn vốn ngắn hạn được sử dụng để cho vay trung hạn và dài hạn tối đa là 30%.</w:t>
      </w:r>
    </w:p>
    <w:p w14:paraId="3E6CD964" w14:textId="4D287D84" w:rsidR="00B572A5" w:rsidRPr="00CF5041" w:rsidRDefault="00671177" w:rsidP="00671177">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2. Tỷ lệ nguồn vốn ngắn hạn được sử dụng để cho vay trung hạn và dài hạn được xác định theo công thức sau:</w:t>
      </w:r>
    </w:p>
    <w:p w14:paraId="70DC9FDA" w14:textId="781E7CC0" w:rsidR="00B572A5" w:rsidRPr="00CF5041" w:rsidRDefault="00B572A5" w:rsidP="00B572A5">
      <w:pPr>
        <w:widowControl/>
        <w:shd w:val="clear" w:color="auto" w:fill="FFFFFF"/>
        <w:spacing w:before="120" w:after="120"/>
        <w:ind w:firstLine="720"/>
        <w:jc w:val="both"/>
        <w:rPr>
          <w:rFonts w:ascii="Times New Roman" w:eastAsia="Times New Roman" w:hAnsi="Times New Roman" w:cs="Times New Roman"/>
          <w:color w:val="auto"/>
          <w:sz w:val="26"/>
          <w:szCs w:val="26"/>
          <w:shd w:val="clear" w:color="auto" w:fill="FFFFFF"/>
          <w:lang w:val="en-US" w:eastAsia="en-US"/>
        </w:rPr>
      </w:pPr>
      <m:oMathPara>
        <m:oMath>
          <m:r>
            <m:rPr>
              <m:sty m:val="p"/>
            </m:rPr>
            <w:rPr>
              <w:rFonts w:ascii="Cambria Math" w:eastAsia="Times New Roman" w:hAnsi="Cambria Math"/>
            </w:rPr>
            <w:br/>
          </m:r>
        </m:oMath>
        <m:oMath>
          <m:r>
            <m:rPr>
              <m:sty m:val="p"/>
            </m:rPr>
            <w:rPr>
              <w:rFonts w:ascii="Cambria Math" w:eastAsia="Times New Roman" w:hAnsi="Cambria Math"/>
              <w:sz w:val="26"/>
              <w:szCs w:val="26"/>
            </w:rPr>
            <m:t>A (%)=</m:t>
          </m:r>
          <m:f>
            <m:fPr>
              <m:ctrlPr>
                <w:rPr>
                  <w:rFonts w:ascii="Cambria Math" w:eastAsia="Times New Roman" w:hAnsi="Cambria Math" w:cs="Times New Roman"/>
                  <w:sz w:val="26"/>
                  <w:szCs w:val="26"/>
                </w:rPr>
              </m:ctrlPr>
            </m:fPr>
            <m:num>
              <m:r>
                <m:rPr>
                  <m:sty m:val="p"/>
                </m:rPr>
                <w:rPr>
                  <w:rFonts w:ascii="Cambria Math" w:eastAsia="Times New Roman" w:hAnsi="Cambria Math"/>
                  <w:sz w:val="26"/>
                  <w:szCs w:val="26"/>
                </w:rPr>
                <m:t>(B-C)</m:t>
              </m:r>
            </m:num>
            <m:den>
              <m:r>
                <m:rPr>
                  <m:sty m:val="p"/>
                </m:rPr>
                <w:rPr>
                  <w:rFonts w:ascii="Cambria Math" w:eastAsia="Times New Roman" w:hAnsi="Cambria Math"/>
                  <w:sz w:val="26"/>
                  <w:szCs w:val="26"/>
                </w:rPr>
                <m:t>D</m:t>
              </m:r>
            </m:den>
          </m:f>
          <m:r>
            <m:rPr>
              <m:sty m:val="p"/>
            </m:rPr>
            <w:rPr>
              <w:rFonts w:ascii="Cambria Math" w:eastAsia="Times New Roman" w:hAnsi="Cambria Math"/>
              <w:sz w:val="26"/>
              <w:szCs w:val="26"/>
            </w:rPr>
            <m:t xml:space="preserve"> </m:t>
          </m:r>
          <m:r>
            <m:rPr>
              <m:sty m:val="p"/>
            </m:rPr>
            <w:rPr>
              <w:rFonts w:ascii="Cambria Math" w:eastAsia="Times New Roman" w:hAnsi="Cambria Math" w:hint="eastAsia"/>
              <w:sz w:val="26"/>
              <w:szCs w:val="26"/>
            </w:rPr>
            <m:t>×</m:t>
          </m:r>
          <m:r>
            <m:rPr>
              <m:sty m:val="p"/>
            </m:rPr>
            <w:rPr>
              <w:rFonts w:ascii="Cambria Math" w:eastAsia="Times New Roman" w:hAnsi="Cambria Math"/>
              <w:sz w:val="26"/>
              <w:szCs w:val="26"/>
            </w:rPr>
            <m:t>100</m:t>
          </m:r>
        </m:oMath>
      </m:oMathPara>
    </w:p>
    <w:p w14:paraId="5AED55D2" w14:textId="77777777" w:rsidR="00B572A5" w:rsidRPr="00CF5041" w:rsidRDefault="00B572A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Trong đó:</w:t>
      </w:r>
    </w:p>
    <w:p w14:paraId="1C3D4DDD" w14:textId="25641E5A" w:rsidR="00671177" w:rsidRPr="00CF5041" w:rsidRDefault="00671177" w:rsidP="00671177">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A: tỷ lệ nguồn vốn ngắn hạn được sử dụng để cho vay trung hạn và dài hạn</w:t>
      </w:r>
      <w:r w:rsidR="002B28F0" w:rsidRPr="00CF5041">
        <w:rPr>
          <w:rFonts w:ascii="Times New Roman" w:eastAsia="Times New Roman" w:hAnsi="Times New Roman" w:cs="Times New Roman"/>
          <w:color w:val="auto"/>
          <w:sz w:val="28"/>
          <w:szCs w:val="28"/>
          <w:shd w:val="clear" w:color="auto" w:fill="FFFFFF"/>
          <w:lang w:val="en-US" w:eastAsia="en-US"/>
        </w:rPr>
        <w:t>;</w:t>
      </w:r>
    </w:p>
    <w:p w14:paraId="76E0E0AD" w14:textId="39985922" w:rsidR="00671177" w:rsidRPr="00CF5041" w:rsidRDefault="00671177" w:rsidP="00671177">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lastRenderedPageBreak/>
        <w:t>- B: tổng dư nợ cho vay trung hạn và dài hạn quy định tại khoản 3 Điều này</w:t>
      </w:r>
      <w:r w:rsidR="002B28F0" w:rsidRPr="00CF5041">
        <w:rPr>
          <w:rFonts w:ascii="Times New Roman" w:eastAsia="Times New Roman" w:hAnsi="Times New Roman" w:cs="Times New Roman"/>
          <w:color w:val="auto"/>
          <w:sz w:val="28"/>
          <w:szCs w:val="28"/>
          <w:shd w:val="clear" w:color="auto" w:fill="FFFFFF"/>
          <w:lang w:val="en-US" w:eastAsia="en-US"/>
        </w:rPr>
        <w:t>;</w:t>
      </w:r>
    </w:p>
    <w:p w14:paraId="2C1836AF" w14:textId="24A05235" w:rsidR="00671177" w:rsidRPr="00CF5041" w:rsidRDefault="00671177" w:rsidP="00671177">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C: tổng nguồn vốn trung hạn và dài hạn quy định tại khoản 4 Điều này</w:t>
      </w:r>
      <w:r w:rsidR="002B28F0" w:rsidRPr="00CF5041">
        <w:rPr>
          <w:rFonts w:ascii="Times New Roman" w:eastAsia="Times New Roman" w:hAnsi="Times New Roman" w:cs="Times New Roman"/>
          <w:color w:val="auto"/>
          <w:sz w:val="28"/>
          <w:szCs w:val="28"/>
          <w:shd w:val="clear" w:color="auto" w:fill="FFFFFF"/>
          <w:lang w:val="en-US" w:eastAsia="en-US"/>
        </w:rPr>
        <w:t>;</w:t>
      </w:r>
    </w:p>
    <w:p w14:paraId="37F6B41D" w14:textId="77777777" w:rsidR="00671177" w:rsidRPr="00CF5041" w:rsidRDefault="00671177" w:rsidP="00671177">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D: nguồn vốn ngắn hạn quy định tại khoản 5 Điều này.</w:t>
      </w:r>
    </w:p>
    <w:p w14:paraId="0E687C87" w14:textId="77777777" w:rsidR="00671177" w:rsidRPr="00CF5041" w:rsidRDefault="00671177" w:rsidP="00671177">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3. Tổng dư nợ cho vay trung hạn và dài hạn bao gồm dư nợ cho vay có thời hạn còn lại trên 01 (một) năm. Tổng dư nợ cho vay trung hạn và dài hạn không bao gồm dư nợ cho vay theo ủy thác của Chính phủ, tổ chức (bao gồm cả tổ chức tín dụng, chi nhánh ngân hàng nước ngoài khác) và cá nhân.</w:t>
      </w:r>
    </w:p>
    <w:p w14:paraId="597DFF2A" w14:textId="77777777" w:rsidR="00671177" w:rsidRPr="00CF5041" w:rsidRDefault="00671177" w:rsidP="00671177">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4. Nguồn vốn trung hạn và dài hạn bao gồm:</w:t>
      </w:r>
    </w:p>
    <w:p w14:paraId="51B2C9F8" w14:textId="77777777" w:rsidR="00671177" w:rsidRPr="00CF5041" w:rsidRDefault="00671177" w:rsidP="00671177">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a) Vốn điều lệ, quỹ dự trữ bổ sung vốn điều lệ, quỹ đầu tư phát triển và quỹ dự phòng tài chính còn lại sau khi trừ đi lỗ lũy kế (được xác định trên bảng cân đối tài khoản kế toán tại thời điểm tính tỷ lệ tối đa của nguồn vốn ngắn hạn được sử dụng để cho vay trung hạn và dài hạn), giá trị nguyên giá của các khoản mua, đầu tư tài sản cố định, góp vốn vào ngân hàng hợp tác xã theo quy định của pháp luật;</w:t>
      </w:r>
    </w:p>
    <w:p w14:paraId="52FB1585" w14:textId="77777777" w:rsidR="00671177" w:rsidRPr="00CF5041" w:rsidRDefault="00671177" w:rsidP="00671177">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b) Các khoản sau đây có thời hạn còn lại trên 01 (một) năm, bao gồm:</w:t>
      </w:r>
    </w:p>
    <w:p w14:paraId="057574C6" w14:textId="77777777" w:rsidR="00671177" w:rsidRPr="00CF5041" w:rsidRDefault="00671177" w:rsidP="00671177">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(i) Tiền gửi có kỳ hạn, tiền gửi tiết kiệm của tổ chức, cá nhân;</w:t>
      </w:r>
    </w:p>
    <w:p w14:paraId="060D8129" w14:textId="77777777" w:rsidR="00671177" w:rsidRPr="00CF5041" w:rsidRDefault="00671177" w:rsidP="00671177">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(ii) Khoản vay từ tổ chức tín dụng, tổ chức tài chính khác.</w:t>
      </w:r>
    </w:p>
    <w:p w14:paraId="4F20C255" w14:textId="77777777" w:rsidR="00671177" w:rsidRPr="00CF5041" w:rsidRDefault="00671177" w:rsidP="00671177">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5. Nguồn vốn ngắn hạn gồm:</w:t>
      </w:r>
    </w:p>
    <w:p w14:paraId="36CC18D0" w14:textId="77777777" w:rsidR="00671177" w:rsidRPr="00CF5041" w:rsidRDefault="00671177" w:rsidP="00671177">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a) Tiền gửi không kỳ hạn;</w:t>
      </w:r>
    </w:p>
    <w:p w14:paraId="4EE0A68C" w14:textId="77777777" w:rsidR="00671177" w:rsidRPr="00CF5041" w:rsidRDefault="00671177" w:rsidP="00671177">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b) Các khoản sau đây có thời hạn còn lại đến 01 (một) năm:</w:t>
      </w:r>
    </w:p>
    <w:p w14:paraId="1B623189" w14:textId="77777777" w:rsidR="00671177" w:rsidRPr="00CF5041" w:rsidRDefault="00671177" w:rsidP="00671177">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(i) Tiền gửi có kỳ hạn, tiền gửi tiết kiệm của tổ chức, cá nhân;</w:t>
      </w:r>
    </w:p>
    <w:p w14:paraId="21132518" w14:textId="77777777" w:rsidR="00671177" w:rsidRPr="00CF5041" w:rsidRDefault="00671177" w:rsidP="00671177">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(ii) Khoản vay từ tổ chức tín dụng, tổ chức tài chính khác.</w:t>
      </w:r>
    </w:p>
    <w:p w14:paraId="197C103D" w14:textId="0CED1DAB" w:rsidR="00F6326B" w:rsidRPr="00CF5041" w:rsidRDefault="00671177" w:rsidP="00671177">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6. Trường hợp quỹ tín dụng nhân dân có tổng dư nợ cho vay trung hạn và dài hạn quy định tại khoản 3 Điều này nhỏ hơn tổng nguồn vốn trung hạn và dài hạn quy định tại khoản 4 Điều này khi tính tỷ lệ nguồn vốn ngắn hạn được sử dụng để cho vay trung hạn và dài hạn thì tỷ lệ này có giá trị bằng 0</w:t>
      </w:r>
      <w:r w:rsidR="00B572A5" w:rsidRPr="00CF5041">
        <w:rPr>
          <w:rFonts w:ascii="Times New Roman" w:eastAsia="Times New Roman" w:hAnsi="Times New Roman" w:cs="Times New Roman"/>
          <w:color w:val="auto"/>
          <w:sz w:val="28"/>
          <w:szCs w:val="28"/>
          <w:shd w:val="clear" w:color="auto" w:fill="FFFFFF"/>
          <w:lang w:val="en-US" w:eastAsia="en-US"/>
        </w:rPr>
        <w:t>.</w:t>
      </w:r>
    </w:p>
    <w:p w14:paraId="3FB03C7A" w14:textId="312F5682" w:rsidR="000B17C3" w:rsidRPr="00CF5041" w:rsidRDefault="000B17C3" w:rsidP="00D93948">
      <w:pPr>
        <w:pStyle w:val="Heading3"/>
        <w:spacing w:before="120" w:after="120" w:line="240" w:lineRule="auto"/>
        <w:ind w:firstLine="720"/>
        <w:rPr>
          <w:b/>
        </w:rPr>
      </w:pPr>
      <w:r w:rsidRPr="00CF5041">
        <w:rPr>
          <w:rFonts w:hint="eastAsia"/>
          <w:b/>
        </w:rPr>
        <w:t>Đ</w:t>
      </w:r>
      <w:r w:rsidRPr="00CF5041">
        <w:rPr>
          <w:b/>
        </w:rPr>
        <w:t xml:space="preserve">iều </w:t>
      </w:r>
      <w:r w:rsidR="00A91705" w:rsidRPr="00CF5041">
        <w:rPr>
          <w:b/>
        </w:rPr>
        <w:t>1</w:t>
      </w:r>
      <w:r w:rsidR="00E05BBD" w:rsidRPr="00CF5041">
        <w:rPr>
          <w:b/>
        </w:rPr>
        <w:t>1</w:t>
      </w:r>
      <w:r w:rsidRPr="00CF5041">
        <w:rPr>
          <w:b/>
        </w:rPr>
        <w:t xml:space="preserve">. </w:t>
      </w:r>
      <w:r w:rsidR="00A91705" w:rsidRPr="00CF5041">
        <w:rPr>
          <w:b/>
        </w:rPr>
        <w:t>Tỷ lệ tổng mức nhận tiền gửi so với vốn chủ sở hữu</w:t>
      </w:r>
    </w:p>
    <w:p w14:paraId="075AED2C" w14:textId="56A050E9" w:rsidR="00B572A5" w:rsidRPr="00CF5041" w:rsidRDefault="00B572A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xml:space="preserve">1. </w:t>
      </w:r>
      <w:r w:rsidR="00627853" w:rsidRPr="00CF5041">
        <w:rPr>
          <w:rFonts w:ascii="Times New Roman" w:eastAsia="Times New Roman" w:hAnsi="Times New Roman" w:cs="Times New Roman"/>
          <w:color w:val="auto"/>
          <w:sz w:val="28"/>
          <w:szCs w:val="28"/>
          <w:shd w:val="clear" w:color="auto" w:fill="FFFFFF"/>
          <w:lang w:val="en-US" w:eastAsia="en-US"/>
        </w:rPr>
        <w:t>Quỹ tín dụng nhân dân phải duy trì tỷ lệ tổng mức nhận tiền gửi so với vốn chủ sở hữu không được vượt quá 20 lần</w:t>
      </w:r>
      <w:r w:rsidRPr="00CF5041">
        <w:rPr>
          <w:rFonts w:ascii="Times New Roman" w:eastAsia="Times New Roman" w:hAnsi="Times New Roman" w:cs="Times New Roman"/>
          <w:color w:val="auto"/>
          <w:sz w:val="28"/>
          <w:szCs w:val="28"/>
          <w:shd w:val="clear" w:color="auto" w:fill="FFFFFF"/>
          <w:lang w:val="en-US" w:eastAsia="en-US"/>
        </w:rPr>
        <w:t>.</w:t>
      </w:r>
    </w:p>
    <w:p w14:paraId="464959AC" w14:textId="4C70D40A" w:rsidR="00B572A5" w:rsidRPr="00CF5041" w:rsidRDefault="00B572A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xml:space="preserve">2. </w:t>
      </w:r>
      <w:r w:rsidR="00627853" w:rsidRPr="00CF5041">
        <w:rPr>
          <w:rFonts w:ascii="Times New Roman" w:eastAsia="Times New Roman" w:hAnsi="Times New Roman" w:cs="Times New Roman"/>
          <w:color w:val="auto"/>
          <w:sz w:val="28"/>
          <w:szCs w:val="28"/>
          <w:shd w:val="clear" w:color="auto" w:fill="FFFFFF"/>
          <w:lang w:val="en-US" w:eastAsia="en-US"/>
        </w:rPr>
        <w:t>Tỷ lệ tổng mức nhận tiền gửi so với vốn chủ sở hữu được xác định theo công thức sau</w:t>
      </w:r>
      <w:r w:rsidRPr="00CF5041">
        <w:rPr>
          <w:rFonts w:ascii="Times New Roman" w:eastAsia="Times New Roman" w:hAnsi="Times New Roman" w:cs="Times New Roman"/>
          <w:color w:val="auto"/>
          <w:sz w:val="28"/>
          <w:szCs w:val="28"/>
          <w:shd w:val="clear" w:color="auto" w:fill="FFFFFF"/>
          <w:lang w:val="en-US" w:eastAsia="en-US"/>
        </w:rPr>
        <w:t>:</w:t>
      </w:r>
    </w:p>
    <w:p w14:paraId="666C1E1A" w14:textId="285DDBA5" w:rsidR="00C10384" w:rsidRPr="00CF5041" w:rsidRDefault="00C10384" w:rsidP="00C10384">
      <w:pPr>
        <w:shd w:val="clear" w:color="auto" w:fill="FFFFFF"/>
        <w:spacing w:before="120" w:after="120"/>
        <w:jc w:val="center"/>
        <w:rPr>
          <w:rFonts w:eastAsia="Times New Roman" w:cs="Times New Roman"/>
          <w:sz w:val="26"/>
          <w:szCs w:val="26"/>
        </w:rPr>
      </w:pPr>
      <w:r w:rsidRPr="00CF5041">
        <w:rPr>
          <w:rFonts w:ascii="Times New Roman" w:eastAsia="Times New Roman" w:hAnsi="Times New Roman" w:cs="Times New Roman"/>
          <w:color w:val="auto"/>
          <w:sz w:val="28"/>
          <w:szCs w:val="28"/>
          <w:shd w:val="clear" w:color="auto" w:fill="FFFFFF"/>
          <w:lang w:val="en-US" w:eastAsia="en-US"/>
        </w:rPr>
        <w:t xml:space="preserve">               </w:t>
      </w:r>
      <m:oMath>
        <m:r>
          <m:rPr>
            <m:sty m:val="p"/>
          </m:rPr>
          <w:rPr>
            <w:rFonts w:ascii="Cambria Math" w:eastAsia="Times New Roman" w:hAnsi="Cambria Math" w:cs="Times New Roman"/>
          </w:rPr>
          <w:br/>
        </m:r>
      </m:oMath>
      <m:oMathPara>
        <m:oMath>
          <m:r>
            <m:rPr>
              <m:sty m:val="p"/>
            </m:rPr>
            <w:rPr>
              <w:rFonts w:ascii="Cambria Math" w:eastAsia="Times New Roman" w:hAnsi="Cambria Math" w:cs="Times New Roman"/>
              <w:sz w:val="26"/>
              <w:szCs w:val="26"/>
            </w:rPr>
            <m:t>A (lần)</m:t>
          </m:r>
          <m:r>
            <m:rPr>
              <m:sty m:val="p"/>
            </m:rPr>
            <w:rPr>
              <w:rFonts w:ascii="Cambria Math" w:eastAsia="Times New Roman" w:hAnsi="Cambria Math"/>
              <w:sz w:val="26"/>
              <w:szCs w:val="26"/>
            </w:rPr>
            <m:t xml:space="preserve">= </m:t>
          </m:r>
          <m:f>
            <m:fPr>
              <m:ctrlPr>
                <w:rPr>
                  <w:rFonts w:ascii="Cambria Math" w:eastAsia="Times New Roman" w:hAnsi="Cambria Math" w:cs="Times New Roman"/>
                  <w:sz w:val="26"/>
                  <w:szCs w:val="26"/>
                </w:rPr>
              </m:ctrlPr>
            </m:fPr>
            <m:num>
              <m:r>
                <m:rPr>
                  <m:sty m:val="p"/>
                </m:rPr>
                <w:rPr>
                  <w:rFonts w:ascii="Cambria Math" w:eastAsia="Times New Roman" w:hAnsi="Cambria Math"/>
                  <w:sz w:val="26"/>
                  <w:szCs w:val="26"/>
                </w:rPr>
                <m:t>B</m:t>
              </m:r>
            </m:num>
            <m:den>
              <m:r>
                <m:rPr>
                  <m:sty m:val="p"/>
                </m:rPr>
                <w:rPr>
                  <w:rFonts w:ascii="Cambria Math" w:eastAsia="Times New Roman" w:hAnsi="Cambria Math"/>
                  <w:sz w:val="26"/>
                  <w:szCs w:val="26"/>
                </w:rPr>
                <m:t>C</m:t>
              </m:r>
            </m:den>
          </m:f>
        </m:oMath>
      </m:oMathPara>
    </w:p>
    <w:p w14:paraId="0701E72A" w14:textId="1940CFAF" w:rsidR="00B572A5" w:rsidRPr="00CF5041" w:rsidRDefault="00B572A5" w:rsidP="00B572A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p>
    <w:p w14:paraId="6F0DFB44" w14:textId="77777777" w:rsidR="00B572A5" w:rsidRPr="00CF5041" w:rsidRDefault="00B572A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Trong đó:</w:t>
      </w:r>
    </w:p>
    <w:p w14:paraId="75390072" w14:textId="77777777" w:rsidR="00931303" w:rsidRPr="00CF5041" w:rsidRDefault="00931303" w:rsidP="00931303">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lastRenderedPageBreak/>
        <w:t>- A: tỷ lệ tổng mức nhận tiền gửi so với vốn chủ sở hữu.</w:t>
      </w:r>
    </w:p>
    <w:p w14:paraId="26D3085B" w14:textId="77777777" w:rsidR="00931303" w:rsidRPr="00CF5041" w:rsidRDefault="00931303" w:rsidP="00931303">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B: tổng mức nhận tiền gửi quy định tại khoản 3 Điều này.</w:t>
      </w:r>
    </w:p>
    <w:p w14:paraId="08F4571D" w14:textId="77777777" w:rsidR="00931303" w:rsidRPr="00CF5041" w:rsidRDefault="00931303" w:rsidP="00931303">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C: vốn chủ sở hữu quy định tại khoản 4 Điều này.</w:t>
      </w:r>
    </w:p>
    <w:p w14:paraId="20BEB506" w14:textId="77777777" w:rsidR="00931303" w:rsidRPr="00CF5041" w:rsidRDefault="00931303" w:rsidP="00931303">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3. Tổng mức nhận tiền gửi bao gồm: tiền gửi không kỳ hạn, có kỳ hạn, tiền gửi tiết kiệm của thành viên, tổ chức, cá nhân khác bằng đồng Việt Nam.</w:t>
      </w:r>
    </w:p>
    <w:p w14:paraId="3DD92E39" w14:textId="7F97DAB8" w:rsidR="00B572A5" w:rsidRPr="00CF5041" w:rsidRDefault="00931303" w:rsidP="00931303">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xml:space="preserve">4. Vốn chủ sở hữu được ghi nhận theo chế độ tài chính đối với </w:t>
      </w:r>
      <w:r w:rsidR="00B14497">
        <w:rPr>
          <w:rFonts w:ascii="Times New Roman" w:eastAsia="Times New Roman" w:hAnsi="Times New Roman" w:cs="Times New Roman"/>
          <w:color w:val="auto"/>
          <w:sz w:val="28"/>
          <w:szCs w:val="28"/>
          <w:shd w:val="clear" w:color="auto" w:fill="FFFFFF"/>
          <w:lang w:val="en-US" w:eastAsia="en-US"/>
        </w:rPr>
        <w:t>q</w:t>
      </w:r>
      <w:r w:rsidR="00B14497" w:rsidRPr="00CF5041">
        <w:rPr>
          <w:rFonts w:ascii="Times New Roman" w:eastAsia="Times New Roman" w:hAnsi="Times New Roman" w:cs="Times New Roman"/>
          <w:color w:val="auto"/>
          <w:sz w:val="28"/>
          <w:szCs w:val="28"/>
          <w:shd w:val="clear" w:color="auto" w:fill="FFFFFF"/>
          <w:lang w:val="en-US" w:eastAsia="en-US"/>
        </w:rPr>
        <w:t xml:space="preserve">uỹ </w:t>
      </w:r>
      <w:r w:rsidRPr="00CF5041">
        <w:rPr>
          <w:rFonts w:ascii="Times New Roman" w:eastAsia="Times New Roman" w:hAnsi="Times New Roman" w:cs="Times New Roman"/>
          <w:color w:val="auto"/>
          <w:sz w:val="28"/>
          <w:szCs w:val="28"/>
          <w:shd w:val="clear" w:color="auto" w:fill="FFFFFF"/>
          <w:lang w:val="en-US" w:eastAsia="en-US"/>
        </w:rPr>
        <w:t>tín dụng nhân dân</w:t>
      </w:r>
      <w:r w:rsidR="00B572A5" w:rsidRPr="00CF5041">
        <w:rPr>
          <w:rFonts w:ascii="Times New Roman" w:eastAsia="Times New Roman" w:hAnsi="Times New Roman" w:cs="Times New Roman"/>
          <w:color w:val="auto"/>
          <w:sz w:val="28"/>
          <w:szCs w:val="28"/>
          <w:shd w:val="clear" w:color="auto" w:fill="FFFFFF"/>
          <w:lang w:val="en-US" w:eastAsia="en-US"/>
        </w:rPr>
        <w:t>.</w:t>
      </w:r>
    </w:p>
    <w:p w14:paraId="072A1957" w14:textId="00A2E2A4" w:rsidR="009B1004" w:rsidRPr="00CF5041" w:rsidRDefault="009B1004" w:rsidP="00D93948">
      <w:pPr>
        <w:pStyle w:val="Heading3"/>
        <w:spacing w:before="120" w:after="120" w:line="240" w:lineRule="auto"/>
        <w:ind w:firstLine="720"/>
        <w:rPr>
          <w:b/>
        </w:rPr>
      </w:pPr>
      <w:r w:rsidRPr="00CF5041">
        <w:rPr>
          <w:rFonts w:hint="eastAsia"/>
          <w:b/>
        </w:rPr>
        <w:t>Đ</w:t>
      </w:r>
      <w:r w:rsidR="00597081" w:rsidRPr="00CF5041">
        <w:rPr>
          <w:b/>
        </w:rPr>
        <w:t>iều 12</w:t>
      </w:r>
      <w:r w:rsidRPr="00CF5041">
        <w:rPr>
          <w:b/>
        </w:rPr>
        <w:t>. Hạn chế, giới hạn cho vay</w:t>
      </w:r>
    </w:p>
    <w:p w14:paraId="1C40BBF0" w14:textId="357E8176" w:rsidR="003B505C" w:rsidRPr="00CF5041" w:rsidRDefault="003B505C" w:rsidP="003B505C">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xml:space="preserve">1. Quỹ tín dụng nhân dân căn cứ vốn tự có được xác định theo quy định tại khoản 3 Điều </w:t>
      </w:r>
      <w:r w:rsidR="0004452F" w:rsidRPr="00CF5041">
        <w:rPr>
          <w:rFonts w:ascii="Times New Roman" w:eastAsia="Times New Roman" w:hAnsi="Times New Roman" w:cs="Times New Roman"/>
          <w:color w:val="auto"/>
          <w:sz w:val="28"/>
          <w:szCs w:val="28"/>
          <w:shd w:val="clear" w:color="auto" w:fill="FFFFFF"/>
          <w:lang w:val="en-US" w:eastAsia="en-US"/>
        </w:rPr>
        <w:t xml:space="preserve">8 </w:t>
      </w:r>
      <w:r w:rsidRPr="00CF5041">
        <w:rPr>
          <w:rFonts w:ascii="Times New Roman" w:eastAsia="Times New Roman" w:hAnsi="Times New Roman" w:cs="Times New Roman"/>
          <w:color w:val="auto"/>
          <w:sz w:val="28"/>
          <w:szCs w:val="28"/>
          <w:shd w:val="clear" w:color="auto" w:fill="FFFFFF"/>
          <w:lang w:val="en-US" w:eastAsia="en-US"/>
        </w:rPr>
        <w:t>Thông tư này tại cuối ngày làm việc gần nhất để xác định:</w:t>
      </w:r>
    </w:p>
    <w:p w14:paraId="7A76B802" w14:textId="77777777" w:rsidR="003B505C" w:rsidRPr="00CF5041" w:rsidRDefault="003B505C" w:rsidP="003B505C">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a) Hạn chế cho vay đối với tổ chức, cá nhân theo quy định tại Điều 135 Luật Các tổ chức tín dụng;</w:t>
      </w:r>
    </w:p>
    <w:p w14:paraId="377E0C0E" w14:textId="77777777" w:rsidR="003B505C" w:rsidRPr="00CF5041" w:rsidRDefault="003B505C" w:rsidP="003B505C">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b) Giới hạn cho vay đối với một khách hàng, một khách hàng và người có liên quan của khách hàng theo quy định tại Điều 136 Luật Các tổ chức tín dụng.</w:t>
      </w:r>
    </w:p>
    <w:p w14:paraId="5BF7DA4A" w14:textId="37F64AF9" w:rsidR="00B572A5" w:rsidRPr="00CF5041" w:rsidRDefault="003B505C" w:rsidP="003B505C">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2. Hội đồng quản trị quyết định các khoản cho vay đối với người thẩm định, người xét duyệt cho vay tại quỹ tín dụng nhân dân có giá trị từ 100 triệu đồng trở lên hoặc giá trị khác thấp hơn theo quy định nội bộ của quỹ tín dụng nhân dân. Các trường hợp còn lại thực hiện theo quy định nội bộ của quỹ tín dụng nhân dân</w:t>
      </w:r>
      <w:r w:rsidR="00B572A5" w:rsidRPr="00CF5041">
        <w:rPr>
          <w:rFonts w:ascii="Times New Roman" w:eastAsia="Times New Roman" w:hAnsi="Times New Roman" w:cs="Times New Roman"/>
          <w:color w:val="auto"/>
          <w:sz w:val="28"/>
          <w:szCs w:val="28"/>
          <w:shd w:val="clear" w:color="auto" w:fill="FFFFFF"/>
          <w:lang w:val="en-US" w:eastAsia="en-US"/>
        </w:rPr>
        <w:t>.</w:t>
      </w:r>
    </w:p>
    <w:p w14:paraId="06729EB2" w14:textId="77777777" w:rsidR="003B505C" w:rsidRPr="00CF5041" w:rsidRDefault="003B505C" w:rsidP="003B505C">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3. Đối với các khoản cho vay các đối tượng quy định tại điểm a khoản 1 Điều này, quỹ tín dụng nhân dân phải:</w:t>
      </w:r>
    </w:p>
    <w:p w14:paraId="763ED7BF" w14:textId="77777777" w:rsidR="003B505C" w:rsidRPr="00CF5041" w:rsidRDefault="003B505C" w:rsidP="003B505C">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a) Báo cáo Ngân hàng Nhà nước chi nhánh Khu vực theo quy định của Ngân hàng Nhà nước;</w:t>
      </w:r>
    </w:p>
    <w:p w14:paraId="32D68A53" w14:textId="36EFB9D3" w:rsidR="00B572A5" w:rsidRPr="00CF5041" w:rsidRDefault="003B505C" w:rsidP="003B505C">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b) Công khai trước Đại hội thành viên đối với khoản cho vay phát sinh đến thời điểm lấy số liệu để họp Đại hội thành viên</w:t>
      </w:r>
      <w:r w:rsidR="00B572A5" w:rsidRPr="00CF5041">
        <w:rPr>
          <w:rFonts w:ascii="Times New Roman" w:eastAsia="Times New Roman" w:hAnsi="Times New Roman" w:cs="Times New Roman"/>
          <w:color w:val="auto"/>
          <w:sz w:val="28"/>
          <w:szCs w:val="28"/>
          <w:shd w:val="clear" w:color="auto" w:fill="FFFFFF"/>
          <w:lang w:val="en-US" w:eastAsia="en-US"/>
        </w:rPr>
        <w:t>.</w:t>
      </w:r>
    </w:p>
    <w:p w14:paraId="24C3101E" w14:textId="77777777" w:rsidR="003B505C" w:rsidRPr="00CF5041" w:rsidRDefault="003B505C" w:rsidP="003B505C">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4. Tổng mức dư nợ cho vay đối với một thành viên là pháp nhân không được vượt quá tổng số vốn góp và số dư tiền gửi của pháp nhân đó tại quỹ tín dụng nhân dân tại mọi thời điểm.</w:t>
      </w:r>
    </w:p>
    <w:p w14:paraId="6A4E1734" w14:textId="68861E0C" w:rsidR="003B505C" w:rsidRPr="00CF5041" w:rsidRDefault="003B505C" w:rsidP="003B505C">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5. Tổng mức dư nợ cho vay đối với khách hàng là pháp nhân, cá nhân không phải là thành viên không được vượt quá số dư của hợp đồng tiền gửi, sổ tiết kiệm</w:t>
      </w:r>
      <w:r w:rsidR="005C6BBF" w:rsidRPr="00CF5041">
        <w:rPr>
          <w:rFonts w:ascii="Times New Roman" w:eastAsia="Times New Roman" w:hAnsi="Times New Roman" w:cs="Times New Roman"/>
          <w:color w:val="auto"/>
          <w:sz w:val="28"/>
          <w:szCs w:val="28"/>
          <w:shd w:val="clear" w:color="auto" w:fill="FFFFFF"/>
          <w:lang w:val="en-US" w:eastAsia="en-US"/>
        </w:rPr>
        <w:t xml:space="preserve"> tại mọi thời điểm</w:t>
      </w:r>
      <w:r w:rsidRPr="00CF5041">
        <w:rPr>
          <w:rFonts w:ascii="Times New Roman" w:eastAsia="Times New Roman" w:hAnsi="Times New Roman" w:cs="Times New Roman"/>
          <w:color w:val="auto"/>
          <w:sz w:val="28"/>
          <w:szCs w:val="28"/>
          <w:shd w:val="clear" w:color="auto" w:fill="FFFFFF"/>
          <w:lang w:val="en-US" w:eastAsia="en-US"/>
        </w:rPr>
        <w:t>.</w:t>
      </w:r>
    </w:p>
    <w:p w14:paraId="50DD0A98" w14:textId="77777777" w:rsidR="003B505C" w:rsidRPr="00CF5041" w:rsidRDefault="003B505C" w:rsidP="003B505C">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6. Các giới hạn quy định tại điểm b khoản 1 Điều này không áp dụng đối với:</w:t>
      </w:r>
    </w:p>
    <w:p w14:paraId="4AEC47DA" w14:textId="77777777" w:rsidR="003B505C" w:rsidRPr="00CF5041" w:rsidRDefault="003B505C" w:rsidP="003B505C">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a) Khoản cho vay từ nguồn vốn ủy thác của tổ chức, cá nhân mà quỹ tín dụng nhân dân nhận ủy thác không chịu rủi ro;</w:t>
      </w:r>
    </w:p>
    <w:p w14:paraId="0A265A87" w14:textId="7FAECE7C" w:rsidR="009B1004" w:rsidRPr="00CF5041" w:rsidRDefault="003B505C" w:rsidP="003B505C">
      <w:pPr>
        <w:widowControl/>
        <w:shd w:val="clear" w:color="auto" w:fill="FFFFFF"/>
        <w:spacing w:before="120" w:after="120"/>
        <w:ind w:firstLine="720"/>
        <w:jc w:val="both"/>
        <w:rPr>
          <w:b/>
          <w:color w:val="auto"/>
        </w:rPr>
      </w:pPr>
      <w:r w:rsidRPr="00CF5041">
        <w:rPr>
          <w:rFonts w:ascii="Times New Roman" w:eastAsia="Times New Roman" w:hAnsi="Times New Roman" w:cs="Times New Roman"/>
          <w:color w:val="auto"/>
          <w:sz w:val="28"/>
          <w:szCs w:val="28"/>
          <w:shd w:val="clear" w:color="auto" w:fill="FFFFFF"/>
          <w:lang w:val="en-US" w:eastAsia="en-US"/>
        </w:rPr>
        <w:t xml:space="preserve">b) Các khoản cho vay </w:t>
      </w:r>
      <w:r w:rsidR="00197D04" w:rsidRPr="00CF5041">
        <w:rPr>
          <w:rFonts w:ascii="Times New Roman" w:eastAsia="Times New Roman" w:hAnsi="Times New Roman" w:cs="Times New Roman"/>
          <w:color w:val="auto"/>
          <w:sz w:val="28"/>
          <w:szCs w:val="28"/>
          <w:shd w:val="clear" w:color="auto" w:fill="FFFFFF"/>
          <w:lang w:val="en-US" w:eastAsia="en-US"/>
        </w:rPr>
        <w:t xml:space="preserve">được </w:t>
      </w:r>
      <w:r w:rsidRPr="00CF5041">
        <w:rPr>
          <w:rFonts w:ascii="Times New Roman" w:eastAsia="Times New Roman" w:hAnsi="Times New Roman" w:cs="Times New Roman"/>
          <w:color w:val="auto"/>
          <w:sz w:val="28"/>
          <w:szCs w:val="28"/>
          <w:shd w:val="clear" w:color="auto" w:fill="FFFFFF"/>
          <w:lang w:val="en-US" w:eastAsia="en-US"/>
        </w:rPr>
        <w:t>bảo đảm toàn bộ bằng tiền gửi tại chính quỹ tín dụng nhân dân</w:t>
      </w:r>
      <w:r w:rsidR="00B572A5" w:rsidRPr="00CF5041">
        <w:rPr>
          <w:rFonts w:ascii="Times New Roman" w:eastAsia="Times New Roman" w:hAnsi="Times New Roman" w:cs="Times New Roman"/>
          <w:color w:val="auto"/>
          <w:sz w:val="28"/>
          <w:szCs w:val="28"/>
          <w:shd w:val="clear" w:color="auto" w:fill="FFFFFF"/>
          <w:lang w:val="en-US" w:eastAsia="en-US"/>
        </w:rPr>
        <w:t>.</w:t>
      </w:r>
    </w:p>
    <w:p w14:paraId="7C6BB0B3" w14:textId="2F017E7B" w:rsidR="009B1004" w:rsidRPr="00CF5041" w:rsidRDefault="009B1004" w:rsidP="00D93948">
      <w:pPr>
        <w:pStyle w:val="Heading3"/>
        <w:spacing w:before="120" w:after="120" w:line="240" w:lineRule="auto"/>
        <w:ind w:firstLine="720"/>
        <w:rPr>
          <w:b/>
        </w:rPr>
      </w:pPr>
      <w:r w:rsidRPr="00CF5041">
        <w:rPr>
          <w:rFonts w:hint="eastAsia"/>
          <w:b/>
        </w:rPr>
        <w:lastRenderedPageBreak/>
        <w:t>Đ</w:t>
      </w:r>
      <w:r w:rsidR="00C72C8C" w:rsidRPr="00CF5041">
        <w:rPr>
          <w:b/>
        </w:rPr>
        <w:t>iều 13</w:t>
      </w:r>
      <w:r w:rsidRPr="00CF5041">
        <w:rPr>
          <w:b/>
        </w:rPr>
        <w:t>. Quỹ t</w:t>
      </w:r>
      <w:r w:rsidRPr="00CF5041">
        <w:rPr>
          <w:rFonts w:hint="eastAsia"/>
          <w:b/>
        </w:rPr>
        <w:t>í</w:t>
      </w:r>
      <w:r w:rsidRPr="00CF5041">
        <w:rPr>
          <w:b/>
        </w:rPr>
        <w:t>n dụng nh</w:t>
      </w:r>
      <w:r w:rsidRPr="00CF5041">
        <w:rPr>
          <w:rFonts w:hint="eastAsia"/>
          <w:b/>
        </w:rPr>
        <w:t>â</w:t>
      </w:r>
      <w:r w:rsidRPr="00CF5041">
        <w:rPr>
          <w:b/>
        </w:rPr>
        <w:t>n d</w:t>
      </w:r>
      <w:r w:rsidRPr="00CF5041">
        <w:rPr>
          <w:rFonts w:hint="eastAsia"/>
          <w:b/>
        </w:rPr>
        <w:t>â</w:t>
      </w:r>
      <w:r w:rsidRPr="00CF5041">
        <w:rPr>
          <w:b/>
        </w:rPr>
        <w:t>n c</w:t>
      </w:r>
      <w:r w:rsidRPr="00CF5041">
        <w:rPr>
          <w:rFonts w:hint="eastAsia"/>
          <w:b/>
        </w:rPr>
        <w:t>ó</w:t>
      </w:r>
      <w:r w:rsidRPr="00CF5041">
        <w:rPr>
          <w:b/>
        </w:rPr>
        <w:t xml:space="preserve"> nguy c</w:t>
      </w:r>
      <w:r w:rsidRPr="00CF5041">
        <w:rPr>
          <w:rFonts w:hint="eastAsia"/>
          <w:b/>
        </w:rPr>
        <w:t>ơ</w:t>
      </w:r>
      <w:r w:rsidRPr="00CF5041">
        <w:rPr>
          <w:b/>
        </w:rPr>
        <w:t xml:space="preserve"> mất khả n</w:t>
      </w:r>
      <w:r w:rsidRPr="00CF5041">
        <w:rPr>
          <w:rFonts w:hint="eastAsia"/>
          <w:b/>
        </w:rPr>
        <w:t>ă</w:t>
      </w:r>
      <w:r w:rsidRPr="00CF5041">
        <w:rPr>
          <w:b/>
        </w:rPr>
        <w:t>ng chi trả, mất khả n</w:t>
      </w:r>
      <w:r w:rsidRPr="00CF5041">
        <w:rPr>
          <w:rFonts w:hint="eastAsia"/>
          <w:b/>
        </w:rPr>
        <w:t>ă</w:t>
      </w:r>
      <w:r w:rsidRPr="00CF5041">
        <w:rPr>
          <w:b/>
        </w:rPr>
        <w:t>ng chi trả</w:t>
      </w:r>
    </w:p>
    <w:p w14:paraId="30F1F5CD" w14:textId="77777777" w:rsidR="00ED7536" w:rsidRPr="00CF5041" w:rsidRDefault="00ED7536" w:rsidP="00ED7536">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1. Quỹ tín dụng nhân dân có nguy cơ mất khả năng chi trả khi thiếu hụt Tài sản “Có” có thể thanh toán ngay ở mức 20% trở lên tại thời điểm tính toán tỷ lệ khả năng chi trả so với Tài sản “Có” có thể thanh toán ngay tối thiểu để tuân thủ tỷ lệ khả năng chi trả theo quy định tại Thông tư này trong thời gian 30 ngày liên tục.</w:t>
      </w:r>
    </w:p>
    <w:p w14:paraId="4CB62BFA" w14:textId="0AD315D8" w:rsidR="00722A40" w:rsidRPr="00CF5041" w:rsidRDefault="00ED7536" w:rsidP="00ED7536">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2. Quỹ tín dụng nhân dân mất khả năng chi trả khi không thực hiện thanh toán nghĩa vụ nợ trong thời gian 01 tháng kể từ ngày đến hạn thanh toán</w:t>
      </w:r>
      <w:r w:rsidR="00722A40" w:rsidRPr="00CF5041">
        <w:rPr>
          <w:rFonts w:ascii="Times New Roman" w:eastAsia="Times New Roman" w:hAnsi="Times New Roman" w:cs="Times New Roman"/>
          <w:color w:val="auto"/>
          <w:sz w:val="28"/>
          <w:szCs w:val="28"/>
          <w:shd w:val="clear" w:color="auto" w:fill="FFFFFF"/>
          <w:lang w:val="en-US" w:eastAsia="en-US"/>
        </w:rPr>
        <w:t>.</w:t>
      </w:r>
    </w:p>
    <w:p w14:paraId="03C1EED7" w14:textId="70345ECF" w:rsidR="00722A40" w:rsidRPr="00CF5041" w:rsidRDefault="0035201A">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xml:space="preserve">3. Khi có nguy cơ mất khả năng chi trả, mất khả năng chi trả, </w:t>
      </w:r>
      <w:r w:rsidR="00B14497">
        <w:rPr>
          <w:rFonts w:ascii="Times New Roman" w:eastAsia="Times New Roman" w:hAnsi="Times New Roman" w:cs="Times New Roman"/>
          <w:color w:val="auto"/>
          <w:sz w:val="28"/>
          <w:szCs w:val="28"/>
          <w:shd w:val="clear" w:color="auto" w:fill="FFFFFF"/>
          <w:lang w:val="en-US" w:eastAsia="en-US"/>
        </w:rPr>
        <w:t>q</w:t>
      </w:r>
      <w:r w:rsidR="00B14497" w:rsidRPr="00CF5041">
        <w:rPr>
          <w:rFonts w:ascii="Times New Roman" w:eastAsia="Times New Roman" w:hAnsi="Times New Roman" w:cs="Times New Roman"/>
          <w:color w:val="auto"/>
          <w:sz w:val="28"/>
          <w:szCs w:val="28"/>
          <w:shd w:val="clear" w:color="auto" w:fill="FFFFFF"/>
          <w:lang w:val="en-US" w:eastAsia="en-US"/>
        </w:rPr>
        <w:t xml:space="preserve">uỹ </w:t>
      </w:r>
      <w:r w:rsidRPr="00CF5041">
        <w:rPr>
          <w:rFonts w:ascii="Times New Roman" w:eastAsia="Times New Roman" w:hAnsi="Times New Roman" w:cs="Times New Roman"/>
          <w:color w:val="auto"/>
          <w:sz w:val="28"/>
          <w:szCs w:val="28"/>
          <w:shd w:val="clear" w:color="auto" w:fill="FFFFFF"/>
          <w:lang w:val="en-US" w:eastAsia="en-US"/>
        </w:rPr>
        <w:t>tín dụng nhân dân phải kịp thời báo cáo với Ngân hàng Nhà nước chi nhánh Khu vực và thông báo cho Ngân hàng Hợp tác xã chi nhánh về thực trạng, nguyên nhân, các biện pháp đã áp dụng, các biện pháp dự kiến áp dụng để khắc phục và các đề xuất, kiến nghị với Ngân hàng Nhà nước chi nhánh Khu vực (nếu có)</w:t>
      </w:r>
      <w:r w:rsidR="00722A40" w:rsidRPr="00CF5041">
        <w:rPr>
          <w:rFonts w:ascii="Times New Roman" w:eastAsia="Times New Roman" w:hAnsi="Times New Roman" w:cs="Times New Roman"/>
          <w:color w:val="auto"/>
          <w:sz w:val="28"/>
          <w:szCs w:val="28"/>
          <w:shd w:val="clear" w:color="auto" w:fill="FFFFFF"/>
          <w:lang w:val="en-US" w:eastAsia="en-US"/>
        </w:rPr>
        <w:t>.</w:t>
      </w:r>
    </w:p>
    <w:p w14:paraId="43F8E586" w14:textId="77777777" w:rsidR="009B1004" w:rsidRPr="00CF5041" w:rsidRDefault="009B1004" w:rsidP="00103E67">
      <w:pPr>
        <w:pStyle w:val="Heading1"/>
        <w:spacing w:line="264" w:lineRule="auto"/>
        <w:rPr>
          <w:color w:val="auto"/>
        </w:rPr>
      </w:pPr>
      <w:r w:rsidRPr="00CF5041">
        <w:rPr>
          <w:color w:val="auto"/>
        </w:rPr>
        <w:t>Chương III</w:t>
      </w:r>
    </w:p>
    <w:p w14:paraId="3E8A1E8C" w14:textId="2CF34F05" w:rsidR="009B1004" w:rsidRPr="00CF5041" w:rsidRDefault="001C4F75" w:rsidP="00103E67">
      <w:pPr>
        <w:pStyle w:val="Heading1"/>
        <w:spacing w:line="264" w:lineRule="auto"/>
        <w:rPr>
          <w:b w:val="0"/>
          <w:color w:val="auto"/>
          <w:lang w:val="en-US"/>
        </w:rPr>
      </w:pPr>
      <w:r w:rsidRPr="00CF5041">
        <w:rPr>
          <w:color w:val="auto"/>
          <w:lang w:val="en-US"/>
        </w:rPr>
        <w:t xml:space="preserve">TRÁCH NHIỆM CỦA </w:t>
      </w:r>
      <w:r w:rsidR="007A64D4" w:rsidRPr="00CF5041">
        <w:rPr>
          <w:color w:val="auto"/>
          <w:lang w:val="en-US"/>
        </w:rPr>
        <w:t>ĐƠN VỊ CÓ LIÊN QUAN</w:t>
      </w:r>
    </w:p>
    <w:p w14:paraId="64477CEB" w14:textId="5277B9C6" w:rsidR="009B1004" w:rsidRPr="00CF5041" w:rsidRDefault="00DC54F2" w:rsidP="00DC54F2">
      <w:pPr>
        <w:pStyle w:val="Heading3"/>
        <w:spacing w:before="120" w:after="120" w:line="240" w:lineRule="auto"/>
        <w:ind w:firstLine="720"/>
        <w:rPr>
          <w:b/>
        </w:rPr>
      </w:pPr>
      <w:r w:rsidRPr="00CF5041">
        <w:rPr>
          <w:rFonts w:hint="eastAsia"/>
          <w:b/>
        </w:rPr>
        <w:t>Đ</w:t>
      </w:r>
      <w:r w:rsidRPr="00CF5041">
        <w:rPr>
          <w:b/>
        </w:rPr>
        <w:t>iều 1</w:t>
      </w:r>
      <w:r w:rsidR="0062173E" w:rsidRPr="00CF5041">
        <w:rPr>
          <w:b/>
        </w:rPr>
        <w:t>4</w:t>
      </w:r>
      <w:r w:rsidRPr="00CF5041">
        <w:rPr>
          <w:b/>
        </w:rPr>
        <w:t>.</w:t>
      </w:r>
      <w:r w:rsidR="009B1004" w:rsidRPr="00CF5041">
        <w:t xml:space="preserve"> Tr</w:t>
      </w:r>
      <w:r w:rsidR="009B1004" w:rsidRPr="00CF5041">
        <w:rPr>
          <w:rFonts w:hint="eastAsia"/>
        </w:rPr>
        <w:t>á</w:t>
      </w:r>
      <w:r w:rsidR="009B1004" w:rsidRPr="00CF5041">
        <w:t>ch nhiệm của Ng</w:t>
      </w:r>
      <w:r w:rsidR="009B1004" w:rsidRPr="00CF5041">
        <w:rPr>
          <w:rFonts w:hint="eastAsia"/>
        </w:rPr>
        <w:t>â</w:t>
      </w:r>
      <w:r w:rsidR="009B1004" w:rsidRPr="00CF5041">
        <w:t>n h</w:t>
      </w:r>
      <w:r w:rsidR="009B1004" w:rsidRPr="00CF5041">
        <w:rPr>
          <w:rFonts w:hint="eastAsia"/>
        </w:rPr>
        <w:t>à</w:t>
      </w:r>
      <w:r w:rsidR="009B1004" w:rsidRPr="00CF5041">
        <w:t>ng Nh</w:t>
      </w:r>
      <w:r w:rsidR="009B1004" w:rsidRPr="00CF5041">
        <w:rPr>
          <w:rFonts w:hint="eastAsia"/>
        </w:rPr>
        <w:t>à</w:t>
      </w:r>
      <w:r w:rsidR="009B1004" w:rsidRPr="00CF5041">
        <w:t xml:space="preserve"> n</w:t>
      </w:r>
      <w:r w:rsidR="009B1004" w:rsidRPr="00CF5041">
        <w:rPr>
          <w:rFonts w:hint="eastAsia"/>
        </w:rPr>
        <w:t>ư</w:t>
      </w:r>
      <w:r w:rsidR="009B1004" w:rsidRPr="00CF5041">
        <w:t>ớc chi nh</w:t>
      </w:r>
      <w:r w:rsidR="009B1004" w:rsidRPr="00CF5041">
        <w:rPr>
          <w:rFonts w:hint="eastAsia"/>
        </w:rPr>
        <w:t>á</w:t>
      </w:r>
      <w:r w:rsidR="009B1004" w:rsidRPr="00CF5041">
        <w:t>nh Khu vực</w:t>
      </w:r>
    </w:p>
    <w:p w14:paraId="7542CA9B" w14:textId="51396D46" w:rsidR="001C4F75" w:rsidRPr="00CF5041" w:rsidRDefault="001C4F75" w:rsidP="001C4F7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xml:space="preserve">1. Quyết định việc quỹ tín dụng nhân dân phải duy trì các hạn chế, giới hạn, tỷ lệ bảo </w:t>
      </w:r>
      <w:r w:rsidR="00304A9B" w:rsidRPr="00CF5041">
        <w:rPr>
          <w:rFonts w:ascii="Times New Roman" w:eastAsia="Times New Roman" w:hAnsi="Times New Roman" w:cs="Times New Roman"/>
          <w:color w:val="auto"/>
          <w:sz w:val="28"/>
          <w:szCs w:val="28"/>
          <w:shd w:val="clear" w:color="auto" w:fill="FFFFFF"/>
          <w:lang w:val="en-US" w:eastAsia="en-US"/>
        </w:rPr>
        <w:t xml:space="preserve">đảm </w:t>
      </w:r>
      <w:r w:rsidRPr="00CF5041">
        <w:rPr>
          <w:rFonts w:ascii="Times New Roman" w:eastAsia="Times New Roman" w:hAnsi="Times New Roman" w:cs="Times New Roman"/>
          <w:color w:val="auto"/>
          <w:sz w:val="28"/>
          <w:szCs w:val="28"/>
          <w:shd w:val="clear" w:color="auto" w:fill="FFFFFF"/>
          <w:lang w:val="en-US" w:eastAsia="en-US"/>
        </w:rPr>
        <w:t>an toàn theo quy định tại khoản 3 Điều 1 Thông tư này.</w:t>
      </w:r>
    </w:p>
    <w:p w14:paraId="1E639492" w14:textId="77777777" w:rsidR="001C4F75" w:rsidRPr="00CF5041" w:rsidRDefault="001C4F75" w:rsidP="001C4F7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2. Thanh tra, kiểm tra, giám sát, xử lý đối với các hành vi vi phạm của quỹ tín dụng nhân dân trên địa bàn trong việc thực hiện các quy định tại Thông tư này.</w:t>
      </w:r>
    </w:p>
    <w:p w14:paraId="6D476D0B" w14:textId="77777777" w:rsidR="001C4F75" w:rsidRPr="00CF5041" w:rsidRDefault="001C4F75" w:rsidP="001C4F7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3. Hướng dẫn các quỹ tín dụng nhân dân trên địa bàn trong việc thực hiện các quy định tại Thông tư này.</w:t>
      </w:r>
    </w:p>
    <w:p w14:paraId="682F2E30" w14:textId="2321F55E" w:rsidR="001C4F75" w:rsidRPr="00CF5041" w:rsidRDefault="001C4F75" w:rsidP="001C4F7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xml:space="preserve">4. Thực hiện các biện pháp xử lý quỹ tín dụng nhân dân theo chức năng, nhiệm vụ được giao trong trường hợp giá trị thực của vốn điều lệ của quỹ tín dụng nhân dân thấp hơn mức vốn pháp định quy định tại điểm a, b, c khoản 2 Điều </w:t>
      </w:r>
      <w:r w:rsidR="006F2632" w:rsidRPr="00CF5041">
        <w:rPr>
          <w:rFonts w:ascii="Times New Roman" w:eastAsia="Times New Roman" w:hAnsi="Times New Roman" w:cs="Times New Roman"/>
          <w:color w:val="auto"/>
          <w:sz w:val="28"/>
          <w:szCs w:val="28"/>
          <w:shd w:val="clear" w:color="auto" w:fill="FFFFFF"/>
          <w:lang w:val="en-US" w:eastAsia="en-US"/>
        </w:rPr>
        <w:t xml:space="preserve">7 </w:t>
      </w:r>
      <w:r w:rsidRPr="00CF5041">
        <w:rPr>
          <w:rFonts w:ascii="Times New Roman" w:eastAsia="Times New Roman" w:hAnsi="Times New Roman" w:cs="Times New Roman"/>
          <w:color w:val="auto"/>
          <w:sz w:val="28"/>
          <w:szCs w:val="28"/>
          <w:shd w:val="clear" w:color="auto" w:fill="FFFFFF"/>
          <w:lang w:val="en-US" w:eastAsia="en-US"/>
        </w:rPr>
        <w:t>Thông tư này.</w:t>
      </w:r>
    </w:p>
    <w:p w14:paraId="750BD68E" w14:textId="68CECFF1" w:rsidR="001C4F75" w:rsidRPr="00CF5041" w:rsidRDefault="001C4F75" w:rsidP="001C4F7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xml:space="preserve">5. Đầu mối trình Thống đốc </w:t>
      </w:r>
      <w:r w:rsidR="006039B4" w:rsidRPr="00CF5041">
        <w:rPr>
          <w:rFonts w:ascii="Times New Roman" w:eastAsia="Times New Roman" w:hAnsi="Times New Roman" w:cs="Times New Roman"/>
          <w:color w:val="auto"/>
          <w:sz w:val="28"/>
          <w:szCs w:val="28"/>
          <w:shd w:val="clear" w:color="auto" w:fill="FFFFFF"/>
          <w:lang w:val="en-US" w:eastAsia="en-US"/>
        </w:rPr>
        <w:t xml:space="preserve">Ngân hàng Nhà nước </w:t>
      </w:r>
      <w:r w:rsidRPr="00CF5041">
        <w:rPr>
          <w:rFonts w:ascii="Times New Roman" w:eastAsia="Times New Roman" w:hAnsi="Times New Roman" w:cs="Times New Roman"/>
          <w:color w:val="auto"/>
          <w:sz w:val="28"/>
          <w:szCs w:val="28"/>
          <w:shd w:val="clear" w:color="auto" w:fill="FFFFFF"/>
          <w:lang w:val="en-US" w:eastAsia="en-US"/>
        </w:rPr>
        <w:t xml:space="preserve">quyết định xử lý trường hợp giá trị thực của vốn điều lệ của quỹ tín dụng nhân dân giảm thấp hơn mức vốn pháp định theo quy định tại điểm d khoản 2 Điều </w:t>
      </w:r>
      <w:r w:rsidR="006F2632" w:rsidRPr="00CF5041">
        <w:rPr>
          <w:rFonts w:ascii="Times New Roman" w:eastAsia="Times New Roman" w:hAnsi="Times New Roman" w:cs="Times New Roman"/>
          <w:color w:val="auto"/>
          <w:sz w:val="28"/>
          <w:szCs w:val="28"/>
          <w:shd w:val="clear" w:color="auto" w:fill="FFFFFF"/>
          <w:lang w:val="en-US" w:eastAsia="en-US"/>
        </w:rPr>
        <w:t xml:space="preserve">7 </w:t>
      </w:r>
      <w:r w:rsidRPr="00CF5041">
        <w:rPr>
          <w:rFonts w:ascii="Times New Roman" w:eastAsia="Times New Roman" w:hAnsi="Times New Roman" w:cs="Times New Roman"/>
          <w:color w:val="auto"/>
          <w:sz w:val="28"/>
          <w:szCs w:val="28"/>
          <w:shd w:val="clear" w:color="auto" w:fill="FFFFFF"/>
          <w:lang w:val="en-US" w:eastAsia="en-US"/>
        </w:rPr>
        <w:t>Thông tư này.</w:t>
      </w:r>
    </w:p>
    <w:p w14:paraId="0558C8D3" w14:textId="189B3351" w:rsidR="009B1004" w:rsidRPr="00CF5041" w:rsidRDefault="001C4F75" w:rsidP="001C4F75">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6. Tiếp nhận quy định nội bộ của quỹ tín dụng nhân dân theo quy định tại Thông tư này</w:t>
      </w:r>
      <w:r w:rsidR="00722A40" w:rsidRPr="00CF5041">
        <w:rPr>
          <w:rFonts w:ascii="Times New Roman" w:eastAsia="Times New Roman" w:hAnsi="Times New Roman" w:cs="Times New Roman"/>
          <w:color w:val="auto"/>
          <w:sz w:val="28"/>
          <w:szCs w:val="28"/>
          <w:shd w:val="clear" w:color="auto" w:fill="FFFFFF"/>
          <w:lang w:val="en-US" w:eastAsia="en-US"/>
        </w:rPr>
        <w:t>.</w:t>
      </w:r>
    </w:p>
    <w:p w14:paraId="0E5F8E1A" w14:textId="77777777" w:rsidR="00816BCB" w:rsidRPr="00CF5041" w:rsidRDefault="00816BCB">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p>
    <w:p w14:paraId="2CAE5136" w14:textId="407EBF98" w:rsidR="0003159C" w:rsidRPr="00CF5041" w:rsidRDefault="0003159C" w:rsidP="00402E01">
      <w:pPr>
        <w:pStyle w:val="Heading1"/>
        <w:spacing w:before="240" w:line="264" w:lineRule="auto"/>
        <w:rPr>
          <w:color w:val="auto"/>
          <w:lang w:val="en-US"/>
        </w:rPr>
      </w:pPr>
      <w:r w:rsidRPr="00CF5041">
        <w:rPr>
          <w:color w:val="auto"/>
        </w:rPr>
        <w:t xml:space="preserve">Chương </w:t>
      </w:r>
      <w:r w:rsidR="009B1004" w:rsidRPr="00CF5041">
        <w:rPr>
          <w:color w:val="auto"/>
          <w:lang w:val="en-US"/>
        </w:rPr>
        <w:t>IV</w:t>
      </w:r>
    </w:p>
    <w:p w14:paraId="366E4AFA" w14:textId="76BB78A5" w:rsidR="0003159C" w:rsidRPr="00CF5041" w:rsidRDefault="009B1004" w:rsidP="00140819">
      <w:pPr>
        <w:pStyle w:val="Heading1"/>
        <w:spacing w:line="264" w:lineRule="auto"/>
        <w:rPr>
          <w:color w:val="auto"/>
          <w:lang w:val="en-US"/>
        </w:rPr>
      </w:pPr>
      <w:r w:rsidRPr="00CF5041">
        <w:rPr>
          <w:color w:val="auto"/>
          <w:lang w:val="en-US"/>
        </w:rPr>
        <w:t>ĐIỀU KHOẢN THI HÀNH</w:t>
      </w:r>
    </w:p>
    <w:p w14:paraId="403F21CD" w14:textId="74AF70A9" w:rsidR="0003159C" w:rsidRPr="00CF5041" w:rsidRDefault="0003159C" w:rsidP="00D93948">
      <w:pPr>
        <w:pStyle w:val="Heading3"/>
        <w:spacing w:before="240" w:after="120" w:line="240" w:lineRule="auto"/>
        <w:ind w:firstLine="720"/>
        <w:rPr>
          <w:rFonts w:asciiTheme="minorHAnsi" w:hAnsiTheme="minorHAnsi"/>
          <w:b/>
        </w:rPr>
      </w:pPr>
      <w:r w:rsidRPr="00CF5041">
        <w:rPr>
          <w:rFonts w:hint="eastAsia"/>
          <w:b/>
          <w:lang w:val="vi-VN"/>
        </w:rPr>
        <w:t>Đ</w:t>
      </w:r>
      <w:r w:rsidRPr="00CF5041">
        <w:rPr>
          <w:b/>
          <w:lang w:val="vi-VN"/>
        </w:rPr>
        <w:t xml:space="preserve">iều </w:t>
      </w:r>
      <w:r w:rsidRPr="00CF5041">
        <w:rPr>
          <w:b/>
        </w:rPr>
        <w:t>1</w:t>
      </w:r>
      <w:r w:rsidR="001C154E" w:rsidRPr="00CF5041">
        <w:rPr>
          <w:b/>
        </w:rPr>
        <w:t>5</w:t>
      </w:r>
      <w:r w:rsidRPr="00CF5041">
        <w:rPr>
          <w:b/>
        </w:rPr>
        <w:t xml:space="preserve">. </w:t>
      </w:r>
      <w:r w:rsidR="009B1004" w:rsidRPr="00CF5041">
        <w:rPr>
          <w:b/>
        </w:rPr>
        <w:t>Hiệu lực thi h</w:t>
      </w:r>
      <w:r w:rsidR="009B1004" w:rsidRPr="00CF5041">
        <w:rPr>
          <w:rFonts w:hint="eastAsia"/>
          <w:b/>
        </w:rPr>
        <w:t>à</w:t>
      </w:r>
      <w:r w:rsidR="009B1004" w:rsidRPr="00CF5041">
        <w:rPr>
          <w:b/>
        </w:rPr>
        <w:t>nh</w:t>
      </w:r>
    </w:p>
    <w:p w14:paraId="404C791A" w14:textId="672F7659" w:rsidR="00722A40" w:rsidRPr="00CF5041" w:rsidRDefault="00722A40">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color w:val="auto"/>
          <w:sz w:val="28"/>
          <w:szCs w:val="28"/>
          <w:shd w:val="clear" w:color="auto" w:fill="FFFFFF"/>
          <w:lang w:val="en-US" w:eastAsia="en-US"/>
        </w:rPr>
        <w:t xml:space="preserve">1. Thông tư này có hiệu lực thi hành kể từ ngày … tháng … năm </w:t>
      </w:r>
      <w:r w:rsidR="0062173E" w:rsidRPr="00CF5041">
        <w:rPr>
          <w:rFonts w:ascii="Times New Roman" w:eastAsia="Times New Roman" w:hAnsi="Times New Roman" w:cs="Times New Roman"/>
          <w:color w:val="auto"/>
          <w:sz w:val="28"/>
          <w:szCs w:val="28"/>
          <w:shd w:val="clear" w:color="auto" w:fill="FFFFFF"/>
          <w:lang w:val="en-US" w:eastAsia="en-US"/>
        </w:rPr>
        <w:t>2026</w:t>
      </w:r>
      <w:r w:rsidR="00EF4C28" w:rsidRPr="00CF5041">
        <w:rPr>
          <w:rFonts w:ascii="Times New Roman" w:eastAsia="Times New Roman" w:hAnsi="Times New Roman" w:cs="Times New Roman"/>
          <w:color w:val="auto"/>
          <w:sz w:val="28"/>
          <w:szCs w:val="28"/>
          <w:shd w:val="clear" w:color="auto" w:fill="FFFFFF"/>
          <w:lang w:val="en-US" w:eastAsia="en-US"/>
        </w:rPr>
        <w:t>.</w:t>
      </w:r>
    </w:p>
    <w:p w14:paraId="2D659896" w14:textId="31871E9A" w:rsidR="00EF4C28" w:rsidRPr="00CF5041" w:rsidRDefault="00EF4C28" w:rsidP="00EF4C28">
      <w:pPr>
        <w:widowControl/>
        <w:shd w:val="clear" w:color="auto" w:fill="FFFFFF"/>
        <w:spacing w:before="120" w:after="120"/>
        <w:ind w:firstLine="720"/>
        <w:jc w:val="both"/>
        <w:rPr>
          <w:rFonts w:ascii="Times New Roman" w:eastAsia="Times New Roman" w:hAnsi="Times New Roman" w:cs="Times New Roman"/>
          <w:noProof/>
          <w:color w:val="auto"/>
          <w:sz w:val="28"/>
          <w:szCs w:val="28"/>
          <w:shd w:val="clear" w:color="auto" w:fill="FFFFFF"/>
          <w:lang w:val="en-US" w:eastAsia="en-US"/>
        </w:rPr>
      </w:pPr>
      <w:r w:rsidRPr="00CF5041">
        <w:rPr>
          <w:rFonts w:ascii="Times New Roman" w:eastAsia="Times New Roman" w:hAnsi="Times New Roman" w:cs="Times New Roman"/>
          <w:noProof/>
          <w:color w:val="auto"/>
          <w:sz w:val="28"/>
          <w:szCs w:val="28"/>
          <w:shd w:val="clear" w:color="auto" w:fill="FFFFFF"/>
          <w:lang w:val="en-US" w:eastAsia="en-US"/>
        </w:rPr>
        <w:lastRenderedPageBreak/>
        <w:t>2. Thông tư này bãi bỏ:</w:t>
      </w:r>
    </w:p>
    <w:p w14:paraId="2D9B7302" w14:textId="77777777" w:rsidR="00EF4C28" w:rsidRPr="00CF5041" w:rsidRDefault="00EF4C28" w:rsidP="00EF4C28">
      <w:pPr>
        <w:widowControl/>
        <w:shd w:val="clear" w:color="auto" w:fill="FFFFFF"/>
        <w:spacing w:before="120" w:after="120"/>
        <w:ind w:firstLine="720"/>
        <w:jc w:val="both"/>
        <w:rPr>
          <w:rFonts w:ascii="Times New Roman" w:eastAsia="Times New Roman" w:hAnsi="Times New Roman" w:cs="Times New Roman"/>
          <w:noProof/>
          <w:color w:val="auto"/>
          <w:sz w:val="28"/>
          <w:szCs w:val="28"/>
          <w:shd w:val="clear" w:color="auto" w:fill="FFFFFF"/>
          <w:lang w:val="en-US" w:eastAsia="en-US"/>
        </w:rPr>
      </w:pPr>
      <w:r w:rsidRPr="00CF5041">
        <w:rPr>
          <w:rFonts w:ascii="Times New Roman" w:eastAsia="Times New Roman" w:hAnsi="Times New Roman" w:cs="Times New Roman"/>
          <w:noProof/>
          <w:color w:val="auto"/>
          <w:sz w:val="28"/>
          <w:szCs w:val="28"/>
          <w:shd w:val="clear" w:color="auto" w:fill="FFFFFF"/>
          <w:lang w:val="en-US" w:eastAsia="en-US"/>
        </w:rPr>
        <w:t>a) Thông tư số 32/2015/TT-NHNN ngày 31 tháng 12 năm 2015 của Thống đốc Ngân hàng Nhà nước Việt Nam quy định về các giới hạn, tỷ lệ bảo đảm an toàn trong hoạt động của quỹ tín dụng nhân dân;</w:t>
      </w:r>
    </w:p>
    <w:p w14:paraId="658E60E1" w14:textId="0D7FC5F3" w:rsidR="003E62EB" w:rsidRPr="00CF5041" w:rsidRDefault="00EF4C28" w:rsidP="00EF4C28">
      <w:pPr>
        <w:widowControl/>
        <w:shd w:val="clear" w:color="auto" w:fill="FFFFFF"/>
        <w:spacing w:before="120" w:after="120"/>
        <w:ind w:firstLine="720"/>
        <w:jc w:val="both"/>
        <w:rPr>
          <w:rFonts w:ascii="Times New Roman" w:eastAsia="Times New Roman" w:hAnsi="Times New Roman" w:cs="Times New Roman"/>
          <w:color w:val="auto"/>
          <w:sz w:val="28"/>
          <w:szCs w:val="28"/>
          <w:shd w:val="clear" w:color="auto" w:fill="FFFFFF"/>
          <w:lang w:val="en-US" w:eastAsia="en-US"/>
        </w:rPr>
      </w:pPr>
      <w:r w:rsidRPr="00CF5041">
        <w:rPr>
          <w:rFonts w:ascii="Times New Roman" w:eastAsia="Times New Roman" w:hAnsi="Times New Roman" w:cs="Times New Roman"/>
          <w:noProof/>
          <w:color w:val="auto"/>
          <w:sz w:val="28"/>
          <w:szCs w:val="28"/>
          <w:shd w:val="clear" w:color="auto" w:fill="FFFFFF"/>
          <w:lang w:val="en-US" w:eastAsia="en-US"/>
        </w:rPr>
        <w:t xml:space="preserve">b) Thông tư số 13/2024/TT-NHNN ngày 28 tháng 6 năm 2024 của Thống đốc Ngân hàng Nhà nước </w:t>
      </w:r>
      <w:r w:rsidR="00B14497">
        <w:rPr>
          <w:rFonts w:ascii="Times New Roman" w:eastAsia="Times New Roman" w:hAnsi="Times New Roman" w:cs="Times New Roman"/>
          <w:noProof/>
          <w:color w:val="auto"/>
          <w:sz w:val="28"/>
          <w:szCs w:val="28"/>
          <w:shd w:val="clear" w:color="auto" w:fill="FFFFFF"/>
          <w:lang w:val="en-US" w:eastAsia="en-US"/>
        </w:rPr>
        <w:t xml:space="preserve">Việt Nam </w:t>
      </w:r>
      <w:r w:rsidRPr="00CF5041">
        <w:rPr>
          <w:rFonts w:ascii="Times New Roman" w:eastAsia="Times New Roman" w:hAnsi="Times New Roman" w:cs="Times New Roman"/>
          <w:noProof/>
          <w:color w:val="auto"/>
          <w:sz w:val="28"/>
          <w:szCs w:val="28"/>
          <w:shd w:val="clear" w:color="auto" w:fill="FFFFFF"/>
          <w:lang w:val="en-US" w:eastAsia="en-US"/>
        </w:rPr>
        <w:t>sửa đổi, bổ sung một số điều của Thông tư số 32/2015/TT-NHNN ngày 31 tháng 12 năm 2015 của Thống đốc Ngân hàng Nhà nước Việt Nam quy định các giới hạn, tỷ lệ bảo đảm an toàn trong hoạt động của quỹ tín dụng nhân dân</w:t>
      </w:r>
      <w:r w:rsidR="00AD7C97" w:rsidRPr="00CF5041">
        <w:rPr>
          <w:rFonts w:ascii="Times New Roman" w:eastAsia="Times New Roman" w:hAnsi="Times New Roman" w:cs="Times New Roman"/>
          <w:color w:val="auto"/>
          <w:sz w:val="28"/>
          <w:szCs w:val="28"/>
          <w:shd w:val="clear" w:color="auto" w:fill="FFFFFF"/>
          <w:lang w:val="en-US" w:eastAsia="en-US"/>
        </w:rPr>
        <w:t>.</w:t>
      </w:r>
    </w:p>
    <w:p w14:paraId="6D13280A" w14:textId="5827C07D" w:rsidR="00EC6AA4" w:rsidRPr="00CF5041" w:rsidRDefault="00EC6AA4" w:rsidP="00D93948">
      <w:pPr>
        <w:pStyle w:val="Heading3"/>
        <w:spacing w:before="120" w:after="120" w:line="240" w:lineRule="auto"/>
        <w:ind w:firstLine="720"/>
        <w:rPr>
          <w:b/>
        </w:rPr>
      </w:pPr>
      <w:r w:rsidRPr="00CF5041">
        <w:rPr>
          <w:rFonts w:hint="eastAsia"/>
          <w:b/>
        </w:rPr>
        <w:t>Đ</w:t>
      </w:r>
      <w:r w:rsidRPr="00CF5041">
        <w:rPr>
          <w:b/>
        </w:rPr>
        <w:t xml:space="preserve">iều </w:t>
      </w:r>
      <w:r w:rsidR="009B1004" w:rsidRPr="00CF5041">
        <w:rPr>
          <w:b/>
        </w:rPr>
        <w:t>1</w:t>
      </w:r>
      <w:r w:rsidR="001C154E" w:rsidRPr="00CF5041">
        <w:rPr>
          <w:b/>
        </w:rPr>
        <w:t>6</w:t>
      </w:r>
      <w:r w:rsidR="00341192" w:rsidRPr="00CF5041">
        <w:rPr>
          <w:b/>
        </w:rPr>
        <w:t>.</w:t>
      </w:r>
      <w:r w:rsidR="00CE5977" w:rsidRPr="00CF5041">
        <w:rPr>
          <w:b/>
        </w:rPr>
        <w:t xml:space="preserve"> </w:t>
      </w:r>
      <w:r w:rsidR="00776268" w:rsidRPr="00CF5041">
        <w:rPr>
          <w:b/>
        </w:rPr>
        <w:t>Tổ</w:t>
      </w:r>
      <w:r w:rsidR="001E204C" w:rsidRPr="00CF5041">
        <w:rPr>
          <w:b/>
        </w:rPr>
        <w:t xml:space="preserve"> </w:t>
      </w:r>
      <w:r w:rsidRPr="00CF5041">
        <w:rPr>
          <w:b/>
        </w:rPr>
        <w:t>chức thực hiện</w:t>
      </w:r>
    </w:p>
    <w:p w14:paraId="12F3E692" w14:textId="7AB90076" w:rsidR="00D03881" w:rsidRPr="00CF5041" w:rsidRDefault="00D03881" w:rsidP="00D93948">
      <w:pPr>
        <w:spacing w:before="120" w:after="360"/>
        <w:ind w:firstLine="720"/>
        <w:jc w:val="both"/>
        <w:rPr>
          <w:rFonts w:ascii="Times New Roman" w:hAnsi="Times New Roman" w:cs="Times New Roman"/>
          <w:color w:val="auto"/>
          <w:sz w:val="28"/>
          <w:szCs w:val="28"/>
        </w:rPr>
      </w:pPr>
      <w:r w:rsidRPr="00CF5041">
        <w:rPr>
          <w:rFonts w:ascii="Times New Roman" w:hAnsi="Times New Roman" w:cs="Times New Roman"/>
          <w:color w:val="auto"/>
          <w:sz w:val="28"/>
          <w:szCs w:val="28"/>
          <w:shd w:val="clear" w:color="auto" w:fill="FFFFFF"/>
        </w:rPr>
        <w:t>Thủ trưởng các đơn vị thuộc Ngân hàng Nh</w:t>
      </w:r>
      <w:r w:rsidRPr="00CF5041">
        <w:rPr>
          <w:rFonts w:ascii="Times New Roman" w:hAnsi="Times New Roman" w:cs="Times New Roman"/>
          <w:color w:val="auto"/>
          <w:sz w:val="28"/>
          <w:szCs w:val="28"/>
          <w:shd w:val="clear" w:color="auto" w:fill="FFFFFF"/>
          <w:lang w:val="en-US"/>
        </w:rPr>
        <w:t>à</w:t>
      </w:r>
      <w:r w:rsidRPr="00CF5041">
        <w:rPr>
          <w:rFonts w:ascii="Times New Roman" w:hAnsi="Times New Roman" w:cs="Times New Roman"/>
          <w:color w:val="auto"/>
          <w:sz w:val="28"/>
          <w:szCs w:val="28"/>
          <w:shd w:val="clear" w:color="auto" w:fill="FFFFFF"/>
        </w:rPr>
        <w:t xml:space="preserve"> nước, quỹ tín dụng nhân dân chịu trách nhiệm tổ chức </w:t>
      </w:r>
      <w:r w:rsidR="008C01C3" w:rsidRPr="00CF5041">
        <w:rPr>
          <w:rFonts w:ascii="Times New Roman" w:hAnsi="Times New Roman" w:cs="Times New Roman"/>
          <w:color w:val="auto"/>
          <w:sz w:val="28"/>
          <w:szCs w:val="28"/>
          <w:shd w:val="clear" w:color="auto" w:fill="FFFFFF"/>
          <w:lang w:val="en-US"/>
        </w:rPr>
        <w:t>thực hiện</w:t>
      </w:r>
      <w:r w:rsidR="00422AC4" w:rsidRPr="00CF5041">
        <w:rPr>
          <w:rFonts w:ascii="Times New Roman" w:hAnsi="Times New Roman" w:cs="Times New Roman"/>
          <w:color w:val="auto"/>
          <w:sz w:val="28"/>
          <w:szCs w:val="28"/>
          <w:shd w:val="clear" w:color="auto" w:fill="FFFFFF"/>
          <w:lang w:val="en-US"/>
        </w:rPr>
        <w:t xml:space="preserve"> </w:t>
      </w:r>
      <w:r w:rsidRPr="00CF5041">
        <w:rPr>
          <w:rFonts w:ascii="Times New Roman" w:hAnsi="Times New Roman" w:cs="Times New Roman"/>
          <w:color w:val="auto"/>
          <w:sz w:val="28"/>
          <w:szCs w:val="28"/>
          <w:shd w:val="clear" w:color="auto" w:fill="FFFFFF"/>
        </w:rPr>
        <w:t>Thông tư này./.</w:t>
      </w:r>
    </w:p>
    <w:tbl>
      <w:tblPr>
        <w:tblW w:w="0" w:type="auto"/>
        <w:tblLook w:val="01E0" w:firstRow="1" w:lastRow="1" w:firstColumn="1" w:lastColumn="1" w:noHBand="0" w:noVBand="0"/>
      </w:tblPr>
      <w:tblGrid>
        <w:gridCol w:w="4275"/>
        <w:gridCol w:w="4250"/>
      </w:tblGrid>
      <w:tr w:rsidR="00EC6AA4" w:rsidRPr="00CF5041" w14:paraId="0E5DE2A5" w14:textId="77777777" w:rsidTr="00733D3E">
        <w:tc>
          <w:tcPr>
            <w:tcW w:w="4275" w:type="dxa"/>
          </w:tcPr>
          <w:p w14:paraId="31E127E9" w14:textId="76BA1D60" w:rsidR="00EC6AA4" w:rsidRPr="00CF5041" w:rsidRDefault="00EC6AA4" w:rsidP="001C154E">
            <w:pPr>
              <w:ind w:left="-108"/>
              <w:rPr>
                <w:rFonts w:ascii="Times New Roman" w:eastAsia="Times New Roman" w:hAnsi="Times New Roman" w:cs="Times New Roman"/>
                <w:b/>
                <w:color w:val="auto"/>
              </w:rPr>
            </w:pPr>
            <w:r w:rsidRPr="00CF5041">
              <w:rPr>
                <w:rFonts w:ascii="Times New Roman" w:eastAsia="Times New Roman" w:hAnsi="Times New Roman" w:cs="Times New Roman"/>
                <w:b/>
                <w:i/>
                <w:color w:val="auto"/>
              </w:rPr>
              <w:t>Nơi nhận:</w:t>
            </w:r>
            <w:r w:rsidRPr="00CF5041">
              <w:rPr>
                <w:rFonts w:ascii="Times New Roman" w:eastAsia="Times New Roman" w:hAnsi="Times New Roman" w:cs="Times New Roman"/>
                <w:b/>
                <w:i/>
                <w:color w:val="auto"/>
              </w:rPr>
              <w:br/>
            </w:r>
            <w:r w:rsidR="001545E6" w:rsidRPr="00CF5041">
              <w:rPr>
                <w:rFonts w:ascii="Times New Roman" w:eastAsia="Times New Roman" w:hAnsi="Times New Roman" w:cs="Times New Roman"/>
                <w:color w:val="auto"/>
                <w:sz w:val="22"/>
                <w:szCs w:val="22"/>
              </w:rPr>
              <w:t xml:space="preserve">- Như Điều </w:t>
            </w:r>
            <w:r w:rsidR="009B1004" w:rsidRPr="00CF5041">
              <w:rPr>
                <w:rFonts w:ascii="Times New Roman" w:eastAsia="Times New Roman" w:hAnsi="Times New Roman" w:cs="Times New Roman"/>
                <w:color w:val="auto"/>
                <w:sz w:val="22"/>
                <w:szCs w:val="22"/>
                <w:lang w:val="en-US"/>
              </w:rPr>
              <w:t>1</w:t>
            </w:r>
            <w:r w:rsidR="001C154E" w:rsidRPr="00CF5041">
              <w:rPr>
                <w:rFonts w:ascii="Times New Roman" w:eastAsia="Times New Roman" w:hAnsi="Times New Roman" w:cs="Times New Roman"/>
                <w:color w:val="auto"/>
                <w:sz w:val="22"/>
                <w:szCs w:val="22"/>
                <w:lang w:val="en-US"/>
              </w:rPr>
              <w:t>6</w:t>
            </w:r>
            <w:r w:rsidRPr="00CF5041">
              <w:rPr>
                <w:rFonts w:ascii="Times New Roman" w:eastAsia="Times New Roman" w:hAnsi="Times New Roman" w:cs="Times New Roman"/>
                <w:color w:val="auto"/>
                <w:sz w:val="22"/>
                <w:szCs w:val="22"/>
              </w:rPr>
              <w:t>;</w:t>
            </w:r>
            <w:r w:rsidRPr="00CF5041">
              <w:rPr>
                <w:rFonts w:ascii="Times New Roman" w:eastAsia="Times New Roman" w:hAnsi="Times New Roman" w:cs="Times New Roman"/>
                <w:color w:val="auto"/>
                <w:sz w:val="22"/>
                <w:szCs w:val="22"/>
              </w:rPr>
              <w:br/>
              <w:t>- Ban lãnh đạo NHNN;</w:t>
            </w:r>
            <w:r w:rsidRPr="00CF5041">
              <w:rPr>
                <w:rFonts w:ascii="Times New Roman" w:eastAsia="Times New Roman" w:hAnsi="Times New Roman" w:cs="Times New Roman"/>
                <w:color w:val="auto"/>
                <w:sz w:val="22"/>
                <w:szCs w:val="22"/>
              </w:rPr>
              <w:br/>
              <w:t>- Văn phòng Chính phủ;</w:t>
            </w:r>
            <w:r w:rsidRPr="00CF5041">
              <w:rPr>
                <w:rFonts w:ascii="Times New Roman" w:eastAsia="Times New Roman" w:hAnsi="Times New Roman" w:cs="Times New Roman"/>
                <w:color w:val="auto"/>
                <w:sz w:val="22"/>
                <w:szCs w:val="22"/>
              </w:rPr>
              <w:br/>
              <w:t>- Bộ Tư pháp (để kiểm tra);</w:t>
            </w:r>
            <w:r w:rsidRPr="00CF5041">
              <w:rPr>
                <w:rFonts w:ascii="Times New Roman" w:eastAsia="Times New Roman" w:hAnsi="Times New Roman" w:cs="Times New Roman"/>
                <w:color w:val="auto"/>
                <w:sz w:val="22"/>
                <w:szCs w:val="22"/>
              </w:rPr>
              <w:br/>
              <w:t>- Công báo;</w:t>
            </w:r>
            <w:r w:rsidRPr="00CF5041">
              <w:rPr>
                <w:rFonts w:ascii="Times New Roman" w:eastAsia="Times New Roman" w:hAnsi="Times New Roman" w:cs="Times New Roman"/>
                <w:color w:val="auto"/>
                <w:sz w:val="22"/>
                <w:szCs w:val="22"/>
              </w:rPr>
              <w:br/>
              <w:t xml:space="preserve">- </w:t>
            </w:r>
            <w:r w:rsidR="00D03881" w:rsidRPr="00CF5041">
              <w:rPr>
                <w:rFonts w:ascii="Times New Roman" w:eastAsia="Times New Roman" w:hAnsi="Times New Roman" w:cs="Times New Roman"/>
                <w:color w:val="auto"/>
                <w:sz w:val="22"/>
                <w:szCs w:val="22"/>
              </w:rPr>
              <w:t xml:space="preserve">Cổng thông tin điện tử </w:t>
            </w:r>
            <w:r w:rsidR="001545E6" w:rsidRPr="00CF5041">
              <w:rPr>
                <w:rFonts w:ascii="Times New Roman" w:eastAsia="Times New Roman" w:hAnsi="Times New Roman" w:cs="Times New Roman"/>
                <w:color w:val="auto"/>
                <w:sz w:val="22"/>
                <w:szCs w:val="22"/>
              </w:rPr>
              <w:t>NHNN;</w:t>
            </w:r>
            <w:r w:rsidR="001545E6" w:rsidRPr="00CF5041">
              <w:rPr>
                <w:rFonts w:ascii="Times New Roman" w:eastAsia="Times New Roman" w:hAnsi="Times New Roman" w:cs="Times New Roman"/>
                <w:color w:val="auto"/>
                <w:sz w:val="22"/>
                <w:szCs w:val="22"/>
              </w:rPr>
              <w:br/>
              <w:t>- Lưu: VP</w:t>
            </w:r>
            <w:r w:rsidR="00667022" w:rsidRPr="00CF5041">
              <w:rPr>
                <w:rFonts w:ascii="Times New Roman" w:eastAsia="Times New Roman" w:hAnsi="Times New Roman" w:cs="Times New Roman"/>
                <w:color w:val="auto"/>
                <w:sz w:val="22"/>
                <w:szCs w:val="22"/>
                <w:lang w:val="en-US"/>
              </w:rPr>
              <w:t>,</w:t>
            </w:r>
            <w:r w:rsidR="001545E6" w:rsidRPr="00CF5041">
              <w:rPr>
                <w:rFonts w:ascii="Times New Roman" w:eastAsia="Times New Roman" w:hAnsi="Times New Roman" w:cs="Times New Roman"/>
                <w:color w:val="auto"/>
                <w:sz w:val="22"/>
                <w:szCs w:val="22"/>
              </w:rPr>
              <w:t xml:space="preserve"> </w:t>
            </w:r>
            <w:r w:rsidR="00D03881" w:rsidRPr="00CF5041">
              <w:rPr>
                <w:rFonts w:ascii="Times New Roman" w:eastAsia="Times New Roman" w:hAnsi="Times New Roman" w:cs="Times New Roman"/>
                <w:color w:val="auto"/>
                <w:sz w:val="22"/>
                <w:szCs w:val="22"/>
              </w:rPr>
              <w:t>Vụ</w:t>
            </w:r>
            <w:r w:rsidRPr="00CF5041">
              <w:rPr>
                <w:rFonts w:ascii="Times New Roman" w:eastAsia="Times New Roman" w:hAnsi="Times New Roman" w:cs="Times New Roman"/>
                <w:color w:val="auto"/>
                <w:sz w:val="22"/>
                <w:szCs w:val="22"/>
              </w:rPr>
              <w:t xml:space="preserve"> PC</w:t>
            </w:r>
            <w:r w:rsidR="00D03881" w:rsidRPr="00CF5041">
              <w:rPr>
                <w:rFonts w:ascii="Times New Roman" w:eastAsia="Times New Roman" w:hAnsi="Times New Roman" w:cs="Times New Roman"/>
                <w:color w:val="auto"/>
                <w:sz w:val="22"/>
                <w:szCs w:val="22"/>
              </w:rPr>
              <w:t>,</w:t>
            </w:r>
            <w:r w:rsidR="00996F96" w:rsidRPr="00CF5041">
              <w:rPr>
                <w:rFonts w:ascii="Times New Roman" w:eastAsia="Times New Roman" w:hAnsi="Times New Roman" w:cs="Times New Roman"/>
                <w:color w:val="auto"/>
                <w:sz w:val="22"/>
                <w:szCs w:val="22"/>
                <w:lang w:val="en-US"/>
              </w:rPr>
              <w:t xml:space="preserve"> ATHT4</w:t>
            </w:r>
            <w:r w:rsidRPr="00CF5041">
              <w:rPr>
                <w:rFonts w:ascii="Times New Roman" w:eastAsia="Times New Roman" w:hAnsi="Times New Roman" w:cs="Times New Roman"/>
                <w:color w:val="auto"/>
                <w:sz w:val="22"/>
                <w:szCs w:val="22"/>
              </w:rPr>
              <w:t>.</w:t>
            </w:r>
          </w:p>
        </w:tc>
        <w:tc>
          <w:tcPr>
            <w:tcW w:w="4250" w:type="dxa"/>
          </w:tcPr>
          <w:p w14:paraId="25C4EA51" w14:textId="77777777" w:rsidR="00EC6AA4" w:rsidRPr="00CF5041" w:rsidRDefault="00EC6AA4" w:rsidP="003F579E">
            <w:pPr>
              <w:spacing w:line="264" w:lineRule="auto"/>
              <w:jc w:val="center"/>
              <w:rPr>
                <w:rFonts w:ascii="Times New Roman" w:eastAsia="Times New Roman" w:hAnsi="Times New Roman" w:cs="Times New Roman"/>
                <w:b/>
                <w:color w:val="auto"/>
                <w:sz w:val="28"/>
                <w:szCs w:val="28"/>
              </w:rPr>
            </w:pPr>
            <w:r w:rsidRPr="00CF5041">
              <w:rPr>
                <w:rFonts w:ascii="Times New Roman" w:eastAsia="Times New Roman" w:hAnsi="Times New Roman" w:cs="Times New Roman"/>
                <w:b/>
                <w:color w:val="auto"/>
                <w:sz w:val="28"/>
                <w:szCs w:val="28"/>
              </w:rPr>
              <w:t>THỐNG ĐỐC</w:t>
            </w:r>
            <w:r w:rsidRPr="00CF5041">
              <w:rPr>
                <w:rFonts w:ascii="Times New Roman" w:eastAsia="Times New Roman" w:hAnsi="Times New Roman" w:cs="Times New Roman"/>
                <w:b/>
                <w:color w:val="auto"/>
                <w:sz w:val="28"/>
                <w:szCs w:val="28"/>
              </w:rPr>
              <w:br/>
            </w:r>
            <w:r w:rsidRPr="00CF5041">
              <w:rPr>
                <w:rFonts w:ascii="Times New Roman" w:eastAsia="Times New Roman" w:hAnsi="Times New Roman" w:cs="Times New Roman"/>
                <w:b/>
                <w:color w:val="auto"/>
                <w:sz w:val="28"/>
                <w:szCs w:val="28"/>
              </w:rPr>
              <w:br/>
            </w:r>
            <w:r w:rsidRPr="00CF5041">
              <w:rPr>
                <w:rFonts w:ascii="Times New Roman" w:eastAsia="Times New Roman" w:hAnsi="Times New Roman" w:cs="Times New Roman"/>
                <w:b/>
                <w:color w:val="auto"/>
                <w:sz w:val="28"/>
                <w:szCs w:val="28"/>
              </w:rPr>
              <w:br/>
            </w:r>
            <w:r w:rsidRPr="00CF5041">
              <w:rPr>
                <w:rFonts w:ascii="Times New Roman" w:eastAsia="Times New Roman" w:hAnsi="Times New Roman" w:cs="Times New Roman"/>
                <w:b/>
                <w:color w:val="auto"/>
                <w:sz w:val="28"/>
                <w:szCs w:val="28"/>
              </w:rPr>
              <w:br/>
            </w:r>
            <w:r w:rsidRPr="00CF5041">
              <w:rPr>
                <w:rFonts w:ascii="Times New Roman" w:eastAsia="Times New Roman" w:hAnsi="Times New Roman" w:cs="Times New Roman"/>
                <w:b/>
                <w:color w:val="auto"/>
                <w:sz w:val="28"/>
                <w:szCs w:val="28"/>
              </w:rPr>
              <w:br/>
            </w:r>
          </w:p>
        </w:tc>
      </w:tr>
    </w:tbl>
    <w:p w14:paraId="42CC96C7" w14:textId="77777777" w:rsidR="00EC6AA4" w:rsidRPr="00CF5041" w:rsidRDefault="00EC6AA4" w:rsidP="00EC6AA4">
      <w:pPr>
        <w:spacing w:before="120"/>
        <w:rPr>
          <w:rFonts w:ascii="Arial" w:hAnsi="Arial" w:cs="Arial"/>
          <w:color w:val="auto"/>
          <w:sz w:val="20"/>
        </w:rPr>
      </w:pPr>
    </w:p>
    <w:p w14:paraId="3DC12B08" w14:textId="77777777" w:rsidR="007137D9" w:rsidRPr="00CF5041" w:rsidRDefault="007137D9" w:rsidP="003314BC">
      <w:pPr>
        <w:spacing w:line="312" w:lineRule="auto"/>
        <w:ind w:firstLine="851"/>
        <w:jc w:val="both"/>
        <w:rPr>
          <w:rFonts w:ascii="Times New Roman" w:hAnsi="Times New Roman" w:cs="Times New Roman"/>
          <w:color w:val="auto"/>
          <w:sz w:val="28"/>
          <w:szCs w:val="28"/>
        </w:rPr>
      </w:pPr>
    </w:p>
    <w:p w14:paraId="369CAA79" w14:textId="77777777" w:rsidR="00105A8F" w:rsidRPr="00CF5041" w:rsidRDefault="00105A8F" w:rsidP="003314BC">
      <w:pPr>
        <w:spacing w:line="312" w:lineRule="auto"/>
        <w:ind w:firstLine="851"/>
        <w:jc w:val="both"/>
        <w:rPr>
          <w:rFonts w:ascii="Times New Roman" w:hAnsi="Times New Roman" w:cs="Times New Roman"/>
          <w:color w:val="auto"/>
          <w:sz w:val="28"/>
          <w:szCs w:val="28"/>
        </w:rPr>
        <w:sectPr w:rsidR="00105A8F" w:rsidRPr="00CF5041" w:rsidSect="007E28E0">
          <w:headerReference w:type="default" r:id="rId8"/>
          <w:pgSz w:w="11906" w:h="16838" w:code="9"/>
          <w:pgMar w:top="1134" w:right="1134" w:bottom="1134" w:left="1701" w:header="720" w:footer="397" w:gutter="0"/>
          <w:cols w:space="720"/>
          <w:titlePg/>
          <w:docGrid w:linePitch="360"/>
        </w:sectPr>
      </w:pPr>
    </w:p>
    <w:p w14:paraId="4D956F93" w14:textId="3374D4F1" w:rsidR="004C05A8" w:rsidRPr="00CF5041" w:rsidRDefault="004C05A8" w:rsidP="004C05A8">
      <w:pPr>
        <w:pStyle w:val="Heading2"/>
        <w:spacing w:after="0" w:line="240" w:lineRule="auto"/>
        <w:rPr>
          <w:color w:val="auto"/>
          <w:lang w:val="en-US"/>
        </w:rPr>
      </w:pPr>
      <w:bookmarkStart w:id="12" w:name="loai_pl1"/>
      <w:r w:rsidRPr="00CF5041">
        <w:rPr>
          <w:color w:val="auto"/>
        </w:rPr>
        <w:lastRenderedPageBreak/>
        <w:t>Phụ lục</w:t>
      </w:r>
    </w:p>
    <w:p w14:paraId="30EDD187" w14:textId="3E0B947F" w:rsidR="004C05A8" w:rsidRPr="00CF5041" w:rsidRDefault="004C05A8" w:rsidP="004C05A8">
      <w:pPr>
        <w:shd w:val="clear" w:color="auto" w:fill="FFFFFF"/>
        <w:spacing w:before="60"/>
        <w:jc w:val="center"/>
        <w:rPr>
          <w:rFonts w:ascii="Times New Roman" w:eastAsia="Times New Roman" w:hAnsi="Times New Roman" w:cs="Times New Roman"/>
          <w:i/>
          <w:iCs/>
          <w:color w:val="auto"/>
          <w:sz w:val="28"/>
          <w:szCs w:val="28"/>
          <w:lang w:val="en-US"/>
        </w:rPr>
      </w:pPr>
      <w:r w:rsidRPr="00CF5041">
        <w:rPr>
          <w:rFonts w:ascii="Times New Roman" w:eastAsia="Times New Roman" w:hAnsi="Times New Roman" w:cs="Times New Roman"/>
          <w:i/>
          <w:iCs/>
          <w:color w:val="auto"/>
          <w:sz w:val="28"/>
          <w:szCs w:val="28"/>
        </w:rPr>
        <w:t>(</w:t>
      </w:r>
      <w:r w:rsidRPr="00CF5041">
        <w:rPr>
          <w:rFonts w:ascii="Times New Roman" w:eastAsia="Times New Roman" w:hAnsi="Times New Roman" w:cs="Times New Roman"/>
          <w:i/>
          <w:iCs/>
          <w:color w:val="auto"/>
          <w:sz w:val="28"/>
          <w:szCs w:val="28"/>
          <w:lang w:val="en-US"/>
        </w:rPr>
        <w:t>Ban hành kèm</w:t>
      </w:r>
      <w:r w:rsidRPr="00CF5041">
        <w:rPr>
          <w:rFonts w:ascii="Times New Roman" w:eastAsia="Times New Roman" w:hAnsi="Times New Roman" w:cs="Times New Roman"/>
          <w:i/>
          <w:iCs/>
          <w:color w:val="auto"/>
          <w:sz w:val="28"/>
          <w:szCs w:val="28"/>
        </w:rPr>
        <w:t xml:space="preserve"> theo Thông tư số     /202</w:t>
      </w:r>
      <w:r w:rsidRPr="00CF5041">
        <w:rPr>
          <w:rFonts w:ascii="Times New Roman" w:eastAsia="Times New Roman" w:hAnsi="Times New Roman" w:cs="Times New Roman"/>
          <w:i/>
          <w:iCs/>
          <w:color w:val="auto"/>
          <w:sz w:val="28"/>
          <w:szCs w:val="28"/>
          <w:lang w:val="en-US"/>
        </w:rPr>
        <w:t>6</w:t>
      </w:r>
      <w:r w:rsidRPr="00CF5041">
        <w:rPr>
          <w:rFonts w:ascii="Times New Roman" w:eastAsia="Times New Roman" w:hAnsi="Times New Roman" w:cs="Times New Roman"/>
          <w:i/>
          <w:iCs/>
          <w:color w:val="auto"/>
          <w:sz w:val="28"/>
          <w:szCs w:val="28"/>
        </w:rPr>
        <w:t xml:space="preserve">/TT-NHNN ngày  </w:t>
      </w:r>
      <w:r w:rsidRPr="00CF5041">
        <w:rPr>
          <w:rFonts w:ascii="Times New Roman" w:eastAsia="Times New Roman" w:hAnsi="Times New Roman" w:cs="Times New Roman"/>
          <w:i/>
          <w:iCs/>
          <w:color w:val="auto"/>
          <w:sz w:val="28"/>
          <w:szCs w:val="28"/>
          <w:lang w:val="en-US"/>
        </w:rPr>
        <w:t xml:space="preserve"> </w:t>
      </w:r>
      <w:r w:rsidRPr="00CF5041">
        <w:rPr>
          <w:rFonts w:ascii="Times New Roman" w:eastAsia="Times New Roman" w:hAnsi="Times New Roman" w:cs="Times New Roman"/>
          <w:i/>
          <w:iCs/>
          <w:color w:val="auto"/>
          <w:sz w:val="28"/>
          <w:szCs w:val="28"/>
        </w:rPr>
        <w:t xml:space="preserve">  /    /</w:t>
      </w:r>
      <w:r w:rsidRPr="00CF5041">
        <w:rPr>
          <w:rFonts w:ascii="Times New Roman" w:eastAsia="Times New Roman" w:hAnsi="Times New Roman" w:cs="Times New Roman"/>
          <w:i/>
          <w:iCs/>
          <w:color w:val="auto"/>
          <w:sz w:val="28"/>
          <w:szCs w:val="28"/>
          <w:lang w:val="en-US"/>
        </w:rPr>
        <w:t>2026</w:t>
      </w:r>
    </w:p>
    <w:p w14:paraId="2E8BEA35" w14:textId="77777777" w:rsidR="004C05A8" w:rsidRPr="00CF5041" w:rsidRDefault="004C05A8" w:rsidP="004C05A8">
      <w:pPr>
        <w:shd w:val="clear" w:color="auto" w:fill="FFFFFF"/>
        <w:spacing w:before="60"/>
        <w:jc w:val="center"/>
        <w:rPr>
          <w:rFonts w:ascii="Times New Roman" w:eastAsia="Times New Roman" w:hAnsi="Times New Roman" w:cs="Times New Roman"/>
          <w:i/>
          <w:iCs/>
          <w:color w:val="auto"/>
          <w:sz w:val="28"/>
          <w:szCs w:val="28"/>
        </w:rPr>
      </w:pPr>
      <w:r w:rsidRPr="00CF5041">
        <w:rPr>
          <w:rFonts w:ascii="Times New Roman" w:eastAsia="Times New Roman" w:hAnsi="Times New Roman" w:cs="Times New Roman"/>
          <w:i/>
          <w:iCs/>
          <w:color w:val="auto"/>
          <w:sz w:val="28"/>
          <w:szCs w:val="28"/>
          <w:lang w:val="en-US"/>
        </w:rPr>
        <w:t xml:space="preserve"> </w:t>
      </w:r>
      <w:r w:rsidRPr="00CF5041">
        <w:rPr>
          <w:rFonts w:ascii="Times New Roman" w:eastAsia="Times New Roman" w:hAnsi="Times New Roman" w:cs="Times New Roman"/>
          <w:i/>
          <w:iCs/>
          <w:color w:val="auto"/>
          <w:sz w:val="28"/>
          <w:szCs w:val="28"/>
        </w:rPr>
        <w:t>của Thống đốc Ngân hàng Nhà nước</w:t>
      </w:r>
      <w:r w:rsidRPr="00CF5041">
        <w:rPr>
          <w:rFonts w:ascii="Times New Roman" w:eastAsia="Times New Roman" w:hAnsi="Times New Roman" w:cs="Times New Roman"/>
          <w:i/>
          <w:iCs/>
          <w:color w:val="auto"/>
          <w:sz w:val="28"/>
          <w:szCs w:val="28"/>
          <w:lang w:val="en-US"/>
        </w:rPr>
        <w:t xml:space="preserve"> Việt Nam</w:t>
      </w:r>
      <w:r w:rsidRPr="00CF5041">
        <w:rPr>
          <w:rFonts w:ascii="Times New Roman" w:eastAsia="Times New Roman" w:hAnsi="Times New Roman" w:cs="Times New Roman"/>
          <w:i/>
          <w:iCs/>
          <w:color w:val="auto"/>
          <w:sz w:val="28"/>
          <w:szCs w:val="28"/>
        </w:rPr>
        <w:t>)</w:t>
      </w:r>
    </w:p>
    <w:p w14:paraId="32CCE8B3" w14:textId="77777777" w:rsidR="004C05A8" w:rsidRPr="00CF5041" w:rsidRDefault="004C05A8" w:rsidP="00E00454"/>
    <w:p w14:paraId="7A07F11E" w14:textId="77777777" w:rsidR="004C05A8" w:rsidRPr="00CF5041" w:rsidRDefault="004C05A8" w:rsidP="00E00454"/>
    <w:p w14:paraId="3344B242" w14:textId="610C449D" w:rsidR="00E57E6E" w:rsidRPr="00CF5041" w:rsidRDefault="00E57E6E" w:rsidP="00FA623D">
      <w:pPr>
        <w:pStyle w:val="Heading2"/>
        <w:spacing w:after="0" w:line="240" w:lineRule="auto"/>
        <w:rPr>
          <w:color w:val="auto"/>
          <w:lang w:val="en-US"/>
        </w:rPr>
      </w:pPr>
      <w:r w:rsidRPr="00CF5041">
        <w:rPr>
          <w:color w:val="auto"/>
        </w:rPr>
        <w:t xml:space="preserve">Phụ lục </w:t>
      </w:r>
      <w:bookmarkEnd w:id="12"/>
      <w:r w:rsidR="004926E9" w:rsidRPr="00CF5041">
        <w:rPr>
          <w:color w:val="auto"/>
          <w:lang w:val="en-US"/>
        </w:rPr>
        <w:t>I</w:t>
      </w:r>
    </w:p>
    <w:p w14:paraId="6D7760B2" w14:textId="0B3313AF" w:rsidR="000B125C" w:rsidRPr="00CF5041" w:rsidRDefault="00C90763" w:rsidP="00413874">
      <w:pPr>
        <w:pStyle w:val="Heading2"/>
        <w:spacing w:after="0" w:line="240" w:lineRule="auto"/>
        <w:rPr>
          <w:color w:val="auto"/>
          <w:lang w:val="en-US"/>
        </w:rPr>
      </w:pPr>
      <w:r w:rsidRPr="00CF5041">
        <w:rPr>
          <w:color w:val="auto"/>
          <w:lang w:val="en-US"/>
        </w:rPr>
        <w:t>CẤU PHẦN VÀ CÁCH</w:t>
      </w:r>
      <w:r w:rsidR="00DD756F" w:rsidRPr="00CF5041">
        <w:rPr>
          <w:color w:val="auto"/>
          <w:lang w:val="en-US"/>
        </w:rPr>
        <w:t xml:space="preserve"> XÁC ĐỊNH VỐN TỰ CÓ</w:t>
      </w:r>
    </w:p>
    <w:p w14:paraId="326A6A0D" w14:textId="77777777" w:rsidR="00DD756F" w:rsidRPr="00CF5041" w:rsidRDefault="00DD756F" w:rsidP="00DD756F">
      <w:pPr>
        <w:widowControl/>
        <w:shd w:val="clear" w:color="auto" w:fill="FFFFFF"/>
        <w:spacing w:before="120" w:after="120"/>
        <w:jc w:val="right"/>
        <w:rPr>
          <w:rFonts w:ascii="Times New Roman" w:eastAsia="Times New Roman" w:hAnsi="Times New Roman" w:cs="Times New Roman"/>
          <w:color w:val="auto"/>
          <w:lang w:val="en-US" w:eastAsia="en-US"/>
        </w:rPr>
      </w:pPr>
      <w:r w:rsidRPr="00CF5041">
        <w:rPr>
          <w:rFonts w:ascii="Times New Roman" w:eastAsia="Times New Roman" w:hAnsi="Times New Roman" w:cs="Times New Roman"/>
          <w:color w:val="auto"/>
          <w:lang w:eastAsia="en-US"/>
        </w:rPr>
        <w:t>Đơn vị tính: triệu đồng</w:t>
      </w:r>
    </w:p>
    <w:tbl>
      <w:tblPr>
        <w:tblStyle w:val="TableGrid"/>
        <w:tblW w:w="5000" w:type="pct"/>
        <w:tblLook w:val="04A0" w:firstRow="1" w:lastRow="0" w:firstColumn="1" w:lastColumn="0" w:noHBand="0" w:noVBand="1"/>
      </w:tblPr>
      <w:tblGrid>
        <w:gridCol w:w="683"/>
        <w:gridCol w:w="3423"/>
        <w:gridCol w:w="4955"/>
      </w:tblGrid>
      <w:tr w:rsidR="001672A5" w:rsidRPr="00CF5041" w14:paraId="46EC1155" w14:textId="77777777" w:rsidTr="009B26AB">
        <w:trPr>
          <w:tblHeader/>
        </w:trPr>
        <w:tc>
          <w:tcPr>
            <w:tcW w:w="377" w:type="pct"/>
            <w:vAlign w:val="center"/>
            <w:hideMark/>
          </w:tcPr>
          <w:p w14:paraId="3773419A" w14:textId="77777777" w:rsidR="00DD756F" w:rsidRPr="00CF5041" w:rsidRDefault="00DD756F" w:rsidP="00D93948">
            <w:pPr>
              <w:widowControl/>
              <w:spacing w:before="120" w:after="120"/>
              <w:jc w:val="center"/>
              <w:rPr>
                <w:b/>
                <w:color w:val="auto"/>
                <w:lang w:val="en-US" w:eastAsia="en-US"/>
              </w:rPr>
            </w:pPr>
            <w:r w:rsidRPr="00CF5041">
              <w:rPr>
                <w:b/>
                <w:bCs/>
                <w:color w:val="auto"/>
                <w:lang w:eastAsia="en-US"/>
              </w:rPr>
              <w:t>Mục</w:t>
            </w:r>
          </w:p>
        </w:tc>
        <w:tc>
          <w:tcPr>
            <w:tcW w:w="1889" w:type="pct"/>
            <w:vAlign w:val="center"/>
            <w:hideMark/>
          </w:tcPr>
          <w:p w14:paraId="5BA8725B" w14:textId="77777777" w:rsidR="00DD756F" w:rsidRPr="00CF5041" w:rsidRDefault="00DD756F" w:rsidP="00D93948">
            <w:pPr>
              <w:widowControl/>
              <w:spacing w:before="120" w:after="120"/>
              <w:jc w:val="center"/>
              <w:rPr>
                <w:b/>
                <w:color w:val="auto"/>
                <w:lang w:val="en-US" w:eastAsia="en-US"/>
              </w:rPr>
            </w:pPr>
            <w:r w:rsidRPr="00CF5041">
              <w:rPr>
                <w:b/>
                <w:bCs/>
                <w:color w:val="auto"/>
                <w:lang w:eastAsia="en-US"/>
              </w:rPr>
              <w:t>Cấu phần</w:t>
            </w:r>
          </w:p>
        </w:tc>
        <w:tc>
          <w:tcPr>
            <w:tcW w:w="2734" w:type="pct"/>
            <w:vAlign w:val="center"/>
            <w:hideMark/>
          </w:tcPr>
          <w:p w14:paraId="6837FCD9" w14:textId="77777777" w:rsidR="00DD756F" w:rsidRPr="00CF5041" w:rsidRDefault="00DD756F" w:rsidP="00D93948">
            <w:pPr>
              <w:widowControl/>
              <w:spacing w:before="120" w:after="120"/>
              <w:jc w:val="center"/>
              <w:rPr>
                <w:b/>
                <w:color w:val="auto"/>
                <w:lang w:val="en-US" w:eastAsia="en-US"/>
              </w:rPr>
            </w:pPr>
            <w:r w:rsidRPr="00CF5041">
              <w:rPr>
                <w:b/>
                <w:bCs/>
                <w:color w:val="auto"/>
                <w:lang w:eastAsia="en-US"/>
              </w:rPr>
              <w:t>Cách xác định</w:t>
            </w:r>
          </w:p>
        </w:tc>
      </w:tr>
      <w:tr w:rsidR="00C20154" w:rsidRPr="00CF5041" w14:paraId="3AEEF2DE" w14:textId="77777777" w:rsidTr="009B26AB">
        <w:tc>
          <w:tcPr>
            <w:tcW w:w="377" w:type="pct"/>
            <w:vAlign w:val="center"/>
          </w:tcPr>
          <w:p w14:paraId="3B5981EE" w14:textId="35A1E629" w:rsidR="00C20154" w:rsidRPr="00CF5041" w:rsidRDefault="00C20154" w:rsidP="00D93948">
            <w:pPr>
              <w:widowControl/>
              <w:spacing w:before="120" w:after="120"/>
              <w:jc w:val="center"/>
              <w:rPr>
                <w:b/>
                <w:bCs/>
                <w:color w:val="auto"/>
                <w:lang w:val="en-US" w:eastAsia="en-US"/>
              </w:rPr>
            </w:pPr>
            <w:r w:rsidRPr="00CF5041">
              <w:rPr>
                <w:b/>
                <w:bCs/>
                <w:color w:val="auto"/>
                <w:lang w:val="en-US" w:eastAsia="en-US"/>
              </w:rPr>
              <w:t>A</w:t>
            </w:r>
          </w:p>
        </w:tc>
        <w:tc>
          <w:tcPr>
            <w:tcW w:w="1889" w:type="pct"/>
            <w:vAlign w:val="center"/>
          </w:tcPr>
          <w:p w14:paraId="73DA69D7" w14:textId="6040237C" w:rsidR="00C20154" w:rsidRPr="00CF5041" w:rsidRDefault="00C20154" w:rsidP="00D93948">
            <w:pPr>
              <w:widowControl/>
              <w:spacing w:before="120" w:after="120"/>
              <w:jc w:val="center"/>
              <w:rPr>
                <w:b/>
                <w:bCs/>
                <w:color w:val="auto"/>
                <w:lang w:val="en-US" w:eastAsia="en-US"/>
              </w:rPr>
            </w:pPr>
            <w:r w:rsidRPr="00CF5041">
              <w:rPr>
                <w:b/>
                <w:bCs/>
                <w:color w:val="auto"/>
                <w:lang w:val="en-US" w:eastAsia="en-US"/>
              </w:rPr>
              <w:t>VỐN CẤP 1 (A) = (A1) – (</w:t>
            </w:r>
            <w:r w:rsidR="009B26AB" w:rsidRPr="00CF5041">
              <w:rPr>
                <w:b/>
                <w:bCs/>
                <w:color w:val="auto"/>
                <w:lang w:val="en-US" w:eastAsia="en-US"/>
              </w:rPr>
              <w:t>A2)</w:t>
            </w:r>
          </w:p>
        </w:tc>
        <w:tc>
          <w:tcPr>
            <w:tcW w:w="2734" w:type="pct"/>
            <w:vAlign w:val="center"/>
          </w:tcPr>
          <w:p w14:paraId="1D1B49E7" w14:textId="77777777" w:rsidR="00C20154" w:rsidRPr="00CF5041" w:rsidRDefault="00C20154" w:rsidP="00D93948">
            <w:pPr>
              <w:widowControl/>
              <w:spacing w:before="120" w:after="120"/>
              <w:jc w:val="center"/>
              <w:rPr>
                <w:b/>
                <w:bCs/>
                <w:color w:val="auto"/>
                <w:lang w:eastAsia="en-US"/>
              </w:rPr>
            </w:pPr>
          </w:p>
        </w:tc>
      </w:tr>
      <w:tr w:rsidR="00C20154" w:rsidRPr="00CF5041" w14:paraId="6DB0FDA4" w14:textId="77777777" w:rsidTr="009B26AB">
        <w:tc>
          <w:tcPr>
            <w:tcW w:w="377" w:type="pct"/>
            <w:vAlign w:val="center"/>
          </w:tcPr>
          <w:p w14:paraId="1FDEC2C1" w14:textId="7CA0FD24" w:rsidR="00C20154" w:rsidRPr="00CF5041" w:rsidRDefault="00C20154" w:rsidP="00D93948">
            <w:pPr>
              <w:widowControl/>
              <w:spacing w:before="120" w:after="120"/>
              <w:jc w:val="center"/>
              <w:rPr>
                <w:b/>
                <w:bCs/>
                <w:color w:val="auto"/>
                <w:lang w:val="en-US" w:eastAsia="en-US"/>
              </w:rPr>
            </w:pPr>
            <w:r w:rsidRPr="00CF5041">
              <w:rPr>
                <w:b/>
                <w:bCs/>
                <w:color w:val="auto"/>
                <w:lang w:val="en-US" w:eastAsia="en-US"/>
              </w:rPr>
              <w:t>A1</w:t>
            </w:r>
          </w:p>
        </w:tc>
        <w:tc>
          <w:tcPr>
            <w:tcW w:w="1889" w:type="pct"/>
            <w:vAlign w:val="center"/>
          </w:tcPr>
          <w:p w14:paraId="3FE22727" w14:textId="77593DB9" w:rsidR="00C20154" w:rsidRPr="00CF5041" w:rsidRDefault="00C20154" w:rsidP="00C20154">
            <w:pPr>
              <w:widowControl/>
              <w:spacing w:before="120" w:after="120"/>
              <w:jc w:val="center"/>
              <w:rPr>
                <w:b/>
                <w:bCs/>
                <w:color w:val="auto"/>
                <w:lang w:val="en-US" w:eastAsia="en-US"/>
              </w:rPr>
            </w:pPr>
            <w:r w:rsidRPr="00CF5041">
              <w:rPr>
                <w:b/>
                <w:bCs/>
                <w:color w:val="auto"/>
                <w:lang w:val="en-US" w:eastAsia="en-US"/>
              </w:rPr>
              <w:t xml:space="preserve">Vốn cấp 1 chưa giảm trừ (A1) = </w:t>
            </w:r>
            <m:oMath>
              <m:nary>
                <m:naryPr>
                  <m:chr m:val="∑"/>
                  <m:limLoc m:val="undOvr"/>
                  <m:subHide m:val="1"/>
                  <m:supHide m:val="1"/>
                  <m:ctrlPr>
                    <w:rPr>
                      <w:rFonts w:ascii="Cambria Math" w:hAnsi="Cambria Math"/>
                      <w:b/>
                      <w:bCs/>
                      <w:i/>
                      <w:color w:val="auto"/>
                      <w:lang w:val="en-US" w:eastAsia="en-US"/>
                    </w:rPr>
                  </m:ctrlPr>
                </m:naryPr>
                <m:sub/>
                <m:sup/>
                <m:e>
                  <m:r>
                    <m:rPr>
                      <m:sty m:val="bi"/>
                    </m:rPr>
                    <w:rPr>
                      <w:rFonts w:ascii="Cambria Math" w:hAnsi="Cambria Math"/>
                      <w:color w:val="auto"/>
                      <w:lang w:val="en-US" w:eastAsia="en-US"/>
                    </w:rPr>
                    <m:t xml:space="preserve">1 </m:t>
                  </m:r>
                  <m:r>
                    <m:rPr>
                      <m:sty m:val="bi"/>
                    </m:rPr>
                    <w:rPr>
                      <w:rFonts w:ascii="Cambria Math" w:hAnsi="Cambria Math" w:hint="eastAsia"/>
                      <w:color w:val="auto"/>
                      <w:lang w:val="en-US" w:eastAsia="en-US"/>
                    </w:rPr>
                    <m:t>÷</m:t>
                  </m:r>
                  <m:r>
                    <m:rPr>
                      <m:sty m:val="bi"/>
                    </m:rPr>
                    <w:rPr>
                      <w:rFonts w:ascii="Cambria Math" w:hAnsi="Cambria Math"/>
                      <w:color w:val="auto"/>
                      <w:lang w:val="en-US" w:eastAsia="en-US"/>
                    </w:rPr>
                    <m:t>7</m:t>
                  </m:r>
                </m:e>
              </m:nary>
            </m:oMath>
          </w:p>
        </w:tc>
        <w:tc>
          <w:tcPr>
            <w:tcW w:w="2734" w:type="pct"/>
            <w:vAlign w:val="center"/>
          </w:tcPr>
          <w:p w14:paraId="6204D01E" w14:textId="77777777" w:rsidR="00C20154" w:rsidRPr="00CF5041" w:rsidRDefault="00C20154" w:rsidP="00D93948">
            <w:pPr>
              <w:widowControl/>
              <w:spacing w:before="120" w:after="120"/>
              <w:jc w:val="center"/>
              <w:rPr>
                <w:b/>
                <w:bCs/>
                <w:color w:val="auto"/>
                <w:lang w:eastAsia="en-US"/>
              </w:rPr>
            </w:pPr>
          </w:p>
        </w:tc>
      </w:tr>
      <w:tr w:rsidR="001672A5" w:rsidRPr="00CF5041" w14:paraId="1A0C3386" w14:textId="77777777" w:rsidTr="00E5754F">
        <w:tc>
          <w:tcPr>
            <w:tcW w:w="377" w:type="pct"/>
            <w:vAlign w:val="center"/>
            <w:hideMark/>
          </w:tcPr>
          <w:p w14:paraId="6961D76C" w14:textId="77777777" w:rsidR="00DD756F" w:rsidRPr="00CF5041" w:rsidRDefault="00DD756F" w:rsidP="00D93948">
            <w:pPr>
              <w:widowControl/>
              <w:spacing w:before="120" w:after="120"/>
              <w:jc w:val="center"/>
              <w:rPr>
                <w:color w:val="auto"/>
                <w:lang w:val="en-US" w:eastAsia="en-US"/>
              </w:rPr>
            </w:pPr>
            <w:r w:rsidRPr="00CF5041">
              <w:rPr>
                <w:color w:val="auto"/>
                <w:lang w:eastAsia="en-US"/>
              </w:rPr>
              <w:t>1</w:t>
            </w:r>
          </w:p>
        </w:tc>
        <w:tc>
          <w:tcPr>
            <w:tcW w:w="1889" w:type="pct"/>
            <w:vAlign w:val="center"/>
            <w:hideMark/>
          </w:tcPr>
          <w:p w14:paraId="69923980" w14:textId="77777777" w:rsidR="00DD756F" w:rsidRPr="00CF5041" w:rsidRDefault="00DD756F" w:rsidP="00D93948">
            <w:pPr>
              <w:widowControl/>
              <w:spacing w:before="120" w:after="120"/>
              <w:jc w:val="both"/>
              <w:rPr>
                <w:color w:val="auto"/>
                <w:lang w:val="en-US" w:eastAsia="en-US"/>
              </w:rPr>
            </w:pPr>
            <w:r w:rsidRPr="00CF5041">
              <w:rPr>
                <w:color w:val="auto"/>
                <w:lang w:eastAsia="en-US"/>
              </w:rPr>
              <w:t>Vốn điều lệ (vốn đã góp của thành viên)</w:t>
            </w:r>
          </w:p>
        </w:tc>
        <w:tc>
          <w:tcPr>
            <w:tcW w:w="2734" w:type="pct"/>
            <w:vAlign w:val="center"/>
            <w:hideMark/>
          </w:tcPr>
          <w:p w14:paraId="29B4D997" w14:textId="77777777" w:rsidR="00DD756F" w:rsidRPr="00CF5041" w:rsidRDefault="00DD756F" w:rsidP="00D93948">
            <w:pPr>
              <w:widowControl/>
              <w:spacing w:before="120" w:after="120"/>
              <w:jc w:val="both"/>
              <w:rPr>
                <w:color w:val="auto"/>
                <w:lang w:val="en-US" w:eastAsia="en-US"/>
              </w:rPr>
            </w:pPr>
            <w:r w:rsidRPr="00CF5041">
              <w:rPr>
                <w:color w:val="auto"/>
                <w:shd w:val="clear" w:color="auto" w:fill="FFFFFF"/>
                <w:lang w:eastAsia="en-US"/>
              </w:rPr>
              <w:t>Lấy số liệu Vốn điều lệ trong khoản mục Vốn của quỹ tín dụng nhân dân trên Bảng cân đối kế toán.</w:t>
            </w:r>
          </w:p>
        </w:tc>
      </w:tr>
      <w:tr w:rsidR="001672A5" w:rsidRPr="00CF5041" w14:paraId="1B75AA47" w14:textId="77777777" w:rsidTr="00E5754F">
        <w:tc>
          <w:tcPr>
            <w:tcW w:w="377" w:type="pct"/>
            <w:vAlign w:val="center"/>
            <w:hideMark/>
          </w:tcPr>
          <w:p w14:paraId="612161F6" w14:textId="77777777" w:rsidR="00DD756F" w:rsidRPr="00CF5041" w:rsidRDefault="00DD756F" w:rsidP="00D93948">
            <w:pPr>
              <w:widowControl/>
              <w:spacing w:before="120" w:after="120"/>
              <w:jc w:val="center"/>
              <w:rPr>
                <w:color w:val="auto"/>
                <w:lang w:val="en-US" w:eastAsia="en-US"/>
              </w:rPr>
            </w:pPr>
            <w:r w:rsidRPr="00CF5041">
              <w:rPr>
                <w:color w:val="auto"/>
                <w:lang w:eastAsia="en-US"/>
              </w:rPr>
              <w:t>2</w:t>
            </w:r>
          </w:p>
        </w:tc>
        <w:tc>
          <w:tcPr>
            <w:tcW w:w="1889" w:type="pct"/>
            <w:vAlign w:val="center"/>
            <w:hideMark/>
          </w:tcPr>
          <w:p w14:paraId="58B802BE" w14:textId="77777777" w:rsidR="00DD756F" w:rsidRPr="00CF5041" w:rsidRDefault="00DD756F" w:rsidP="00D93948">
            <w:pPr>
              <w:widowControl/>
              <w:spacing w:before="120" w:after="120"/>
              <w:jc w:val="both"/>
              <w:rPr>
                <w:color w:val="auto"/>
                <w:lang w:val="en-US" w:eastAsia="en-US"/>
              </w:rPr>
            </w:pPr>
            <w:r w:rsidRPr="00CF5041">
              <w:rPr>
                <w:color w:val="auto"/>
                <w:lang w:eastAsia="en-US"/>
              </w:rPr>
              <w:t>Vốn đầu tư xây dựng cơ bản, mua sắm tài sản cố định</w:t>
            </w:r>
          </w:p>
        </w:tc>
        <w:tc>
          <w:tcPr>
            <w:tcW w:w="2734" w:type="pct"/>
            <w:vAlign w:val="center"/>
            <w:hideMark/>
          </w:tcPr>
          <w:p w14:paraId="264E0DD7" w14:textId="77777777" w:rsidR="00DD756F" w:rsidRPr="00CF5041" w:rsidRDefault="00DD756F" w:rsidP="00D93948">
            <w:pPr>
              <w:widowControl/>
              <w:spacing w:before="120" w:after="120"/>
              <w:jc w:val="both"/>
              <w:rPr>
                <w:color w:val="auto"/>
                <w:lang w:val="en-US" w:eastAsia="en-US"/>
              </w:rPr>
            </w:pPr>
            <w:r w:rsidRPr="00CF5041">
              <w:rPr>
                <w:color w:val="auto"/>
                <w:shd w:val="clear" w:color="auto" w:fill="FFFFFF"/>
                <w:lang w:eastAsia="en-US"/>
              </w:rPr>
              <w:t>Lấy số liệu Vốn đầu tư xây dựng cơ bản, mua sắm tài sản cố định trong khoản mục Vốn của quỹ tín dụng nhân dân trên Bảng cân đối kế toán.</w:t>
            </w:r>
          </w:p>
        </w:tc>
      </w:tr>
      <w:tr w:rsidR="001672A5" w:rsidRPr="00CF5041" w14:paraId="2D778F63" w14:textId="77777777" w:rsidTr="00E5754F">
        <w:tc>
          <w:tcPr>
            <w:tcW w:w="377" w:type="pct"/>
            <w:vAlign w:val="center"/>
            <w:hideMark/>
          </w:tcPr>
          <w:p w14:paraId="0C122FFA" w14:textId="77777777" w:rsidR="00DD756F" w:rsidRPr="00CF5041" w:rsidRDefault="00DD756F" w:rsidP="00D93948">
            <w:pPr>
              <w:widowControl/>
              <w:spacing w:before="120" w:after="120"/>
              <w:jc w:val="center"/>
              <w:rPr>
                <w:color w:val="auto"/>
                <w:lang w:val="en-US" w:eastAsia="en-US"/>
              </w:rPr>
            </w:pPr>
            <w:r w:rsidRPr="00CF5041">
              <w:rPr>
                <w:color w:val="auto"/>
                <w:lang w:eastAsia="en-US"/>
              </w:rPr>
              <w:t>3</w:t>
            </w:r>
          </w:p>
        </w:tc>
        <w:tc>
          <w:tcPr>
            <w:tcW w:w="1889" w:type="pct"/>
            <w:vAlign w:val="center"/>
            <w:hideMark/>
          </w:tcPr>
          <w:p w14:paraId="30C7368E" w14:textId="77777777" w:rsidR="00DD756F" w:rsidRPr="00CF5041" w:rsidRDefault="00DD756F" w:rsidP="00D93948">
            <w:pPr>
              <w:widowControl/>
              <w:spacing w:before="120" w:after="120"/>
              <w:jc w:val="both"/>
              <w:rPr>
                <w:color w:val="auto"/>
                <w:lang w:val="en-US" w:eastAsia="en-US"/>
              </w:rPr>
            </w:pPr>
            <w:r w:rsidRPr="00CF5041">
              <w:rPr>
                <w:color w:val="auto"/>
                <w:lang w:eastAsia="en-US"/>
              </w:rPr>
              <w:t>Quỹ dự trữ bổ sung vốn điều lệ</w:t>
            </w:r>
          </w:p>
        </w:tc>
        <w:tc>
          <w:tcPr>
            <w:tcW w:w="2734" w:type="pct"/>
            <w:vAlign w:val="center"/>
            <w:hideMark/>
          </w:tcPr>
          <w:p w14:paraId="6584A9EB" w14:textId="77777777" w:rsidR="00DD756F" w:rsidRPr="00CF5041" w:rsidRDefault="00DD756F" w:rsidP="00D93948">
            <w:pPr>
              <w:widowControl/>
              <w:spacing w:before="120" w:after="120"/>
              <w:jc w:val="both"/>
              <w:rPr>
                <w:color w:val="auto"/>
                <w:lang w:val="en-US" w:eastAsia="en-US"/>
              </w:rPr>
            </w:pPr>
            <w:r w:rsidRPr="00CF5041">
              <w:rPr>
                <w:color w:val="auto"/>
                <w:shd w:val="clear" w:color="auto" w:fill="FFFFFF"/>
                <w:lang w:eastAsia="en-US"/>
              </w:rPr>
              <w:t>Lấy số liệu Quỹ dự trữ bổ sung vốn điều lệ trong khoản mục Quỹ của quỹ tín dụng nhân dân trên Bảng cân đối kế toán.</w:t>
            </w:r>
          </w:p>
        </w:tc>
      </w:tr>
      <w:tr w:rsidR="001672A5" w:rsidRPr="00CF5041" w14:paraId="744636C3" w14:textId="77777777" w:rsidTr="00E5754F">
        <w:tc>
          <w:tcPr>
            <w:tcW w:w="377" w:type="pct"/>
            <w:vAlign w:val="center"/>
            <w:hideMark/>
          </w:tcPr>
          <w:p w14:paraId="5EC49BD5" w14:textId="77777777" w:rsidR="00DD756F" w:rsidRPr="00CF5041" w:rsidRDefault="00DD756F" w:rsidP="00D93948">
            <w:pPr>
              <w:widowControl/>
              <w:spacing w:before="120" w:after="120"/>
              <w:jc w:val="center"/>
              <w:rPr>
                <w:color w:val="auto"/>
                <w:lang w:val="en-US" w:eastAsia="en-US"/>
              </w:rPr>
            </w:pPr>
            <w:r w:rsidRPr="00CF5041">
              <w:rPr>
                <w:color w:val="auto"/>
                <w:lang w:eastAsia="en-US"/>
              </w:rPr>
              <w:t>4</w:t>
            </w:r>
          </w:p>
        </w:tc>
        <w:tc>
          <w:tcPr>
            <w:tcW w:w="1889" w:type="pct"/>
            <w:vAlign w:val="center"/>
            <w:hideMark/>
          </w:tcPr>
          <w:p w14:paraId="379B3689" w14:textId="1D2690F9" w:rsidR="00DD756F" w:rsidRPr="00CF5041" w:rsidRDefault="00DD756F" w:rsidP="00A231DE">
            <w:pPr>
              <w:widowControl/>
              <w:spacing w:before="120" w:after="120"/>
              <w:jc w:val="both"/>
              <w:rPr>
                <w:color w:val="auto"/>
                <w:lang w:val="en-US" w:eastAsia="en-US"/>
              </w:rPr>
            </w:pPr>
            <w:r w:rsidRPr="00CF5041">
              <w:rPr>
                <w:color w:val="auto"/>
                <w:lang w:eastAsia="en-US"/>
              </w:rPr>
              <w:t>Quỹ đầu tư phát triển</w:t>
            </w:r>
          </w:p>
        </w:tc>
        <w:tc>
          <w:tcPr>
            <w:tcW w:w="2734" w:type="pct"/>
            <w:vAlign w:val="center"/>
            <w:hideMark/>
          </w:tcPr>
          <w:p w14:paraId="5887FEC8" w14:textId="77777777" w:rsidR="00DD756F" w:rsidRPr="00CF5041" w:rsidRDefault="00DD756F" w:rsidP="00D93948">
            <w:pPr>
              <w:widowControl/>
              <w:spacing w:before="120" w:after="120"/>
              <w:jc w:val="both"/>
              <w:rPr>
                <w:color w:val="auto"/>
                <w:lang w:val="en-US" w:eastAsia="en-US"/>
              </w:rPr>
            </w:pPr>
            <w:r w:rsidRPr="00CF5041">
              <w:rPr>
                <w:color w:val="auto"/>
                <w:shd w:val="clear" w:color="auto" w:fill="FFFFFF"/>
                <w:lang w:eastAsia="en-US"/>
              </w:rPr>
              <w:t>Lấy số liệu Quỹ đầu tư phát triển trong khoản mục Quỹ của quỹ tín dụng nhân dân trên Bảng cân đối kế toán.</w:t>
            </w:r>
          </w:p>
        </w:tc>
      </w:tr>
      <w:tr w:rsidR="001672A5" w:rsidRPr="00CF5041" w14:paraId="4B2A1C3D" w14:textId="77777777" w:rsidTr="00F95720">
        <w:tc>
          <w:tcPr>
            <w:tcW w:w="377" w:type="pct"/>
            <w:hideMark/>
          </w:tcPr>
          <w:p w14:paraId="44AFDD90" w14:textId="77777777" w:rsidR="00DD756F" w:rsidRPr="00CF5041" w:rsidRDefault="00DD756F" w:rsidP="00D93948">
            <w:pPr>
              <w:widowControl/>
              <w:spacing w:before="120" w:after="120"/>
              <w:jc w:val="center"/>
              <w:rPr>
                <w:color w:val="auto"/>
                <w:lang w:val="en-US" w:eastAsia="en-US"/>
              </w:rPr>
            </w:pPr>
            <w:r w:rsidRPr="00CF5041">
              <w:rPr>
                <w:color w:val="auto"/>
                <w:lang w:eastAsia="en-US"/>
              </w:rPr>
              <w:t>5</w:t>
            </w:r>
          </w:p>
        </w:tc>
        <w:tc>
          <w:tcPr>
            <w:tcW w:w="1889" w:type="pct"/>
            <w:hideMark/>
          </w:tcPr>
          <w:p w14:paraId="29D3A791" w14:textId="77777777" w:rsidR="00DD756F" w:rsidRPr="00CF5041" w:rsidRDefault="00DD756F" w:rsidP="00D93948">
            <w:pPr>
              <w:widowControl/>
              <w:spacing w:before="120" w:after="120"/>
              <w:jc w:val="both"/>
              <w:rPr>
                <w:color w:val="auto"/>
                <w:lang w:val="en-US" w:eastAsia="en-US"/>
              </w:rPr>
            </w:pPr>
            <w:r w:rsidRPr="00CF5041">
              <w:rPr>
                <w:color w:val="auto"/>
                <w:lang w:eastAsia="en-US"/>
              </w:rPr>
              <w:t>Quỹ dự phòng tài chính</w:t>
            </w:r>
          </w:p>
        </w:tc>
        <w:tc>
          <w:tcPr>
            <w:tcW w:w="2734" w:type="pct"/>
            <w:hideMark/>
          </w:tcPr>
          <w:p w14:paraId="37D03FBE" w14:textId="77777777" w:rsidR="00DD756F" w:rsidRPr="00CF5041" w:rsidRDefault="00DD756F" w:rsidP="00D93948">
            <w:pPr>
              <w:widowControl/>
              <w:spacing w:before="120" w:after="120"/>
              <w:jc w:val="both"/>
              <w:rPr>
                <w:color w:val="auto"/>
                <w:lang w:val="en-US" w:eastAsia="en-US"/>
              </w:rPr>
            </w:pPr>
            <w:r w:rsidRPr="00CF5041">
              <w:rPr>
                <w:color w:val="auto"/>
                <w:shd w:val="clear" w:color="auto" w:fill="FFFFFF"/>
                <w:lang w:eastAsia="en-US"/>
              </w:rPr>
              <w:t>Lấy số liệu Quỹ dự phòng tài chính trong khoản mục Quỹ của quỹ tín dụng nhân dân trên Bảng cân đối kế toán.</w:t>
            </w:r>
          </w:p>
        </w:tc>
      </w:tr>
      <w:tr w:rsidR="001672A5" w:rsidRPr="00CF5041" w14:paraId="00B67AEE" w14:textId="77777777" w:rsidTr="00F95720">
        <w:tc>
          <w:tcPr>
            <w:tcW w:w="377" w:type="pct"/>
            <w:hideMark/>
          </w:tcPr>
          <w:p w14:paraId="298A1D30" w14:textId="77777777" w:rsidR="00DD756F" w:rsidRPr="00CF5041" w:rsidRDefault="00DD756F" w:rsidP="00D93948">
            <w:pPr>
              <w:widowControl/>
              <w:spacing w:before="120" w:after="120"/>
              <w:jc w:val="center"/>
              <w:rPr>
                <w:color w:val="auto"/>
                <w:lang w:val="en-US" w:eastAsia="en-US"/>
              </w:rPr>
            </w:pPr>
            <w:r w:rsidRPr="00CF5041">
              <w:rPr>
                <w:color w:val="auto"/>
                <w:lang w:eastAsia="en-US"/>
              </w:rPr>
              <w:t>6</w:t>
            </w:r>
          </w:p>
        </w:tc>
        <w:tc>
          <w:tcPr>
            <w:tcW w:w="1889" w:type="pct"/>
            <w:hideMark/>
          </w:tcPr>
          <w:p w14:paraId="328E89CA" w14:textId="77777777" w:rsidR="00DD756F" w:rsidRPr="00CF5041" w:rsidRDefault="00DD756F" w:rsidP="00D93948">
            <w:pPr>
              <w:widowControl/>
              <w:spacing w:before="120" w:after="120"/>
              <w:jc w:val="both"/>
              <w:rPr>
                <w:color w:val="auto"/>
                <w:lang w:val="en-US" w:eastAsia="en-US"/>
              </w:rPr>
            </w:pPr>
            <w:r w:rsidRPr="00CF5041">
              <w:rPr>
                <w:color w:val="auto"/>
                <w:lang w:eastAsia="en-US"/>
              </w:rPr>
              <w:t>Vốn của các tổ chức, cá nhân tài trợ không hoàn lại cho Quỹ tín dụng nhân dân</w:t>
            </w:r>
          </w:p>
        </w:tc>
        <w:tc>
          <w:tcPr>
            <w:tcW w:w="2734" w:type="pct"/>
            <w:hideMark/>
          </w:tcPr>
          <w:p w14:paraId="2148CB93" w14:textId="77777777" w:rsidR="00DD756F" w:rsidRPr="00CF5041" w:rsidRDefault="00DD756F" w:rsidP="00D93948">
            <w:pPr>
              <w:widowControl/>
              <w:spacing w:before="120" w:after="120"/>
              <w:jc w:val="both"/>
              <w:rPr>
                <w:color w:val="auto"/>
                <w:lang w:val="en-US" w:eastAsia="en-US"/>
              </w:rPr>
            </w:pPr>
            <w:r w:rsidRPr="00CF5041">
              <w:rPr>
                <w:color w:val="auto"/>
                <w:shd w:val="clear" w:color="auto" w:fill="FFFFFF"/>
                <w:lang w:eastAsia="en-US"/>
              </w:rPr>
              <w:t>Lấy số liệu Vốn khác trong khoản mục Quỹ của quỹ tín dụng nhân dân trên Bảng cân đối kế toán.</w:t>
            </w:r>
          </w:p>
        </w:tc>
      </w:tr>
      <w:tr w:rsidR="001672A5" w:rsidRPr="00CF5041" w14:paraId="4380A996" w14:textId="77777777" w:rsidTr="00F95720">
        <w:tc>
          <w:tcPr>
            <w:tcW w:w="377" w:type="pct"/>
            <w:hideMark/>
          </w:tcPr>
          <w:p w14:paraId="7396BC99" w14:textId="77777777" w:rsidR="00DD756F" w:rsidRPr="00CF5041" w:rsidRDefault="00DD756F" w:rsidP="00D93948">
            <w:pPr>
              <w:widowControl/>
              <w:spacing w:before="120" w:after="120"/>
              <w:jc w:val="center"/>
              <w:rPr>
                <w:color w:val="auto"/>
                <w:lang w:val="en-US" w:eastAsia="en-US"/>
              </w:rPr>
            </w:pPr>
            <w:r w:rsidRPr="00CF5041">
              <w:rPr>
                <w:color w:val="auto"/>
                <w:lang w:eastAsia="en-US"/>
              </w:rPr>
              <w:t>7</w:t>
            </w:r>
          </w:p>
        </w:tc>
        <w:tc>
          <w:tcPr>
            <w:tcW w:w="1889" w:type="pct"/>
            <w:hideMark/>
          </w:tcPr>
          <w:p w14:paraId="78CE2600" w14:textId="6918280A" w:rsidR="00DD756F" w:rsidRPr="00CF5041" w:rsidRDefault="00DD756F" w:rsidP="006B677E">
            <w:pPr>
              <w:widowControl/>
              <w:spacing w:before="120" w:after="120"/>
              <w:jc w:val="both"/>
              <w:rPr>
                <w:color w:val="auto"/>
                <w:lang w:val="en-US" w:eastAsia="en-US"/>
              </w:rPr>
            </w:pPr>
            <w:r w:rsidRPr="00CF5041">
              <w:rPr>
                <w:color w:val="auto"/>
                <w:lang w:eastAsia="en-US"/>
              </w:rPr>
              <w:t>Lợi nhuận</w:t>
            </w:r>
            <w:r w:rsidR="005D4EA6" w:rsidRPr="00CF5041">
              <w:rPr>
                <w:color w:val="auto"/>
                <w:lang w:val="en-US" w:eastAsia="en-US"/>
              </w:rPr>
              <w:t xml:space="preserve"> lũy kế</w:t>
            </w:r>
            <w:r w:rsidRPr="00CF5041">
              <w:rPr>
                <w:color w:val="auto"/>
                <w:lang w:eastAsia="en-US"/>
              </w:rPr>
              <w:t xml:space="preserve"> </w:t>
            </w:r>
            <w:r w:rsidR="006B677E" w:rsidRPr="00CF5041">
              <w:rPr>
                <w:color w:val="auto"/>
                <w:lang w:val="en-US" w:eastAsia="en-US"/>
              </w:rPr>
              <w:t>chưa phân phối</w:t>
            </w:r>
          </w:p>
        </w:tc>
        <w:tc>
          <w:tcPr>
            <w:tcW w:w="2734" w:type="pct"/>
            <w:hideMark/>
          </w:tcPr>
          <w:p w14:paraId="1794D373" w14:textId="62AEB5D6" w:rsidR="00DD756F" w:rsidRPr="00CF5041" w:rsidRDefault="00FC15A7" w:rsidP="00D93948">
            <w:pPr>
              <w:widowControl/>
              <w:spacing w:before="120" w:after="120"/>
              <w:jc w:val="both"/>
              <w:rPr>
                <w:color w:val="auto"/>
                <w:lang w:val="en-US" w:eastAsia="en-US"/>
              </w:rPr>
            </w:pPr>
            <w:r w:rsidRPr="00CF5041">
              <w:rPr>
                <w:color w:val="auto"/>
                <w:shd w:val="clear" w:color="auto" w:fill="FFFFFF"/>
                <w:lang w:eastAsia="en-US"/>
              </w:rPr>
              <w:t>Lấy số liệu Lợi nhuận chưa phân phối trên Báo cáo tình hình tài chính được lập theo số liệu Bảng cân đối tài khoản kế toán tại thời điểm tính tỷ lệ an toàn vốn.</w:t>
            </w:r>
          </w:p>
        </w:tc>
      </w:tr>
      <w:tr w:rsidR="001672A5" w:rsidRPr="00CF5041" w14:paraId="277C2DF8" w14:textId="77777777" w:rsidTr="00103E67">
        <w:tc>
          <w:tcPr>
            <w:tcW w:w="377" w:type="pct"/>
            <w:hideMark/>
          </w:tcPr>
          <w:p w14:paraId="39F6ABEB" w14:textId="56735A0A" w:rsidR="00DD756F" w:rsidRPr="00CF5041" w:rsidRDefault="008D3045" w:rsidP="00D93948">
            <w:pPr>
              <w:widowControl/>
              <w:spacing w:before="120" w:after="120"/>
              <w:jc w:val="center"/>
              <w:rPr>
                <w:b/>
                <w:color w:val="auto"/>
                <w:lang w:val="en-US" w:eastAsia="en-US"/>
              </w:rPr>
            </w:pPr>
            <w:r w:rsidRPr="00CF5041">
              <w:rPr>
                <w:b/>
                <w:color w:val="auto"/>
                <w:lang w:val="en-US" w:eastAsia="en-US"/>
              </w:rPr>
              <w:t>A2</w:t>
            </w:r>
          </w:p>
        </w:tc>
        <w:tc>
          <w:tcPr>
            <w:tcW w:w="1889" w:type="pct"/>
            <w:vAlign w:val="center"/>
            <w:hideMark/>
          </w:tcPr>
          <w:p w14:paraId="472E3AB3" w14:textId="0D470E5C" w:rsidR="00B923E2" w:rsidRPr="00CF5041" w:rsidRDefault="008D3045" w:rsidP="00B54FA1">
            <w:pPr>
              <w:widowControl/>
              <w:spacing w:before="120" w:after="120"/>
              <w:jc w:val="both"/>
              <w:rPr>
                <w:b/>
                <w:color w:val="auto"/>
                <w:lang w:val="en-US" w:eastAsia="en-US"/>
              </w:rPr>
            </w:pPr>
            <w:r w:rsidRPr="00CF5041">
              <w:rPr>
                <w:b/>
                <w:color w:val="auto"/>
                <w:lang w:val="en-US" w:eastAsia="en-US"/>
              </w:rPr>
              <w:t xml:space="preserve">Các khoản phải trừ </w:t>
            </w:r>
            <w:r w:rsidR="00B54FA1" w:rsidRPr="00CF5041">
              <w:rPr>
                <w:b/>
                <w:color w:val="auto"/>
                <w:lang w:val="en-US" w:eastAsia="en-US"/>
              </w:rPr>
              <w:t>khỏi</w:t>
            </w:r>
            <w:r w:rsidRPr="00CF5041">
              <w:rPr>
                <w:b/>
                <w:color w:val="auto"/>
                <w:lang w:val="en-US" w:eastAsia="en-US"/>
              </w:rPr>
              <w:t xml:space="preserve"> Vốn cấp 1 (A2) </w:t>
            </w:r>
            <w:r w:rsidRPr="00CF5041">
              <w:rPr>
                <w:b/>
                <w:bCs/>
                <w:color w:val="auto"/>
                <w:lang w:val="en-US" w:eastAsia="en-US"/>
              </w:rPr>
              <w:t xml:space="preserve">= </w:t>
            </w:r>
            <m:oMath>
              <m:nary>
                <m:naryPr>
                  <m:chr m:val="∑"/>
                  <m:limLoc m:val="undOvr"/>
                  <m:subHide m:val="1"/>
                  <m:supHide m:val="1"/>
                  <m:ctrlPr>
                    <w:rPr>
                      <w:rFonts w:ascii="Cambria Math" w:hAnsi="Cambria Math"/>
                      <w:b/>
                      <w:bCs/>
                      <w:i/>
                      <w:color w:val="auto"/>
                      <w:lang w:val="en-US" w:eastAsia="en-US"/>
                    </w:rPr>
                  </m:ctrlPr>
                </m:naryPr>
                <m:sub/>
                <m:sup/>
                <m:e>
                  <m:r>
                    <m:rPr>
                      <m:sty m:val="bi"/>
                    </m:rPr>
                    <w:rPr>
                      <w:rFonts w:ascii="Cambria Math" w:hAnsi="Cambria Math"/>
                      <w:color w:val="auto"/>
                      <w:lang w:val="en-US" w:eastAsia="en-US"/>
                    </w:rPr>
                    <m:t xml:space="preserve">8 </m:t>
                  </m:r>
                  <m:r>
                    <m:rPr>
                      <m:sty m:val="bi"/>
                    </m:rPr>
                    <w:rPr>
                      <w:rFonts w:ascii="Cambria Math" w:hAnsi="Cambria Math" w:hint="eastAsia"/>
                      <w:color w:val="auto"/>
                      <w:lang w:val="en-US" w:eastAsia="en-US"/>
                    </w:rPr>
                    <m:t>÷</m:t>
                  </m:r>
                  <m:r>
                    <m:rPr>
                      <m:sty m:val="bi"/>
                    </m:rPr>
                    <w:rPr>
                      <w:rFonts w:ascii="Cambria Math" w:hAnsi="Cambria Math"/>
                      <w:color w:val="auto"/>
                      <w:lang w:val="en-US" w:eastAsia="en-US"/>
                    </w:rPr>
                    <m:t>9</m:t>
                  </m:r>
                </m:e>
              </m:nary>
            </m:oMath>
          </w:p>
        </w:tc>
        <w:tc>
          <w:tcPr>
            <w:tcW w:w="2734" w:type="pct"/>
            <w:vAlign w:val="center"/>
            <w:hideMark/>
          </w:tcPr>
          <w:p w14:paraId="538EC72F" w14:textId="66D0BBBB" w:rsidR="00DD756F" w:rsidRPr="00CF5041" w:rsidRDefault="00DD756F" w:rsidP="00D93948">
            <w:pPr>
              <w:widowControl/>
              <w:spacing w:before="120" w:after="120"/>
              <w:jc w:val="both"/>
              <w:rPr>
                <w:color w:val="auto"/>
                <w:lang w:val="en-US" w:eastAsia="en-US"/>
              </w:rPr>
            </w:pPr>
          </w:p>
        </w:tc>
      </w:tr>
      <w:tr w:rsidR="001672A5" w:rsidRPr="00CF5041" w14:paraId="09E8B326" w14:textId="77777777" w:rsidTr="00F95720">
        <w:tc>
          <w:tcPr>
            <w:tcW w:w="377" w:type="pct"/>
            <w:hideMark/>
          </w:tcPr>
          <w:p w14:paraId="61FC390A" w14:textId="659056C3" w:rsidR="00DD756F" w:rsidRPr="00CF5041" w:rsidRDefault="008D3045" w:rsidP="00D93948">
            <w:pPr>
              <w:widowControl/>
              <w:spacing w:before="120" w:after="120"/>
              <w:jc w:val="center"/>
              <w:rPr>
                <w:color w:val="auto"/>
                <w:lang w:val="en-US" w:eastAsia="en-US"/>
              </w:rPr>
            </w:pPr>
            <w:r w:rsidRPr="00CF5041">
              <w:rPr>
                <w:color w:val="auto"/>
                <w:lang w:eastAsia="en-US"/>
              </w:rPr>
              <w:t>8</w:t>
            </w:r>
          </w:p>
        </w:tc>
        <w:tc>
          <w:tcPr>
            <w:tcW w:w="1889" w:type="pct"/>
            <w:hideMark/>
          </w:tcPr>
          <w:p w14:paraId="24252C72" w14:textId="77777777" w:rsidR="00DD756F" w:rsidRPr="00CF5041" w:rsidRDefault="00DD756F" w:rsidP="00D93948">
            <w:pPr>
              <w:widowControl/>
              <w:spacing w:before="120" w:after="120"/>
              <w:jc w:val="both"/>
              <w:rPr>
                <w:color w:val="auto"/>
                <w:lang w:val="en-US" w:eastAsia="en-US"/>
              </w:rPr>
            </w:pPr>
            <w:r w:rsidRPr="00CF5041">
              <w:rPr>
                <w:color w:val="auto"/>
                <w:lang w:eastAsia="en-US"/>
              </w:rPr>
              <w:t>Lỗ lũy kế</w:t>
            </w:r>
          </w:p>
        </w:tc>
        <w:tc>
          <w:tcPr>
            <w:tcW w:w="2734" w:type="pct"/>
            <w:hideMark/>
          </w:tcPr>
          <w:p w14:paraId="4126D5E6" w14:textId="77777777" w:rsidR="00DD756F" w:rsidRPr="00CF5041" w:rsidRDefault="00DD756F" w:rsidP="00D93948">
            <w:pPr>
              <w:widowControl/>
              <w:spacing w:before="120" w:after="120"/>
              <w:jc w:val="both"/>
              <w:rPr>
                <w:color w:val="auto"/>
                <w:lang w:val="en-US" w:eastAsia="en-US"/>
              </w:rPr>
            </w:pPr>
            <w:r w:rsidRPr="00CF5041">
              <w:rPr>
                <w:color w:val="auto"/>
                <w:shd w:val="clear" w:color="auto" w:fill="FFFFFF"/>
                <w:lang w:eastAsia="en-US"/>
              </w:rPr>
              <w:t>Lấy số liệu Lỗ lũy kế tại thời điểm tính tỷ lệ an toàn vốn.</w:t>
            </w:r>
          </w:p>
        </w:tc>
      </w:tr>
      <w:tr w:rsidR="001672A5" w:rsidRPr="00CF5041" w14:paraId="107CFFD9" w14:textId="77777777" w:rsidTr="00F95720">
        <w:tc>
          <w:tcPr>
            <w:tcW w:w="377" w:type="pct"/>
            <w:hideMark/>
          </w:tcPr>
          <w:p w14:paraId="3F2D5D12" w14:textId="716ECD85" w:rsidR="00DD756F" w:rsidRPr="00CF5041" w:rsidRDefault="008D3045" w:rsidP="00D93948">
            <w:pPr>
              <w:widowControl/>
              <w:spacing w:before="120" w:after="120"/>
              <w:jc w:val="center"/>
              <w:rPr>
                <w:color w:val="auto"/>
                <w:lang w:val="en-US" w:eastAsia="en-US"/>
              </w:rPr>
            </w:pPr>
            <w:r w:rsidRPr="00CF5041">
              <w:rPr>
                <w:color w:val="auto"/>
                <w:lang w:eastAsia="en-US"/>
              </w:rPr>
              <w:lastRenderedPageBreak/>
              <w:t>9</w:t>
            </w:r>
          </w:p>
        </w:tc>
        <w:tc>
          <w:tcPr>
            <w:tcW w:w="1889" w:type="pct"/>
            <w:hideMark/>
          </w:tcPr>
          <w:p w14:paraId="4A585215" w14:textId="77777777" w:rsidR="00DD756F" w:rsidRPr="00CF5041" w:rsidRDefault="00DD756F" w:rsidP="00D93948">
            <w:pPr>
              <w:widowControl/>
              <w:spacing w:before="120" w:after="120"/>
              <w:jc w:val="both"/>
              <w:rPr>
                <w:color w:val="auto"/>
                <w:lang w:val="en-US" w:eastAsia="en-US"/>
              </w:rPr>
            </w:pPr>
            <w:r w:rsidRPr="00CF5041">
              <w:rPr>
                <w:color w:val="auto"/>
                <w:lang w:eastAsia="en-US"/>
              </w:rPr>
              <w:t>Vốn góp vào ngân hàng hợp tác xã</w:t>
            </w:r>
          </w:p>
        </w:tc>
        <w:tc>
          <w:tcPr>
            <w:tcW w:w="2734" w:type="pct"/>
            <w:hideMark/>
          </w:tcPr>
          <w:p w14:paraId="3951C19A" w14:textId="77777777" w:rsidR="00DD756F" w:rsidRPr="00CF5041" w:rsidRDefault="00DD756F" w:rsidP="00D93948">
            <w:pPr>
              <w:widowControl/>
              <w:spacing w:before="120" w:after="120"/>
              <w:jc w:val="both"/>
              <w:rPr>
                <w:color w:val="auto"/>
                <w:lang w:val="en-US" w:eastAsia="en-US"/>
              </w:rPr>
            </w:pPr>
            <w:r w:rsidRPr="00CF5041">
              <w:rPr>
                <w:color w:val="auto"/>
                <w:shd w:val="clear" w:color="auto" w:fill="FFFFFF"/>
                <w:lang w:eastAsia="en-US"/>
              </w:rPr>
              <w:t>Lấy số liệu Góp vốn vào ngân hàng hợp tác xã trong khoản mục Góp vốn, đầu tư dài hạn trên Bảng cân đối kế toán.</w:t>
            </w:r>
          </w:p>
        </w:tc>
      </w:tr>
      <w:tr w:rsidR="001C677B" w:rsidRPr="00CF5041" w14:paraId="33A627EC" w14:textId="77777777" w:rsidTr="00F95720">
        <w:tc>
          <w:tcPr>
            <w:tcW w:w="377" w:type="pct"/>
            <w:hideMark/>
          </w:tcPr>
          <w:p w14:paraId="266FE593" w14:textId="64B0C37D" w:rsidR="001C677B" w:rsidRPr="00CF5041" w:rsidRDefault="001C677B" w:rsidP="00815438">
            <w:pPr>
              <w:widowControl/>
              <w:spacing w:before="120" w:after="120"/>
              <w:jc w:val="center"/>
              <w:rPr>
                <w:b/>
                <w:color w:val="auto"/>
                <w:lang w:val="en-US" w:eastAsia="en-US"/>
              </w:rPr>
            </w:pPr>
            <w:r w:rsidRPr="00CF5041">
              <w:rPr>
                <w:b/>
                <w:color w:val="auto"/>
                <w:lang w:val="en-US" w:eastAsia="en-US"/>
              </w:rPr>
              <w:t>B</w:t>
            </w:r>
          </w:p>
        </w:tc>
        <w:tc>
          <w:tcPr>
            <w:tcW w:w="1889" w:type="pct"/>
            <w:hideMark/>
          </w:tcPr>
          <w:p w14:paraId="2DC705A8" w14:textId="0932D3A5" w:rsidR="001C677B" w:rsidRPr="00CF5041" w:rsidRDefault="001C677B" w:rsidP="001C677B">
            <w:pPr>
              <w:widowControl/>
              <w:spacing w:before="120" w:after="120"/>
              <w:jc w:val="both"/>
              <w:rPr>
                <w:b/>
                <w:color w:val="auto"/>
                <w:lang w:val="en-US" w:eastAsia="en-US"/>
              </w:rPr>
            </w:pPr>
            <w:r w:rsidRPr="00CF5041">
              <w:rPr>
                <w:b/>
                <w:bCs/>
                <w:color w:val="auto"/>
                <w:lang w:eastAsia="en-US"/>
              </w:rPr>
              <w:t>VỐN CẤP 2</w:t>
            </w:r>
            <w:r w:rsidR="00934D81" w:rsidRPr="00CF5041">
              <w:rPr>
                <w:b/>
                <w:bCs/>
                <w:color w:val="auto"/>
                <w:lang w:val="en-US" w:eastAsia="en-US"/>
              </w:rPr>
              <w:t xml:space="preserve"> (B) = 1</w:t>
            </w:r>
            <w:r w:rsidR="00B54FA1" w:rsidRPr="00CF5041">
              <w:rPr>
                <w:b/>
                <w:bCs/>
                <w:color w:val="auto"/>
                <w:lang w:val="en-US" w:eastAsia="en-US"/>
              </w:rPr>
              <w:t>0</w:t>
            </w:r>
          </w:p>
        </w:tc>
        <w:tc>
          <w:tcPr>
            <w:tcW w:w="2734" w:type="pct"/>
            <w:hideMark/>
          </w:tcPr>
          <w:p w14:paraId="4730BBEC" w14:textId="638DEA8A" w:rsidR="001C677B" w:rsidRPr="00CF5041" w:rsidRDefault="001C677B" w:rsidP="001C677B">
            <w:pPr>
              <w:widowControl/>
              <w:spacing w:before="120" w:after="120"/>
              <w:jc w:val="both"/>
              <w:rPr>
                <w:b/>
                <w:color w:val="auto"/>
                <w:lang w:val="en-US" w:eastAsia="en-US"/>
              </w:rPr>
            </w:pPr>
          </w:p>
        </w:tc>
      </w:tr>
      <w:tr w:rsidR="001672A5" w:rsidRPr="00CF5041" w14:paraId="7FAE167F" w14:textId="77777777" w:rsidTr="00F95720">
        <w:tc>
          <w:tcPr>
            <w:tcW w:w="377" w:type="pct"/>
            <w:hideMark/>
          </w:tcPr>
          <w:p w14:paraId="085664C0" w14:textId="397A2BD6" w:rsidR="00DD756F" w:rsidRPr="00CF5041" w:rsidRDefault="00DD756F" w:rsidP="00D93948">
            <w:pPr>
              <w:widowControl/>
              <w:spacing w:before="120" w:after="120"/>
              <w:jc w:val="center"/>
              <w:rPr>
                <w:color w:val="auto"/>
                <w:lang w:val="en-US" w:eastAsia="en-US"/>
              </w:rPr>
            </w:pPr>
            <w:r w:rsidRPr="00CF5041">
              <w:rPr>
                <w:color w:val="auto"/>
                <w:lang w:eastAsia="en-US"/>
              </w:rPr>
              <w:t>1</w:t>
            </w:r>
            <w:r w:rsidR="00B54FA1" w:rsidRPr="00CF5041">
              <w:rPr>
                <w:color w:val="auto"/>
                <w:lang w:eastAsia="en-US"/>
              </w:rPr>
              <w:t>0</w:t>
            </w:r>
          </w:p>
        </w:tc>
        <w:tc>
          <w:tcPr>
            <w:tcW w:w="1889" w:type="pct"/>
            <w:hideMark/>
          </w:tcPr>
          <w:p w14:paraId="7563CF52" w14:textId="77777777" w:rsidR="00DD756F" w:rsidRPr="00CF5041" w:rsidRDefault="00DD756F" w:rsidP="00D93948">
            <w:pPr>
              <w:widowControl/>
              <w:spacing w:before="120" w:after="120"/>
              <w:jc w:val="both"/>
              <w:rPr>
                <w:color w:val="auto"/>
                <w:lang w:val="en-US" w:eastAsia="en-US"/>
              </w:rPr>
            </w:pPr>
            <w:r w:rsidRPr="00CF5041">
              <w:rPr>
                <w:color w:val="auto"/>
                <w:lang w:eastAsia="en-US"/>
              </w:rPr>
              <w:t>Dự phòng chung</w:t>
            </w:r>
          </w:p>
        </w:tc>
        <w:tc>
          <w:tcPr>
            <w:tcW w:w="2734" w:type="pct"/>
            <w:hideMark/>
          </w:tcPr>
          <w:p w14:paraId="11157820" w14:textId="4A332B3B" w:rsidR="0068687C" w:rsidRPr="00CF5041" w:rsidRDefault="00DD756F" w:rsidP="003936D5">
            <w:pPr>
              <w:widowControl/>
              <w:spacing w:before="120" w:after="120"/>
              <w:jc w:val="both"/>
              <w:rPr>
                <w:color w:val="auto"/>
                <w:lang w:val="en-US" w:eastAsia="en-US"/>
              </w:rPr>
            </w:pPr>
            <w:r w:rsidRPr="00CF5041">
              <w:rPr>
                <w:color w:val="auto"/>
                <w:shd w:val="clear" w:color="auto" w:fill="FFFFFF"/>
                <w:lang w:eastAsia="en-US"/>
              </w:rPr>
              <w:t>Lấy số liệu Dự phòng chung trong khoản mục Dự phòng rủi ro trên Bảng cân đối kế toán, nhưng tối đa không quá 1,25%</w:t>
            </w:r>
            <w:r w:rsidR="00934D81" w:rsidRPr="00CF5041">
              <w:rPr>
                <w:color w:val="auto"/>
                <w:shd w:val="clear" w:color="auto" w:fill="FFFFFF"/>
                <w:lang w:val="en-US" w:eastAsia="en-US"/>
              </w:rPr>
              <w:t xml:space="preserve"> Tổng</w:t>
            </w:r>
            <w:r w:rsidRPr="00CF5041">
              <w:rPr>
                <w:color w:val="auto"/>
                <w:shd w:val="clear" w:color="auto" w:fill="FFFFFF"/>
                <w:lang w:eastAsia="en-US"/>
              </w:rPr>
              <w:t xml:space="preserve"> tài sản </w:t>
            </w:r>
            <w:r w:rsidR="00934D81" w:rsidRPr="00CF5041">
              <w:rPr>
                <w:color w:val="auto"/>
                <w:shd w:val="clear" w:color="auto" w:fill="FFFFFF"/>
                <w:lang w:val="en-US" w:eastAsia="en-US"/>
              </w:rPr>
              <w:t>“C</w:t>
            </w:r>
            <w:r w:rsidRPr="00CF5041">
              <w:rPr>
                <w:color w:val="auto"/>
                <w:shd w:val="clear" w:color="auto" w:fill="FFFFFF"/>
                <w:lang w:eastAsia="en-US"/>
              </w:rPr>
              <w:t>ó</w:t>
            </w:r>
            <w:r w:rsidR="00934D81" w:rsidRPr="00CF5041">
              <w:rPr>
                <w:color w:val="auto"/>
                <w:shd w:val="clear" w:color="auto" w:fill="FFFFFF"/>
                <w:lang w:val="en-US" w:eastAsia="en-US"/>
              </w:rPr>
              <w:t>”</w:t>
            </w:r>
            <w:r w:rsidRPr="00CF5041">
              <w:rPr>
                <w:color w:val="auto"/>
                <w:shd w:val="clear" w:color="auto" w:fill="FFFFFF"/>
                <w:lang w:eastAsia="en-US"/>
              </w:rPr>
              <w:t xml:space="preserve"> rủi ro</w:t>
            </w:r>
            <w:r w:rsidR="00934D81" w:rsidRPr="00CF5041">
              <w:rPr>
                <w:color w:val="auto"/>
                <w:shd w:val="clear" w:color="auto" w:fill="FFFFFF"/>
                <w:lang w:eastAsia="en-US"/>
              </w:rPr>
              <w:t xml:space="preserve"> quy định tại </w:t>
            </w:r>
            <w:r w:rsidR="00934D81" w:rsidRPr="00CF5041">
              <w:rPr>
                <w:color w:val="auto"/>
                <w:shd w:val="clear" w:color="auto" w:fill="FFFFFF"/>
                <w:lang w:val="en-US" w:eastAsia="en-US"/>
              </w:rPr>
              <w:t>Phụ lục II.</w:t>
            </w:r>
          </w:p>
        </w:tc>
      </w:tr>
      <w:tr w:rsidR="00815438" w:rsidRPr="00CF5041" w14:paraId="0EED2C1A" w14:textId="77777777" w:rsidTr="00F95720">
        <w:tc>
          <w:tcPr>
            <w:tcW w:w="377" w:type="pct"/>
          </w:tcPr>
          <w:p w14:paraId="08DCC671" w14:textId="5AA6D368" w:rsidR="00815438" w:rsidRPr="00CF5041" w:rsidRDefault="00815438" w:rsidP="00D93948">
            <w:pPr>
              <w:widowControl/>
              <w:spacing w:before="120" w:after="120"/>
              <w:jc w:val="center"/>
              <w:rPr>
                <w:b/>
                <w:color w:val="auto"/>
                <w:lang w:val="en-US" w:eastAsia="en-US"/>
              </w:rPr>
            </w:pPr>
          </w:p>
        </w:tc>
        <w:tc>
          <w:tcPr>
            <w:tcW w:w="1889" w:type="pct"/>
          </w:tcPr>
          <w:p w14:paraId="18B582AB" w14:textId="08FE06A6" w:rsidR="00815438" w:rsidRPr="00CF5041" w:rsidRDefault="00B54FA1" w:rsidP="00370E33">
            <w:pPr>
              <w:widowControl/>
              <w:spacing w:before="120" w:after="120"/>
              <w:jc w:val="both"/>
              <w:rPr>
                <w:b/>
                <w:color w:val="auto"/>
                <w:lang w:val="en-US" w:eastAsia="en-US"/>
              </w:rPr>
            </w:pPr>
            <w:r w:rsidRPr="00CF5041">
              <w:rPr>
                <w:b/>
                <w:color w:val="auto"/>
                <w:lang w:val="en-US" w:eastAsia="en-US"/>
              </w:rPr>
              <w:t>KHOẢN PHẢI TRỪ KHỎI VỐN TỰ CÓ = 1</w:t>
            </w:r>
            <w:r w:rsidR="00370E33" w:rsidRPr="00CF5041">
              <w:rPr>
                <w:b/>
                <w:color w:val="auto"/>
                <w:lang w:val="en-US" w:eastAsia="en-US"/>
              </w:rPr>
              <w:t>1</w:t>
            </w:r>
          </w:p>
        </w:tc>
        <w:tc>
          <w:tcPr>
            <w:tcW w:w="2734" w:type="pct"/>
          </w:tcPr>
          <w:p w14:paraId="066294A5" w14:textId="77777777" w:rsidR="00815438" w:rsidRPr="00CF5041" w:rsidRDefault="00815438" w:rsidP="00934D81">
            <w:pPr>
              <w:widowControl/>
              <w:spacing w:before="120" w:after="120"/>
              <w:jc w:val="both"/>
              <w:rPr>
                <w:color w:val="auto"/>
                <w:shd w:val="clear" w:color="auto" w:fill="FFFFFF"/>
                <w:lang w:eastAsia="en-US"/>
              </w:rPr>
            </w:pPr>
          </w:p>
        </w:tc>
      </w:tr>
      <w:tr w:rsidR="00A208FF" w:rsidRPr="00CF5041" w14:paraId="06B17FF0" w14:textId="77777777" w:rsidTr="00F95720">
        <w:tc>
          <w:tcPr>
            <w:tcW w:w="377" w:type="pct"/>
            <w:hideMark/>
          </w:tcPr>
          <w:p w14:paraId="6EE993E0" w14:textId="70FD8033" w:rsidR="00A208FF" w:rsidRPr="00CF5041" w:rsidRDefault="00B54FA1" w:rsidP="00370E33">
            <w:pPr>
              <w:widowControl/>
              <w:spacing w:before="120" w:after="120"/>
              <w:jc w:val="center"/>
              <w:rPr>
                <w:color w:val="auto"/>
                <w:lang w:val="en-US" w:eastAsia="en-US"/>
              </w:rPr>
            </w:pPr>
            <w:r w:rsidRPr="00CF5041">
              <w:rPr>
                <w:color w:val="auto"/>
                <w:lang w:val="en-US" w:eastAsia="en-US"/>
              </w:rPr>
              <w:t>1</w:t>
            </w:r>
            <w:r w:rsidR="00370E33" w:rsidRPr="00CF5041">
              <w:rPr>
                <w:color w:val="auto"/>
                <w:lang w:val="en-US" w:eastAsia="en-US"/>
              </w:rPr>
              <w:t>1</w:t>
            </w:r>
          </w:p>
        </w:tc>
        <w:tc>
          <w:tcPr>
            <w:tcW w:w="1889" w:type="pct"/>
            <w:hideMark/>
          </w:tcPr>
          <w:p w14:paraId="11DAE09A" w14:textId="77777777" w:rsidR="00A208FF" w:rsidRPr="00CF5041" w:rsidRDefault="00A208FF" w:rsidP="00D93948">
            <w:pPr>
              <w:widowControl/>
              <w:spacing w:before="120" w:after="120"/>
              <w:jc w:val="both"/>
              <w:rPr>
                <w:color w:val="auto"/>
                <w:lang w:val="en-US" w:eastAsia="en-US"/>
              </w:rPr>
            </w:pPr>
            <w:r w:rsidRPr="00CF5041">
              <w:rPr>
                <w:color w:val="auto"/>
                <w:shd w:val="clear" w:color="auto" w:fill="FFFFFF"/>
                <w:lang w:eastAsia="en-US"/>
              </w:rPr>
              <w:t>100% phần chênh lệch giảm do đánh giá lại tài sản cố định theo quy định của pháp luật</w:t>
            </w:r>
          </w:p>
        </w:tc>
        <w:tc>
          <w:tcPr>
            <w:tcW w:w="2734" w:type="pct"/>
            <w:hideMark/>
          </w:tcPr>
          <w:p w14:paraId="14E740E6" w14:textId="77777777" w:rsidR="00A208FF" w:rsidRPr="00CF5041" w:rsidRDefault="00A208FF" w:rsidP="00D93948">
            <w:pPr>
              <w:widowControl/>
              <w:spacing w:before="120" w:after="120"/>
              <w:jc w:val="both"/>
              <w:rPr>
                <w:color w:val="auto"/>
                <w:lang w:val="en-US" w:eastAsia="en-US"/>
              </w:rPr>
            </w:pPr>
            <w:r w:rsidRPr="00CF5041">
              <w:rPr>
                <w:color w:val="auto"/>
                <w:shd w:val="clear" w:color="auto" w:fill="FFFFFF"/>
                <w:lang w:eastAsia="en-US"/>
              </w:rPr>
              <w:t>100% tổng số dư nợ của tài khoản chênh lệch đánh giá lại tài sản cố định.</w:t>
            </w:r>
          </w:p>
        </w:tc>
      </w:tr>
      <w:tr w:rsidR="00A208FF" w:rsidRPr="00CF5041" w14:paraId="5787A02E" w14:textId="77777777" w:rsidTr="00F95720">
        <w:tc>
          <w:tcPr>
            <w:tcW w:w="377" w:type="pct"/>
            <w:hideMark/>
          </w:tcPr>
          <w:p w14:paraId="6285DF7F" w14:textId="426B0014" w:rsidR="00A208FF" w:rsidRPr="00CF5041" w:rsidRDefault="00080EC5" w:rsidP="00D957F3">
            <w:pPr>
              <w:widowControl/>
              <w:spacing w:before="120" w:after="120"/>
              <w:jc w:val="center"/>
              <w:rPr>
                <w:b/>
                <w:color w:val="auto"/>
                <w:lang w:val="en-US" w:eastAsia="en-US"/>
              </w:rPr>
            </w:pPr>
            <w:r w:rsidRPr="00CF5041">
              <w:rPr>
                <w:b/>
                <w:color w:val="auto"/>
                <w:lang w:val="en-US" w:eastAsia="en-US"/>
              </w:rPr>
              <w:t>C</w:t>
            </w:r>
          </w:p>
        </w:tc>
        <w:tc>
          <w:tcPr>
            <w:tcW w:w="1889" w:type="pct"/>
            <w:hideMark/>
          </w:tcPr>
          <w:p w14:paraId="44DBE5A6" w14:textId="40177CE9" w:rsidR="00A208FF" w:rsidRPr="00CF5041" w:rsidRDefault="00A208FF" w:rsidP="007C53E3">
            <w:pPr>
              <w:widowControl/>
              <w:spacing w:before="120" w:after="120"/>
              <w:jc w:val="both"/>
              <w:rPr>
                <w:b/>
                <w:color w:val="auto"/>
                <w:lang w:val="en-US" w:eastAsia="en-US"/>
              </w:rPr>
            </w:pPr>
            <w:r w:rsidRPr="00CF5041">
              <w:rPr>
                <w:b/>
                <w:bCs/>
                <w:color w:val="auto"/>
                <w:shd w:val="clear" w:color="auto" w:fill="FFFFFF"/>
                <w:lang w:eastAsia="en-US"/>
              </w:rPr>
              <w:t>V</w:t>
            </w:r>
            <w:r w:rsidR="007C5A55" w:rsidRPr="00CF5041">
              <w:rPr>
                <w:b/>
                <w:bCs/>
                <w:color w:val="auto"/>
                <w:shd w:val="clear" w:color="auto" w:fill="FFFFFF"/>
                <w:lang w:val="en-US" w:eastAsia="en-US"/>
              </w:rPr>
              <w:t xml:space="preserve">ỐN TỰ CÓ (C) = A + B – </w:t>
            </w:r>
            <w:r w:rsidR="007C53E3" w:rsidRPr="00CF5041">
              <w:rPr>
                <w:b/>
                <w:bCs/>
                <w:color w:val="auto"/>
                <w:shd w:val="clear" w:color="auto" w:fill="FFFFFF"/>
                <w:lang w:val="en-US" w:eastAsia="en-US"/>
              </w:rPr>
              <w:t>11</w:t>
            </w:r>
            <w:r w:rsidR="007C5A55" w:rsidRPr="00CF5041">
              <w:rPr>
                <w:b/>
                <w:bCs/>
                <w:color w:val="auto"/>
                <w:shd w:val="clear" w:color="auto" w:fill="FFFFFF"/>
                <w:lang w:val="en-US" w:eastAsia="en-US"/>
              </w:rPr>
              <w:t xml:space="preserve"> </w:t>
            </w:r>
          </w:p>
        </w:tc>
        <w:tc>
          <w:tcPr>
            <w:tcW w:w="2734" w:type="pct"/>
            <w:hideMark/>
          </w:tcPr>
          <w:p w14:paraId="4305FB54" w14:textId="50818A7F" w:rsidR="00A208FF" w:rsidRPr="00CF5041" w:rsidRDefault="00A208FF" w:rsidP="00D93948">
            <w:pPr>
              <w:widowControl/>
              <w:spacing w:before="120" w:after="120"/>
              <w:jc w:val="both"/>
              <w:rPr>
                <w:b/>
                <w:color w:val="auto"/>
                <w:lang w:val="en-US" w:eastAsia="en-US"/>
              </w:rPr>
            </w:pPr>
          </w:p>
        </w:tc>
      </w:tr>
    </w:tbl>
    <w:p w14:paraId="029A31A5" w14:textId="77777777" w:rsidR="00DD756F" w:rsidRPr="00CF5041" w:rsidRDefault="00DD756F" w:rsidP="00DD756F">
      <w:pPr>
        <w:shd w:val="clear" w:color="auto" w:fill="FFFFFF"/>
        <w:spacing w:before="120"/>
        <w:jc w:val="center"/>
        <w:rPr>
          <w:rFonts w:ascii="Times New Roman" w:eastAsia="Times New Roman" w:hAnsi="Times New Roman" w:cs="Times New Roman"/>
          <w:iCs/>
          <w:color w:val="auto"/>
          <w:lang w:val="en-US"/>
        </w:rPr>
      </w:pPr>
    </w:p>
    <w:p w14:paraId="49204711" w14:textId="77777777" w:rsidR="00DD756F" w:rsidRPr="00CF5041" w:rsidRDefault="00DD756F" w:rsidP="00263B39">
      <w:pPr>
        <w:shd w:val="clear" w:color="auto" w:fill="FFFFFF"/>
        <w:spacing w:before="120" w:after="120" w:line="234" w:lineRule="atLeast"/>
        <w:jc w:val="center"/>
        <w:rPr>
          <w:rFonts w:ascii="Times New Roman" w:eastAsia="Times New Roman" w:hAnsi="Times New Roman" w:cs="Times New Roman"/>
          <w:color w:val="auto"/>
        </w:rPr>
      </w:pPr>
    </w:p>
    <w:p w14:paraId="571BA965" w14:textId="77777777" w:rsidR="00D55937" w:rsidRPr="00CF5041" w:rsidRDefault="00D55937" w:rsidP="00E57E6E">
      <w:pPr>
        <w:shd w:val="clear" w:color="auto" w:fill="FFFFFF"/>
        <w:spacing w:line="234" w:lineRule="atLeast"/>
        <w:jc w:val="right"/>
        <w:rPr>
          <w:rFonts w:ascii="Times New Roman" w:eastAsia="Times New Roman" w:hAnsi="Times New Roman" w:cs="Times New Roman"/>
          <w:b/>
          <w:bCs/>
          <w:color w:val="auto"/>
          <w:shd w:val="clear" w:color="auto" w:fill="FFFF96"/>
        </w:rPr>
      </w:pPr>
      <w:bookmarkStart w:id="13" w:name="loai_pl3"/>
    </w:p>
    <w:p w14:paraId="5B3E7E87" w14:textId="77777777" w:rsidR="00D55937" w:rsidRPr="00CF5041" w:rsidRDefault="00D55937" w:rsidP="00E57E6E">
      <w:pPr>
        <w:shd w:val="clear" w:color="auto" w:fill="FFFFFF"/>
        <w:spacing w:line="234" w:lineRule="atLeast"/>
        <w:jc w:val="right"/>
        <w:rPr>
          <w:rFonts w:ascii="Times New Roman" w:eastAsia="Times New Roman" w:hAnsi="Times New Roman" w:cs="Times New Roman"/>
          <w:b/>
          <w:bCs/>
          <w:color w:val="auto"/>
          <w:shd w:val="clear" w:color="auto" w:fill="FFFF96"/>
        </w:rPr>
      </w:pPr>
    </w:p>
    <w:p w14:paraId="0788DE08" w14:textId="77777777" w:rsidR="00105A8F" w:rsidRPr="00CF5041" w:rsidRDefault="00105A8F" w:rsidP="00E57E6E">
      <w:pPr>
        <w:shd w:val="clear" w:color="auto" w:fill="FFFFFF"/>
        <w:spacing w:line="234" w:lineRule="atLeast"/>
        <w:jc w:val="right"/>
        <w:rPr>
          <w:rFonts w:ascii="Times New Roman" w:eastAsia="Times New Roman" w:hAnsi="Times New Roman" w:cs="Times New Roman"/>
          <w:b/>
          <w:bCs/>
          <w:color w:val="auto"/>
          <w:shd w:val="clear" w:color="auto" w:fill="FFFF96"/>
        </w:rPr>
        <w:sectPr w:rsidR="00105A8F" w:rsidRPr="00CF5041" w:rsidSect="00105A8F">
          <w:headerReference w:type="default" r:id="rId9"/>
          <w:pgSz w:w="11906" w:h="16838" w:code="9"/>
          <w:pgMar w:top="1134" w:right="1134" w:bottom="1134" w:left="1701" w:header="720" w:footer="397" w:gutter="0"/>
          <w:pgNumType w:start="1"/>
          <w:cols w:space="720"/>
          <w:titlePg/>
          <w:docGrid w:linePitch="360"/>
        </w:sectPr>
      </w:pPr>
    </w:p>
    <w:p w14:paraId="28BA9C58" w14:textId="7EDD07CD" w:rsidR="00E57E6E" w:rsidRPr="00CF5041" w:rsidRDefault="00E57E6E" w:rsidP="00FA623D">
      <w:pPr>
        <w:pStyle w:val="Heading2"/>
        <w:spacing w:after="0" w:line="240" w:lineRule="auto"/>
        <w:rPr>
          <w:color w:val="auto"/>
          <w:lang w:val="en-US"/>
        </w:rPr>
      </w:pPr>
      <w:bookmarkStart w:id="14" w:name="loai_pl5"/>
      <w:bookmarkEnd w:id="13"/>
      <w:r w:rsidRPr="00CF5041">
        <w:rPr>
          <w:color w:val="auto"/>
        </w:rPr>
        <w:lastRenderedPageBreak/>
        <w:t xml:space="preserve">Phụ lục </w:t>
      </w:r>
      <w:bookmarkEnd w:id="14"/>
      <w:r w:rsidR="004926E9" w:rsidRPr="00CF5041">
        <w:rPr>
          <w:color w:val="auto"/>
          <w:lang w:val="en-US"/>
        </w:rPr>
        <w:t>II</w:t>
      </w:r>
    </w:p>
    <w:p w14:paraId="1A0CA1BB" w14:textId="1DCE9AA8" w:rsidR="00E57E6E" w:rsidRPr="00CF5041" w:rsidRDefault="006B680D" w:rsidP="00413874">
      <w:pPr>
        <w:pStyle w:val="Heading2"/>
        <w:spacing w:after="0" w:line="240" w:lineRule="auto"/>
        <w:rPr>
          <w:color w:val="auto"/>
          <w:lang w:val="en-US"/>
        </w:rPr>
      </w:pPr>
      <w:r w:rsidRPr="00CF5041">
        <w:rPr>
          <w:color w:val="auto"/>
          <w:lang w:val="en-US"/>
        </w:rPr>
        <w:t>PHÂN NHÓM VÀ CÁCH XÁC ĐỊNH TỔNG</w:t>
      </w:r>
      <w:r w:rsidR="003D2BBD" w:rsidRPr="00CF5041">
        <w:rPr>
          <w:color w:val="auto"/>
          <w:lang w:val="en-US"/>
        </w:rPr>
        <w:t xml:space="preserve"> TÀI SẢN “CÓ” RỦI</w:t>
      </w:r>
      <w:r w:rsidR="00407C48" w:rsidRPr="00CF5041">
        <w:rPr>
          <w:color w:val="auto"/>
          <w:lang w:val="en-US"/>
        </w:rPr>
        <w:t xml:space="preserve"> RO</w:t>
      </w:r>
    </w:p>
    <w:p w14:paraId="6669CC9F" w14:textId="77777777" w:rsidR="003D2BBD" w:rsidRPr="00CF5041" w:rsidRDefault="003D2BBD" w:rsidP="00E00454">
      <w:pPr>
        <w:shd w:val="clear" w:color="auto" w:fill="FFFFFF"/>
        <w:spacing w:before="60"/>
        <w:jc w:val="right"/>
        <w:rPr>
          <w:rFonts w:ascii="Times New Roman" w:eastAsia="Times New Roman" w:hAnsi="Times New Roman" w:cs="Times New Roman"/>
          <w:color w:val="auto"/>
          <w:lang w:val="en-US" w:eastAsia="en-US"/>
        </w:rPr>
      </w:pPr>
      <w:r w:rsidRPr="00CF5041">
        <w:rPr>
          <w:rFonts w:ascii="Times New Roman" w:eastAsia="Times New Roman" w:hAnsi="Times New Roman" w:cs="Times New Roman"/>
          <w:color w:val="auto"/>
          <w:lang w:eastAsia="en-US"/>
        </w:rPr>
        <w:t>Đơn vị tính: triệu đồng</w:t>
      </w:r>
    </w:p>
    <w:tbl>
      <w:tblPr>
        <w:tblStyle w:val="TableGrid"/>
        <w:tblW w:w="5000" w:type="pct"/>
        <w:tblLook w:val="04A0" w:firstRow="1" w:lastRow="0" w:firstColumn="1" w:lastColumn="0" w:noHBand="0" w:noVBand="1"/>
      </w:tblPr>
      <w:tblGrid>
        <w:gridCol w:w="722"/>
        <w:gridCol w:w="4660"/>
        <w:gridCol w:w="763"/>
        <w:gridCol w:w="887"/>
        <w:gridCol w:w="2029"/>
      </w:tblGrid>
      <w:tr w:rsidR="001672A5" w:rsidRPr="00CF5041" w14:paraId="0B1ABDE3" w14:textId="77777777" w:rsidTr="00D93948">
        <w:trPr>
          <w:trHeight w:val="612"/>
          <w:tblHeader/>
        </w:trPr>
        <w:tc>
          <w:tcPr>
            <w:tcW w:w="722" w:type="dxa"/>
            <w:hideMark/>
          </w:tcPr>
          <w:p w14:paraId="03DBEC99" w14:textId="77777777" w:rsidR="003D2BBD" w:rsidRPr="00CF5041" w:rsidRDefault="003D2BBD">
            <w:pPr>
              <w:widowControl/>
              <w:spacing w:before="120" w:after="120"/>
              <w:jc w:val="center"/>
              <w:rPr>
                <w:color w:val="auto"/>
                <w:lang w:val="en-US" w:eastAsia="en-US"/>
              </w:rPr>
            </w:pPr>
            <w:r w:rsidRPr="00CF5041">
              <w:rPr>
                <w:b/>
                <w:bCs/>
                <w:color w:val="auto"/>
                <w:lang w:eastAsia="en-US"/>
              </w:rPr>
              <w:t>Mục</w:t>
            </w:r>
          </w:p>
        </w:tc>
        <w:tc>
          <w:tcPr>
            <w:tcW w:w="4660" w:type="dxa"/>
            <w:hideMark/>
          </w:tcPr>
          <w:p w14:paraId="27104E39" w14:textId="6E4EBEA9" w:rsidR="003D2BBD" w:rsidRPr="00CF5041" w:rsidRDefault="006B680D">
            <w:pPr>
              <w:widowControl/>
              <w:spacing w:before="120" w:after="120"/>
              <w:jc w:val="center"/>
              <w:rPr>
                <w:color w:val="auto"/>
                <w:lang w:val="en-US" w:eastAsia="en-US"/>
              </w:rPr>
            </w:pPr>
            <w:r w:rsidRPr="00CF5041">
              <w:rPr>
                <w:b/>
                <w:bCs/>
                <w:color w:val="auto"/>
                <w:lang w:val="en-US" w:eastAsia="en-US"/>
              </w:rPr>
              <w:t>Phân nhóm</w:t>
            </w:r>
          </w:p>
        </w:tc>
        <w:tc>
          <w:tcPr>
            <w:tcW w:w="763" w:type="dxa"/>
            <w:hideMark/>
          </w:tcPr>
          <w:p w14:paraId="3795B3BA" w14:textId="77777777" w:rsidR="003D2BBD" w:rsidRPr="00CF5041" w:rsidRDefault="003D2BBD">
            <w:pPr>
              <w:widowControl/>
              <w:spacing w:before="120" w:after="120"/>
              <w:jc w:val="center"/>
              <w:rPr>
                <w:color w:val="auto"/>
                <w:lang w:val="en-US" w:eastAsia="en-US"/>
              </w:rPr>
            </w:pPr>
            <w:r w:rsidRPr="00CF5041">
              <w:rPr>
                <w:b/>
                <w:bCs/>
                <w:color w:val="auto"/>
                <w:lang w:eastAsia="en-US"/>
              </w:rPr>
              <w:t>Số tiền</w:t>
            </w:r>
          </w:p>
        </w:tc>
        <w:tc>
          <w:tcPr>
            <w:tcW w:w="887" w:type="dxa"/>
            <w:hideMark/>
          </w:tcPr>
          <w:p w14:paraId="051CCA4E" w14:textId="77777777" w:rsidR="003D2BBD" w:rsidRPr="00CF5041" w:rsidRDefault="003D2BBD">
            <w:pPr>
              <w:widowControl/>
              <w:spacing w:before="120" w:after="120"/>
              <w:jc w:val="center"/>
              <w:rPr>
                <w:color w:val="auto"/>
                <w:lang w:val="en-US" w:eastAsia="en-US"/>
              </w:rPr>
            </w:pPr>
            <w:r w:rsidRPr="00CF5041">
              <w:rPr>
                <w:b/>
                <w:bCs/>
                <w:color w:val="auto"/>
                <w:lang w:eastAsia="en-US"/>
              </w:rPr>
              <w:t>Hệ số rủi ro</w:t>
            </w:r>
          </w:p>
        </w:tc>
        <w:tc>
          <w:tcPr>
            <w:tcW w:w="2029" w:type="dxa"/>
            <w:hideMark/>
          </w:tcPr>
          <w:p w14:paraId="3C89BCBF" w14:textId="77777777" w:rsidR="003D2BBD" w:rsidRPr="00CF5041" w:rsidRDefault="003D2BBD">
            <w:pPr>
              <w:widowControl/>
              <w:spacing w:before="120" w:after="120"/>
              <w:jc w:val="center"/>
              <w:rPr>
                <w:color w:val="auto"/>
                <w:lang w:val="en-US" w:eastAsia="en-US"/>
              </w:rPr>
            </w:pPr>
            <w:r w:rsidRPr="00CF5041">
              <w:rPr>
                <w:b/>
                <w:bCs/>
                <w:color w:val="auto"/>
                <w:lang w:eastAsia="en-US"/>
              </w:rPr>
              <w:t>Giá trị tài sản "Có" rủi ro</w:t>
            </w:r>
          </w:p>
        </w:tc>
      </w:tr>
      <w:tr w:rsidR="001672A5" w:rsidRPr="00CF5041" w14:paraId="12E2BBA6" w14:textId="77777777" w:rsidTr="00445587">
        <w:trPr>
          <w:trHeight w:val="283"/>
        </w:trPr>
        <w:tc>
          <w:tcPr>
            <w:tcW w:w="722" w:type="dxa"/>
            <w:hideMark/>
          </w:tcPr>
          <w:p w14:paraId="1BF3606B" w14:textId="77777777" w:rsidR="003D2BBD" w:rsidRPr="00CF5041" w:rsidRDefault="003D2BBD" w:rsidP="00D93948">
            <w:pPr>
              <w:widowControl/>
              <w:spacing w:before="120" w:after="120"/>
              <w:rPr>
                <w:color w:val="auto"/>
                <w:lang w:val="en-US" w:eastAsia="en-US"/>
              </w:rPr>
            </w:pPr>
          </w:p>
        </w:tc>
        <w:tc>
          <w:tcPr>
            <w:tcW w:w="4660" w:type="dxa"/>
            <w:hideMark/>
          </w:tcPr>
          <w:p w14:paraId="62C6B020" w14:textId="77777777" w:rsidR="003D2BBD" w:rsidRPr="00CF5041" w:rsidRDefault="003D2BBD" w:rsidP="00D93948">
            <w:pPr>
              <w:widowControl/>
              <w:spacing w:before="120" w:after="120"/>
              <w:rPr>
                <w:color w:val="auto"/>
                <w:lang w:val="en-US" w:eastAsia="en-US"/>
              </w:rPr>
            </w:pPr>
          </w:p>
        </w:tc>
        <w:tc>
          <w:tcPr>
            <w:tcW w:w="763" w:type="dxa"/>
            <w:hideMark/>
          </w:tcPr>
          <w:p w14:paraId="7B5FB1DC" w14:textId="77777777" w:rsidR="003D2BBD" w:rsidRPr="00CF5041" w:rsidRDefault="003D2BBD" w:rsidP="00D93948">
            <w:pPr>
              <w:widowControl/>
              <w:spacing w:before="120" w:after="120"/>
              <w:jc w:val="center"/>
              <w:rPr>
                <w:color w:val="auto"/>
                <w:lang w:val="en-US" w:eastAsia="en-US"/>
              </w:rPr>
            </w:pPr>
            <w:r w:rsidRPr="00CF5041">
              <w:rPr>
                <w:color w:val="auto"/>
                <w:lang w:eastAsia="en-US"/>
              </w:rPr>
              <w:t>(1)</w:t>
            </w:r>
          </w:p>
        </w:tc>
        <w:tc>
          <w:tcPr>
            <w:tcW w:w="887" w:type="dxa"/>
            <w:hideMark/>
          </w:tcPr>
          <w:p w14:paraId="213736E4" w14:textId="77777777" w:rsidR="003D2BBD" w:rsidRPr="00CF5041" w:rsidRDefault="003D2BBD" w:rsidP="00D93948">
            <w:pPr>
              <w:widowControl/>
              <w:spacing w:before="120" w:after="120"/>
              <w:jc w:val="center"/>
              <w:rPr>
                <w:color w:val="auto"/>
                <w:lang w:val="en-US" w:eastAsia="en-US"/>
              </w:rPr>
            </w:pPr>
            <w:r w:rsidRPr="00CF5041">
              <w:rPr>
                <w:color w:val="auto"/>
                <w:lang w:eastAsia="en-US"/>
              </w:rPr>
              <w:t>(2)</w:t>
            </w:r>
          </w:p>
        </w:tc>
        <w:tc>
          <w:tcPr>
            <w:tcW w:w="2029" w:type="dxa"/>
            <w:hideMark/>
          </w:tcPr>
          <w:p w14:paraId="5E4186F1" w14:textId="77777777" w:rsidR="003D2BBD" w:rsidRPr="00CF5041" w:rsidRDefault="003D2BBD" w:rsidP="00D93948">
            <w:pPr>
              <w:widowControl/>
              <w:spacing w:before="120" w:after="120"/>
              <w:jc w:val="center"/>
              <w:rPr>
                <w:color w:val="auto"/>
                <w:lang w:val="en-US" w:eastAsia="en-US"/>
              </w:rPr>
            </w:pPr>
            <w:r w:rsidRPr="00CF5041">
              <w:rPr>
                <w:color w:val="auto"/>
                <w:lang w:eastAsia="en-US"/>
              </w:rPr>
              <w:t>(3)</w:t>
            </w:r>
          </w:p>
        </w:tc>
      </w:tr>
      <w:tr w:rsidR="001672A5" w:rsidRPr="00CF5041" w14:paraId="125D5CE3" w14:textId="77777777" w:rsidTr="00103E67">
        <w:tc>
          <w:tcPr>
            <w:tcW w:w="722" w:type="dxa"/>
            <w:hideMark/>
          </w:tcPr>
          <w:p w14:paraId="1F457898" w14:textId="77777777" w:rsidR="003D2BBD" w:rsidRPr="00CF5041" w:rsidRDefault="003D2BBD" w:rsidP="00D93948">
            <w:pPr>
              <w:widowControl/>
              <w:spacing w:before="120" w:after="120"/>
              <w:rPr>
                <w:color w:val="auto"/>
                <w:lang w:val="en-US" w:eastAsia="en-US"/>
              </w:rPr>
            </w:pPr>
          </w:p>
        </w:tc>
        <w:tc>
          <w:tcPr>
            <w:tcW w:w="4660" w:type="dxa"/>
            <w:vAlign w:val="center"/>
            <w:hideMark/>
          </w:tcPr>
          <w:p w14:paraId="473015EB" w14:textId="2CE398EA" w:rsidR="003D2BBD" w:rsidRPr="00CF5041" w:rsidRDefault="003D2BBD" w:rsidP="00D93948">
            <w:pPr>
              <w:widowControl/>
              <w:spacing w:before="120" w:after="120"/>
              <w:jc w:val="both"/>
              <w:rPr>
                <w:color w:val="auto"/>
                <w:lang w:val="en-US" w:eastAsia="en-US"/>
              </w:rPr>
            </w:pPr>
            <w:r w:rsidRPr="00CF5041">
              <w:rPr>
                <w:b/>
                <w:bCs/>
                <w:i/>
                <w:iCs/>
                <w:color w:val="auto"/>
                <w:lang w:eastAsia="en-US"/>
              </w:rPr>
              <w:t>Nhóm tài sản “Có” (TS</w:t>
            </w:r>
            <w:r w:rsidR="0028539C" w:rsidRPr="00CF5041">
              <w:rPr>
                <w:b/>
                <w:bCs/>
                <w:i/>
                <w:iCs/>
                <w:color w:val="auto"/>
                <w:lang w:val="en-US" w:eastAsia="en-US"/>
              </w:rPr>
              <w:t>C</w:t>
            </w:r>
            <w:r w:rsidRPr="00CF5041">
              <w:rPr>
                <w:b/>
                <w:bCs/>
                <w:i/>
                <w:iCs/>
                <w:color w:val="auto"/>
                <w:lang w:eastAsia="en-US"/>
              </w:rPr>
              <w:t>) có hệ số rủi ro 0%</w:t>
            </w:r>
          </w:p>
        </w:tc>
        <w:tc>
          <w:tcPr>
            <w:tcW w:w="763" w:type="dxa"/>
            <w:vAlign w:val="center"/>
            <w:hideMark/>
          </w:tcPr>
          <w:p w14:paraId="1AC5A2C7" w14:textId="77777777" w:rsidR="003D2BBD" w:rsidRPr="00CF5041" w:rsidRDefault="003D2BBD" w:rsidP="00D93948">
            <w:pPr>
              <w:widowControl/>
              <w:spacing w:before="120" w:after="120"/>
              <w:jc w:val="both"/>
              <w:rPr>
                <w:color w:val="auto"/>
                <w:lang w:val="en-US" w:eastAsia="en-US"/>
              </w:rPr>
            </w:pPr>
          </w:p>
        </w:tc>
        <w:tc>
          <w:tcPr>
            <w:tcW w:w="887" w:type="dxa"/>
            <w:vAlign w:val="center"/>
            <w:hideMark/>
          </w:tcPr>
          <w:p w14:paraId="2B026DEF" w14:textId="77777777" w:rsidR="003D2BBD" w:rsidRPr="00CF5041" w:rsidRDefault="003D2BBD" w:rsidP="00D93948">
            <w:pPr>
              <w:widowControl/>
              <w:spacing w:before="120" w:after="120"/>
              <w:jc w:val="both"/>
              <w:rPr>
                <w:color w:val="auto"/>
                <w:lang w:val="en-US" w:eastAsia="en-US"/>
              </w:rPr>
            </w:pPr>
          </w:p>
        </w:tc>
        <w:tc>
          <w:tcPr>
            <w:tcW w:w="2029" w:type="dxa"/>
            <w:vAlign w:val="center"/>
            <w:hideMark/>
          </w:tcPr>
          <w:p w14:paraId="12C5A924" w14:textId="77777777" w:rsidR="00B44B64" w:rsidRPr="00CF5041" w:rsidRDefault="003D2BBD" w:rsidP="00D93948">
            <w:pPr>
              <w:widowControl/>
              <w:spacing w:before="120" w:after="120"/>
              <w:jc w:val="both"/>
              <w:rPr>
                <w:b/>
                <w:bCs/>
                <w:color w:val="auto"/>
                <w:lang w:eastAsia="en-US"/>
              </w:rPr>
            </w:pPr>
            <w:r w:rsidRPr="00CF5041">
              <w:rPr>
                <w:b/>
                <w:bCs/>
                <w:color w:val="auto"/>
                <w:lang w:eastAsia="en-US"/>
              </w:rPr>
              <w:t>= (a) + (b) + (c)</w:t>
            </w:r>
          </w:p>
          <w:p w14:paraId="174021CC" w14:textId="52F78E0D" w:rsidR="003D2BBD" w:rsidRPr="00CF5041" w:rsidRDefault="003D2BBD" w:rsidP="00D93948">
            <w:pPr>
              <w:widowControl/>
              <w:spacing w:before="120" w:after="120"/>
              <w:jc w:val="both"/>
              <w:rPr>
                <w:color w:val="auto"/>
                <w:lang w:val="en-US" w:eastAsia="en-US"/>
              </w:rPr>
            </w:pPr>
            <w:r w:rsidRPr="00CF5041">
              <w:rPr>
                <w:b/>
                <w:bCs/>
                <w:color w:val="auto"/>
                <w:lang w:eastAsia="en-US"/>
              </w:rPr>
              <w:t>+ (d) + (đ)</w:t>
            </w:r>
            <w:r w:rsidR="004E63E1" w:rsidRPr="00CF5041">
              <w:rPr>
                <w:b/>
                <w:bCs/>
                <w:color w:val="auto"/>
                <w:lang w:val="en-US" w:eastAsia="en-US"/>
              </w:rPr>
              <w:t xml:space="preserve"> + (e)</w:t>
            </w:r>
          </w:p>
        </w:tc>
      </w:tr>
      <w:tr w:rsidR="001672A5" w:rsidRPr="00CF5041" w14:paraId="1E6F9EDA" w14:textId="77777777" w:rsidTr="00445587">
        <w:tc>
          <w:tcPr>
            <w:tcW w:w="722" w:type="dxa"/>
            <w:hideMark/>
          </w:tcPr>
          <w:p w14:paraId="22C138C6" w14:textId="77777777" w:rsidR="003D2BBD" w:rsidRPr="00CF5041" w:rsidRDefault="003D2BBD">
            <w:pPr>
              <w:widowControl/>
              <w:spacing w:before="120" w:after="120"/>
              <w:jc w:val="center"/>
              <w:rPr>
                <w:color w:val="auto"/>
                <w:lang w:val="en-US" w:eastAsia="en-US"/>
              </w:rPr>
            </w:pPr>
            <w:r w:rsidRPr="00CF5041">
              <w:rPr>
                <w:color w:val="auto"/>
                <w:lang w:eastAsia="en-US"/>
              </w:rPr>
              <w:t>a</w:t>
            </w:r>
          </w:p>
        </w:tc>
        <w:tc>
          <w:tcPr>
            <w:tcW w:w="4660" w:type="dxa"/>
            <w:hideMark/>
          </w:tcPr>
          <w:p w14:paraId="69ABC245" w14:textId="77777777" w:rsidR="003D2BBD" w:rsidRPr="00CF5041" w:rsidRDefault="003D2BBD" w:rsidP="00D93948">
            <w:pPr>
              <w:widowControl/>
              <w:spacing w:before="120" w:after="120"/>
              <w:jc w:val="both"/>
              <w:rPr>
                <w:color w:val="auto"/>
                <w:lang w:val="en-US" w:eastAsia="en-US"/>
              </w:rPr>
            </w:pPr>
            <w:r w:rsidRPr="00CF5041">
              <w:rPr>
                <w:color w:val="auto"/>
                <w:lang w:eastAsia="en-US"/>
              </w:rPr>
              <w:t>Tiền mặt</w:t>
            </w:r>
          </w:p>
        </w:tc>
        <w:tc>
          <w:tcPr>
            <w:tcW w:w="763" w:type="dxa"/>
            <w:hideMark/>
          </w:tcPr>
          <w:p w14:paraId="7D48AFB3" w14:textId="77777777" w:rsidR="003D2BBD" w:rsidRPr="00CF5041" w:rsidRDefault="003D2BBD" w:rsidP="00D93948">
            <w:pPr>
              <w:widowControl/>
              <w:spacing w:before="120" w:after="120"/>
              <w:jc w:val="both"/>
              <w:rPr>
                <w:color w:val="auto"/>
                <w:lang w:val="en-US" w:eastAsia="en-US"/>
              </w:rPr>
            </w:pPr>
          </w:p>
        </w:tc>
        <w:tc>
          <w:tcPr>
            <w:tcW w:w="887" w:type="dxa"/>
            <w:hideMark/>
          </w:tcPr>
          <w:p w14:paraId="68894FAD" w14:textId="77777777" w:rsidR="003D2BBD" w:rsidRPr="00CF5041" w:rsidRDefault="003D2BBD">
            <w:pPr>
              <w:widowControl/>
              <w:spacing w:before="120" w:after="120"/>
              <w:jc w:val="center"/>
              <w:rPr>
                <w:color w:val="auto"/>
                <w:lang w:val="en-US" w:eastAsia="en-US"/>
              </w:rPr>
            </w:pPr>
            <w:r w:rsidRPr="00CF5041">
              <w:rPr>
                <w:color w:val="auto"/>
                <w:lang w:eastAsia="en-US"/>
              </w:rPr>
              <w:t>0%</w:t>
            </w:r>
          </w:p>
        </w:tc>
        <w:tc>
          <w:tcPr>
            <w:tcW w:w="2029" w:type="dxa"/>
            <w:hideMark/>
          </w:tcPr>
          <w:p w14:paraId="76C27E2E" w14:textId="77777777" w:rsidR="003D2BBD" w:rsidRPr="00CF5041" w:rsidRDefault="003D2BBD" w:rsidP="00D93948">
            <w:pPr>
              <w:widowControl/>
              <w:spacing w:before="120" w:after="120"/>
              <w:jc w:val="both"/>
              <w:rPr>
                <w:color w:val="auto"/>
                <w:sz w:val="28"/>
                <w:szCs w:val="28"/>
                <w:lang w:val="en-US" w:eastAsia="en-US"/>
              </w:rPr>
            </w:pPr>
          </w:p>
        </w:tc>
      </w:tr>
      <w:tr w:rsidR="001672A5" w:rsidRPr="00CF5041" w14:paraId="4BEA860B" w14:textId="77777777" w:rsidTr="00445587">
        <w:tc>
          <w:tcPr>
            <w:tcW w:w="722" w:type="dxa"/>
            <w:hideMark/>
          </w:tcPr>
          <w:p w14:paraId="3B2DD9A7" w14:textId="77777777" w:rsidR="003D2BBD" w:rsidRPr="00CF5041" w:rsidRDefault="003D2BBD">
            <w:pPr>
              <w:widowControl/>
              <w:spacing w:before="120" w:after="120"/>
              <w:jc w:val="center"/>
              <w:rPr>
                <w:color w:val="auto"/>
                <w:lang w:val="en-US" w:eastAsia="en-US"/>
              </w:rPr>
            </w:pPr>
            <w:r w:rsidRPr="00CF5041">
              <w:rPr>
                <w:color w:val="auto"/>
                <w:lang w:eastAsia="en-US"/>
              </w:rPr>
              <w:t>b</w:t>
            </w:r>
          </w:p>
        </w:tc>
        <w:tc>
          <w:tcPr>
            <w:tcW w:w="4660" w:type="dxa"/>
            <w:hideMark/>
          </w:tcPr>
          <w:p w14:paraId="6903A7F1" w14:textId="775D9065" w:rsidR="003D2BBD" w:rsidRPr="00CF5041" w:rsidRDefault="003D2BBD" w:rsidP="00D93948">
            <w:pPr>
              <w:widowControl/>
              <w:spacing w:before="120" w:after="120"/>
              <w:jc w:val="both"/>
              <w:rPr>
                <w:color w:val="auto"/>
                <w:lang w:val="en-US" w:eastAsia="en-US"/>
              </w:rPr>
            </w:pPr>
            <w:r w:rsidRPr="00CF5041">
              <w:rPr>
                <w:color w:val="auto"/>
                <w:lang w:eastAsia="en-US"/>
              </w:rPr>
              <w:t>Tiền gửi tại Ngân hàng Nhà nước</w:t>
            </w:r>
            <w:r w:rsidR="00C8552D" w:rsidRPr="00CF5041">
              <w:rPr>
                <w:color w:val="auto"/>
                <w:lang w:val="en-US" w:eastAsia="en-US"/>
              </w:rPr>
              <w:t xml:space="preserve"> Việt Nam</w:t>
            </w:r>
          </w:p>
        </w:tc>
        <w:tc>
          <w:tcPr>
            <w:tcW w:w="763" w:type="dxa"/>
            <w:hideMark/>
          </w:tcPr>
          <w:p w14:paraId="4C4EC54E" w14:textId="77777777" w:rsidR="003D2BBD" w:rsidRPr="00CF5041" w:rsidRDefault="003D2BBD" w:rsidP="00D93948">
            <w:pPr>
              <w:widowControl/>
              <w:spacing w:before="120" w:after="120"/>
              <w:jc w:val="both"/>
              <w:rPr>
                <w:color w:val="auto"/>
                <w:lang w:val="en-US" w:eastAsia="en-US"/>
              </w:rPr>
            </w:pPr>
          </w:p>
        </w:tc>
        <w:tc>
          <w:tcPr>
            <w:tcW w:w="887" w:type="dxa"/>
            <w:hideMark/>
          </w:tcPr>
          <w:p w14:paraId="04F42BBD" w14:textId="77777777" w:rsidR="003D2BBD" w:rsidRPr="00CF5041" w:rsidRDefault="003D2BBD">
            <w:pPr>
              <w:widowControl/>
              <w:spacing w:before="120" w:after="120"/>
              <w:jc w:val="center"/>
              <w:rPr>
                <w:color w:val="auto"/>
                <w:lang w:val="en-US" w:eastAsia="en-US"/>
              </w:rPr>
            </w:pPr>
            <w:r w:rsidRPr="00CF5041">
              <w:rPr>
                <w:color w:val="auto"/>
                <w:lang w:eastAsia="en-US"/>
              </w:rPr>
              <w:t>0%</w:t>
            </w:r>
          </w:p>
        </w:tc>
        <w:tc>
          <w:tcPr>
            <w:tcW w:w="2029" w:type="dxa"/>
            <w:hideMark/>
          </w:tcPr>
          <w:p w14:paraId="263EA271" w14:textId="77777777" w:rsidR="003D2BBD" w:rsidRPr="00CF5041" w:rsidRDefault="003D2BBD" w:rsidP="00D93948">
            <w:pPr>
              <w:widowControl/>
              <w:spacing w:before="120" w:after="120"/>
              <w:jc w:val="both"/>
              <w:rPr>
                <w:color w:val="auto"/>
                <w:sz w:val="28"/>
                <w:szCs w:val="28"/>
                <w:lang w:val="en-US" w:eastAsia="en-US"/>
              </w:rPr>
            </w:pPr>
          </w:p>
        </w:tc>
      </w:tr>
      <w:tr w:rsidR="001672A5" w:rsidRPr="00CF5041" w14:paraId="7055350B" w14:textId="77777777" w:rsidTr="00445587">
        <w:tc>
          <w:tcPr>
            <w:tcW w:w="722" w:type="dxa"/>
            <w:hideMark/>
          </w:tcPr>
          <w:p w14:paraId="7F252849" w14:textId="77777777" w:rsidR="003D2BBD" w:rsidRPr="00CF5041" w:rsidRDefault="003D2BBD">
            <w:pPr>
              <w:widowControl/>
              <w:spacing w:before="120" w:after="120"/>
              <w:jc w:val="center"/>
              <w:rPr>
                <w:color w:val="auto"/>
                <w:lang w:val="en-US" w:eastAsia="en-US"/>
              </w:rPr>
            </w:pPr>
            <w:r w:rsidRPr="00CF5041">
              <w:rPr>
                <w:color w:val="auto"/>
                <w:lang w:eastAsia="en-US"/>
              </w:rPr>
              <w:t>c</w:t>
            </w:r>
          </w:p>
        </w:tc>
        <w:tc>
          <w:tcPr>
            <w:tcW w:w="4660" w:type="dxa"/>
            <w:hideMark/>
          </w:tcPr>
          <w:p w14:paraId="4F8785FC" w14:textId="77777777" w:rsidR="003D2BBD" w:rsidRPr="00CF5041" w:rsidRDefault="003D2BBD" w:rsidP="00D93948">
            <w:pPr>
              <w:widowControl/>
              <w:spacing w:before="120" w:after="120"/>
              <w:jc w:val="both"/>
              <w:rPr>
                <w:color w:val="auto"/>
                <w:lang w:val="en-US" w:eastAsia="en-US"/>
              </w:rPr>
            </w:pPr>
            <w:r w:rsidRPr="00CF5041">
              <w:rPr>
                <w:color w:val="auto"/>
                <w:lang w:eastAsia="en-US"/>
              </w:rPr>
              <w:t>Tiền gửi tại ngân hàng hợp tác xã</w:t>
            </w:r>
          </w:p>
        </w:tc>
        <w:tc>
          <w:tcPr>
            <w:tcW w:w="763" w:type="dxa"/>
            <w:hideMark/>
          </w:tcPr>
          <w:p w14:paraId="1D2BEBFE" w14:textId="77777777" w:rsidR="003D2BBD" w:rsidRPr="00CF5041" w:rsidRDefault="003D2BBD" w:rsidP="00D93948">
            <w:pPr>
              <w:widowControl/>
              <w:spacing w:before="120" w:after="120"/>
              <w:jc w:val="both"/>
              <w:rPr>
                <w:color w:val="auto"/>
                <w:lang w:val="en-US" w:eastAsia="en-US"/>
              </w:rPr>
            </w:pPr>
          </w:p>
        </w:tc>
        <w:tc>
          <w:tcPr>
            <w:tcW w:w="887" w:type="dxa"/>
            <w:hideMark/>
          </w:tcPr>
          <w:p w14:paraId="390921C7" w14:textId="77777777" w:rsidR="003D2BBD" w:rsidRPr="00CF5041" w:rsidRDefault="003D2BBD">
            <w:pPr>
              <w:widowControl/>
              <w:spacing w:before="120" w:after="120"/>
              <w:jc w:val="center"/>
              <w:rPr>
                <w:color w:val="auto"/>
                <w:lang w:val="en-US" w:eastAsia="en-US"/>
              </w:rPr>
            </w:pPr>
            <w:r w:rsidRPr="00CF5041">
              <w:rPr>
                <w:color w:val="auto"/>
                <w:lang w:eastAsia="en-US"/>
              </w:rPr>
              <w:t>0%</w:t>
            </w:r>
          </w:p>
        </w:tc>
        <w:tc>
          <w:tcPr>
            <w:tcW w:w="2029" w:type="dxa"/>
            <w:hideMark/>
          </w:tcPr>
          <w:p w14:paraId="2E61931B" w14:textId="77777777" w:rsidR="003D2BBD" w:rsidRPr="00CF5041" w:rsidRDefault="003D2BBD" w:rsidP="00D93948">
            <w:pPr>
              <w:widowControl/>
              <w:spacing w:before="120" w:after="120"/>
              <w:jc w:val="both"/>
              <w:rPr>
                <w:color w:val="auto"/>
                <w:sz w:val="28"/>
                <w:szCs w:val="28"/>
                <w:lang w:val="en-US" w:eastAsia="en-US"/>
              </w:rPr>
            </w:pPr>
          </w:p>
        </w:tc>
      </w:tr>
      <w:tr w:rsidR="001672A5" w:rsidRPr="00CF5041" w14:paraId="20C4CB2C" w14:textId="77777777" w:rsidTr="00445587">
        <w:tc>
          <w:tcPr>
            <w:tcW w:w="722" w:type="dxa"/>
            <w:hideMark/>
          </w:tcPr>
          <w:p w14:paraId="0FE0D6B8" w14:textId="77777777" w:rsidR="003D2BBD" w:rsidRPr="00CF5041" w:rsidRDefault="003D2BBD">
            <w:pPr>
              <w:widowControl/>
              <w:spacing w:before="120" w:after="120"/>
              <w:jc w:val="center"/>
              <w:rPr>
                <w:color w:val="auto"/>
                <w:lang w:val="en-US" w:eastAsia="en-US"/>
              </w:rPr>
            </w:pPr>
            <w:r w:rsidRPr="00CF5041">
              <w:rPr>
                <w:color w:val="auto"/>
                <w:lang w:eastAsia="en-US"/>
              </w:rPr>
              <w:t>d</w:t>
            </w:r>
          </w:p>
        </w:tc>
        <w:tc>
          <w:tcPr>
            <w:tcW w:w="4660" w:type="dxa"/>
            <w:hideMark/>
          </w:tcPr>
          <w:p w14:paraId="3F99FDBA" w14:textId="24261D78" w:rsidR="003D2BBD" w:rsidRPr="00CF5041" w:rsidRDefault="003D2BBD">
            <w:pPr>
              <w:widowControl/>
              <w:spacing w:before="120" w:after="120"/>
              <w:jc w:val="both"/>
              <w:rPr>
                <w:color w:val="auto"/>
                <w:lang w:val="en-US" w:eastAsia="en-US"/>
              </w:rPr>
            </w:pPr>
            <w:r w:rsidRPr="00CF5041">
              <w:rPr>
                <w:color w:val="auto"/>
                <w:lang w:eastAsia="en-US"/>
              </w:rPr>
              <w:t xml:space="preserve">Dư nợ cho vay </w:t>
            </w:r>
            <w:r w:rsidR="00D64BD0" w:rsidRPr="00CF5041">
              <w:rPr>
                <w:color w:val="auto"/>
                <w:lang w:val="en-US" w:eastAsia="en-US"/>
              </w:rPr>
              <w:t>được</w:t>
            </w:r>
            <w:r w:rsidR="00D64BD0" w:rsidRPr="00CF5041">
              <w:rPr>
                <w:color w:val="auto"/>
                <w:lang w:eastAsia="en-US"/>
              </w:rPr>
              <w:t xml:space="preserve"> </w:t>
            </w:r>
            <w:r w:rsidRPr="00CF5041">
              <w:rPr>
                <w:color w:val="auto"/>
                <w:lang w:eastAsia="en-US"/>
              </w:rPr>
              <w:t>bảo đảm toàn bộ bằng tiền, tiền gửi tại chính quỹ tín dụng nhân dân đó</w:t>
            </w:r>
          </w:p>
        </w:tc>
        <w:tc>
          <w:tcPr>
            <w:tcW w:w="763" w:type="dxa"/>
            <w:hideMark/>
          </w:tcPr>
          <w:p w14:paraId="11A79AD8" w14:textId="77777777" w:rsidR="003D2BBD" w:rsidRPr="00CF5041" w:rsidRDefault="003D2BBD" w:rsidP="00D93948">
            <w:pPr>
              <w:widowControl/>
              <w:spacing w:before="120" w:after="120"/>
              <w:jc w:val="both"/>
              <w:rPr>
                <w:color w:val="auto"/>
                <w:lang w:val="en-US" w:eastAsia="en-US"/>
              </w:rPr>
            </w:pPr>
          </w:p>
        </w:tc>
        <w:tc>
          <w:tcPr>
            <w:tcW w:w="887" w:type="dxa"/>
            <w:hideMark/>
          </w:tcPr>
          <w:p w14:paraId="65EC14E0" w14:textId="77777777" w:rsidR="003D2BBD" w:rsidRPr="00CF5041" w:rsidRDefault="003D2BBD">
            <w:pPr>
              <w:widowControl/>
              <w:spacing w:before="120" w:after="120"/>
              <w:jc w:val="center"/>
              <w:rPr>
                <w:color w:val="auto"/>
                <w:lang w:val="en-US" w:eastAsia="en-US"/>
              </w:rPr>
            </w:pPr>
            <w:r w:rsidRPr="00CF5041">
              <w:rPr>
                <w:color w:val="auto"/>
                <w:lang w:eastAsia="en-US"/>
              </w:rPr>
              <w:t>0%</w:t>
            </w:r>
          </w:p>
        </w:tc>
        <w:tc>
          <w:tcPr>
            <w:tcW w:w="2029" w:type="dxa"/>
            <w:hideMark/>
          </w:tcPr>
          <w:p w14:paraId="2CE9CF5C" w14:textId="77777777" w:rsidR="003D2BBD" w:rsidRPr="00CF5041" w:rsidRDefault="003D2BBD" w:rsidP="00D93948">
            <w:pPr>
              <w:widowControl/>
              <w:spacing w:before="120" w:after="120"/>
              <w:jc w:val="both"/>
              <w:rPr>
                <w:color w:val="auto"/>
                <w:sz w:val="28"/>
                <w:szCs w:val="28"/>
                <w:lang w:val="en-US" w:eastAsia="en-US"/>
              </w:rPr>
            </w:pPr>
          </w:p>
        </w:tc>
      </w:tr>
      <w:tr w:rsidR="001672A5" w:rsidRPr="00CF5041" w14:paraId="59F24E14" w14:textId="77777777" w:rsidTr="00182F73">
        <w:trPr>
          <w:trHeight w:val="806"/>
        </w:trPr>
        <w:tc>
          <w:tcPr>
            <w:tcW w:w="722" w:type="dxa"/>
            <w:hideMark/>
          </w:tcPr>
          <w:p w14:paraId="38B32D27" w14:textId="77777777" w:rsidR="003D2BBD" w:rsidRPr="00CF5041" w:rsidRDefault="003D2BBD">
            <w:pPr>
              <w:widowControl/>
              <w:spacing w:before="120" w:after="120"/>
              <w:jc w:val="center"/>
              <w:rPr>
                <w:color w:val="auto"/>
                <w:lang w:val="en-US" w:eastAsia="en-US"/>
              </w:rPr>
            </w:pPr>
            <w:r w:rsidRPr="00CF5041">
              <w:rPr>
                <w:color w:val="auto"/>
                <w:lang w:eastAsia="en-US"/>
              </w:rPr>
              <w:t>đ</w:t>
            </w:r>
          </w:p>
        </w:tc>
        <w:tc>
          <w:tcPr>
            <w:tcW w:w="4660" w:type="dxa"/>
            <w:hideMark/>
          </w:tcPr>
          <w:p w14:paraId="4CD806A9" w14:textId="467CFEDA" w:rsidR="003D2BBD" w:rsidRPr="00CF5041" w:rsidRDefault="003D2BBD" w:rsidP="00D93948">
            <w:pPr>
              <w:widowControl/>
              <w:spacing w:before="120" w:after="120"/>
              <w:jc w:val="both"/>
              <w:rPr>
                <w:color w:val="auto"/>
                <w:lang w:val="en-US" w:eastAsia="en-US"/>
              </w:rPr>
            </w:pPr>
            <w:r w:rsidRPr="00CF5041">
              <w:rPr>
                <w:color w:val="auto"/>
                <w:lang w:eastAsia="en-US"/>
              </w:rPr>
              <w:t>Dư nợ cho vay được bảo đảm toàn bộ bằng giấy tờ có giá do Chính phủ, Ngân hàng Nhà nước</w:t>
            </w:r>
            <w:r w:rsidR="007048E7" w:rsidRPr="00CF5041">
              <w:rPr>
                <w:color w:val="auto"/>
                <w:lang w:val="en-US" w:eastAsia="en-US"/>
              </w:rPr>
              <w:t xml:space="preserve"> Việt Nam</w:t>
            </w:r>
            <w:r w:rsidRPr="00CF5041">
              <w:rPr>
                <w:color w:val="auto"/>
                <w:lang w:eastAsia="en-US"/>
              </w:rPr>
              <w:t xml:space="preserve"> phát hành</w:t>
            </w:r>
          </w:p>
        </w:tc>
        <w:tc>
          <w:tcPr>
            <w:tcW w:w="763" w:type="dxa"/>
            <w:hideMark/>
          </w:tcPr>
          <w:p w14:paraId="168464E7" w14:textId="77777777" w:rsidR="003D2BBD" w:rsidRPr="00CF5041" w:rsidRDefault="003D2BBD" w:rsidP="00D93948">
            <w:pPr>
              <w:widowControl/>
              <w:spacing w:before="120" w:after="120"/>
              <w:jc w:val="both"/>
              <w:rPr>
                <w:color w:val="auto"/>
                <w:lang w:val="en-US" w:eastAsia="en-US"/>
              </w:rPr>
            </w:pPr>
          </w:p>
        </w:tc>
        <w:tc>
          <w:tcPr>
            <w:tcW w:w="887" w:type="dxa"/>
            <w:hideMark/>
          </w:tcPr>
          <w:p w14:paraId="701FADC8" w14:textId="77777777" w:rsidR="003D2BBD" w:rsidRPr="00CF5041" w:rsidRDefault="003D2BBD">
            <w:pPr>
              <w:widowControl/>
              <w:spacing w:before="120" w:after="120"/>
              <w:jc w:val="center"/>
              <w:rPr>
                <w:color w:val="auto"/>
                <w:lang w:val="en-US" w:eastAsia="en-US"/>
              </w:rPr>
            </w:pPr>
            <w:r w:rsidRPr="00CF5041">
              <w:rPr>
                <w:color w:val="auto"/>
                <w:lang w:eastAsia="en-US"/>
              </w:rPr>
              <w:t>0%</w:t>
            </w:r>
          </w:p>
        </w:tc>
        <w:tc>
          <w:tcPr>
            <w:tcW w:w="2029" w:type="dxa"/>
            <w:hideMark/>
          </w:tcPr>
          <w:p w14:paraId="0A5AD6E2" w14:textId="77777777" w:rsidR="003D2BBD" w:rsidRPr="00CF5041" w:rsidRDefault="003D2BBD" w:rsidP="00D93948">
            <w:pPr>
              <w:widowControl/>
              <w:spacing w:before="120" w:after="120"/>
              <w:jc w:val="both"/>
              <w:rPr>
                <w:color w:val="auto"/>
                <w:sz w:val="28"/>
                <w:szCs w:val="28"/>
                <w:lang w:val="en-US" w:eastAsia="en-US"/>
              </w:rPr>
            </w:pPr>
          </w:p>
        </w:tc>
      </w:tr>
      <w:tr w:rsidR="005C4B0B" w:rsidRPr="00CF5041" w14:paraId="7B7F6D76" w14:textId="77777777" w:rsidTr="00182F73">
        <w:trPr>
          <w:trHeight w:val="806"/>
        </w:trPr>
        <w:tc>
          <w:tcPr>
            <w:tcW w:w="722" w:type="dxa"/>
          </w:tcPr>
          <w:p w14:paraId="4E9A92BF" w14:textId="62974F7C" w:rsidR="005C4B0B" w:rsidRPr="00CF5041" w:rsidRDefault="005C4B0B">
            <w:pPr>
              <w:widowControl/>
              <w:spacing w:before="120" w:after="120"/>
              <w:jc w:val="center"/>
              <w:rPr>
                <w:color w:val="auto"/>
                <w:lang w:val="en-US" w:eastAsia="en-US"/>
              </w:rPr>
            </w:pPr>
            <w:r w:rsidRPr="00CF5041">
              <w:rPr>
                <w:color w:val="auto"/>
                <w:lang w:val="en-US" w:eastAsia="en-US"/>
              </w:rPr>
              <w:t>e</w:t>
            </w:r>
          </w:p>
        </w:tc>
        <w:tc>
          <w:tcPr>
            <w:tcW w:w="4660" w:type="dxa"/>
          </w:tcPr>
          <w:p w14:paraId="1AFC7CC9" w14:textId="55558BCE" w:rsidR="005C4B0B" w:rsidRPr="00CF5041" w:rsidRDefault="005C4B0B" w:rsidP="00D93948">
            <w:pPr>
              <w:widowControl/>
              <w:spacing w:before="120" w:after="120"/>
              <w:jc w:val="both"/>
              <w:rPr>
                <w:color w:val="auto"/>
                <w:lang w:eastAsia="en-US"/>
              </w:rPr>
            </w:pPr>
            <w:r w:rsidRPr="00CF5041">
              <w:rPr>
                <w:color w:val="auto"/>
                <w:lang w:val="en-US" w:eastAsia="en-US"/>
              </w:rPr>
              <w:t>Vốn góp vào ngân hàng hợp tác xã</w:t>
            </w:r>
          </w:p>
        </w:tc>
        <w:tc>
          <w:tcPr>
            <w:tcW w:w="763" w:type="dxa"/>
          </w:tcPr>
          <w:p w14:paraId="634BE4DD" w14:textId="77777777" w:rsidR="005C4B0B" w:rsidRPr="00CF5041" w:rsidRDefault="005C4B0B" w:rsidP="00D93948">
            <w:pPr>
              <w:widowControl/>
              <w:spacing w:before="120" w:after="120"/>
              <w:jc w:val="both"/>
              <w:rPr>
                <w:color w:val="auto"/>
                <w:lang w:val="en-US" w:eastAsia="en-US"/>
              </w:rPr>
            </w:pPr>
          </w:p>
        </w:tc>
        <w:tc>
          <w:tcPr>
            <w:tcW w:w="887" w:type="dxa"/>
          </w:tcPr>
          <w:p w14:paraId="7197D4D0" w14:textId="2A54871C" w:rsidR="005C4B0B" w:rsidRPr="00CF5041" w:rsidRDefault="005C4B0B">
            <w:pPr>
              <w:widowControl/>
              <w:spacing w:before="120" w:after="120"/>
              <w:jc w:val="center"/>
              <w:rPr>
                <w:color w:val="auto"/>
                <w:lang w:eastAsia="en-US"/>
              </w:rPr>
            </w:pPr>
            <w:r w:rsidRPr="00CF5041">
              <w:rPr>
                <w:color w:val="auto"/>
                <w:lang w:eastAsia="en-US"/>
              </w:rPr>
              <w:t>0%</w:t>
            </w:r>
          </w:p>
        </w:tc>
        <w:tc>
          <w:tcPr>
            <w:tcW w:w="2029" w:type="dxa"/>
          </w:tcPr>
          <w:p w14:paraId="68CC2A4B" w14:textId="77777777" w:rsidR="005C4B0B" w:rsidRPr="00CF5041" w:rsidRDefault="005C4B0B" w:rsidP="00D93948">
            <w:pPr>
              <w:widowControl/>
              <w:spacing w:before="120" w:after="120"/>
              <w:jc w:val="both"/>
              <w:rPr>
                <w:color w:val="auto"/>
                <w:sz w:val="28"/>
                <w:szCs w:val="28"/>
                <w:lang w:val="en-US" w:eastAsia="en-US"/>
              </w:rPr>
            </w:pPr>
          </w:p>
        </w:tc>
      </w:tr>
      <w:tr w:rsidR="001672A5" w:rsidRPr="00CF5041" w14:paraId="7F6A0A9B" w14:textId="77777777" w:rsidTr="00445587">
        <w:tc>
          <w:tcPr>
            <w:tcW w:w="722" w:type="dxa"/>
            <w:hideMark/>
          </w:tcPr>
          <w:p w14:paraId="3FAA3506" w14:textId="77777777" w:rsidR="003D2BBD" w:rsidRPr="00CF5041" w:rsidRDefault="003D2BBD" w:rsidP="00D93948">
            <w:pPr>
              <w:widowControl/>
              <w:spacing w:before="120" w:after="120"/>
              <w:rPr>
                <w:color w:val="auto"/>
                <w:lang w:val="en-US" w:eastAsia="en-US"/>
              </w:rPr>
            </w:pPr>
          </w:p>
        </w:tc>
        <w:tc>
          <w:tcPr>
            <w:tcW w:w="4660" w:type="dxa"/>
            <w:hideMark/>
          </w:tcPr>
          <w:p w14:paraId="7FC10643" w14:textId="77777777" w:rsidR="003D2BBD" w:rsidRPr="00CF5041" w:rsidRDefault="003D2BBD" w:rsidP="00D93948">
            <w:pPr>
              <w:widowControl/>
              <w:spacing w:before="120" w:after="120"/>
              <w:jc w:val="both"/>
              <w:rPr>
                <w:color w:val="auto"/>
                <w:lang w:val="en-US" w:eastAsia="en-US"/>
              </w:rPr>
            </w:pPr>
            <w:r w:rsidRPr="00CF5041">
              <w:rPr>
                <w:b/>
                <w:bCs/>
                <w:i/>
                <w:iCs/>
                <w:color w:val="auto"/>
                <w:lang w:eastAsia="en-US"/>
              </w:rPr>
              <w:t>Nhóm TSC có hệ số rủi ro 20%</w:t>
            </w:r>
          </w:p>
        </w:tc>
        <w:tc>
          <w:tcPr>
            <w:tcW w:w="763" w:type="dxa"/>
            <w:hideMark/>
          </w:tcPr>
          <w:p w14:paraId="2B1A2570" w14:textId="77777777" w:rsidR="003D2BBD" w:rsidRPr="00CF5041" w:rsidRDefault="003D2BBD" w:rsidP="00D93948">
            <w:pPr>
              <w:widowControl/>
              <w:spacing w:before="120" w:after="120"/>
              <w:jc w:val="both"/>
              <w:rPr>
                <w:color w:val="auto"/>
                <w:lang w:val="en-US" w:eastAsia="en-US"/>
              </w:rPr>
            </w:pPr>
          </w:p>
        </w:tc>
        <w:tc>
          <w:tcPr>
            <w:tcW w:w="887" w:type="dxa"/>
            <w:hideMark/>
          </w:tcPr>
          <w:p w14:paraId="251AFF26" w14:textId="77777777" w:rsidR="003D2BBD" w:rsidRPr="00CF5041" w:rsidRDefault="003D2BBD" w:rsidP="00D93948">
            <w:pPr>
              <w:widowControl/>
              <w:spacing w:before="120" w:after="120"/>
              <w:jc w:val="both"/>
              <w:rPr>
                <w:color w:val="auto"/>
                <w:lang w:val="en-US" w:eastAsia="en-US"/>
              </w:rPr>
            </w:pPr>
          </w:p>
        </w:tc>
        <w:tc>
          <w:tcPr>
            <w:tcW w:w="2029" w:type="dxa"/>
            <w:hideMark/>
          </w:tcPr>
          <w:p w14:paraId="17BB16E5" w14:textId="7C6F7356" w:rsidR="003D2BBD" w:rsidRPr="00CF5041" w:rsidRDefault="003D2BBD">
            <w:pPr>
              <w:widowControl/>
              <w:spacing w:before="120" w:after="120"/>
              <w:jc w:val="center"/>
              <w:rPr>
                <w:color w:val="auto"/>
                <w:lang w:val="en-US" w:eastAsia="en-US"/>
              </w:rPr>
            </w:pPr>
            <w:r w:rsidRPr="00CF5041">
              <w:rPr>
                <w:b/>
                <w:bCs/>
                <w:color w:val="auto"/>
                <w:lang w:eastAsia="en-US"/>
              </w:rPr>
              <w:t>= (</w:t>
            </w:r>
            <w:r w:rsidR="0098409D" w:rsidRPr="00CF5041">
              <w:rPr>
                <w:b/>
                <w:bCs/>
                <w:color w:val="auto"/>
                <w:lang w:val="en-US" w:eastAsia="en-US"/>
              </w:rPr>
              <w:t>g</w:t>
            </w:r>
            <w:r w:rsidRPr="00CF5041">
              <w:rPr>
                <w:b/>
                <w:bCs/>
                <w:color w:val="auto"/>
                <w:lang w:eastAsia="en-US"/>
              </w:rPr>
              <w:t>) + (</w:t>
            </w:r>
            <w:r w:rsidR="0098409D" w:rsidRPr="00CF5041">
              <w:rPr>
                <w:b/>
                <w:bCs/>
                <w:color w:val="auto"/>
                <w:lang w:val="en-US" w:eastAsia="en-US"/>
              </w:rPr>
              <w:t>h</w:t>
            </w:r>
            <w:r w:rsidRPr="00CF5041">
              <w:rPr>
                <w:b/>
                <w:bCs/>
                <w:color w:val="auto"/>
                <w:lang w:eastAsia="en-US"/>
              </w:rPr>
              <w:t>)</w:t>
            </w:r>
          </w:p>
        </w:tc>
      </w:tr>
      <w:tr w:rsidR="001672A5" w:rsidRPr="00CF5041" w14:paraId="5CC6CB51" w14:textId="77777777" w:rsidTr="00182F73">
        <w:trPr>
          <w:trHeight w:val="616"/>
        </w:trPr>
        <w:tc>
          <w:tcPr>
            <w:tcW w:w="722" w:type="dxa"/>
            <w:hideMark/>
          </w:tcPr>
          <w:p w14:paraId="2225DE16" w14:textId="1340CD82" w:rsidR="003D2BBD" w:rsidRPr="00CF5041" w:rsidRDefault="0098409D">
            <w:pPr>
              <w:widowControl/>
              <w:spacing w:before="120" w:after="120"/>
              <w:jc w:val="center"/>
              <w:rPr>
                <w:color w:val="auto"/>
                <w:lang w:val="en-US" w:eastAsia="en-US"/>
              </w:rPr>
            </w:pPr>
            <w:r w:rsidRPr="00CF5041">
              <w:rPr>
                <w:color w:val="auto"/>
                <w:lang w:val="en-US" w:eastAsia="en-US"/>
              </w:rPr>
              <w:t>g</w:t>
            </w:r>
          </w:p>
        </w:tc>
        <w:tc>
          <w:tcPr>
            <w:tcW w:w="4660" w:type="dxa"/>
            <w:hideMark/>
          </w:tcPr>
          <w:p w14:paraId="21C5BC8C" w14:textId="2C14C801" w:rsidR="003D2BBD" w:rsidRPr="00CF5041" w:rsidRDefault="003D2BBD" w:rsidP="007F7FFE">
            <w:pPr>
              <w:widowControl/>
              <w:spacing w:before="120" w:after="120"/>
              <w:jc w:val="both"/>
              <w:rPr>
                <w:color w:val="auto"/>
                <w:lang w:val="en-US" w:eastAsia="en-US"/>
              </w:rPr>
            </w:pPr>
            <w:r w:rsidRPr="00CF5041">
              <w:rPr>
                <w:color w:val="auto"/>
                <w:lang w:eastAsia="en-US"/>
              </w:rPr>
              <w:t>Tiền gửi</w:t>
            </w:r>
            <w:r w:rsidR="00FF4A5A" w:rsidRPr="00CF5041">
              <w:rPr>
                <w:color w:val="auto"/>
                <w:lang w:val="en-US" w:eastAsia="en-US"/>
              </w:rPr>
              <w:t xml:space="preserve"> thanh toán</w:t>
            </w:r>
            <w:r w:rsidRPr="00CF5041">
              <w:rPr>
                <w:color w:val="auto"/>
                <w:lang w:eastAsia="en-US"/>
              </w:rPr>
              <w:t xml:space="preserve"> tại ngân hàng thương mại, chi nhánh ngân hàng nước ngoài</w:t>
            </w:r>
            <w:r w:rsidR="00407C48" w:rsidRPr="00CF5041">
              <w:rPr>
                <w:color w:val="auto"/>
                <w:lang w:val="en-US" w:eastAsia="en-US"/>
              </w:rPr>
              <w:t>, trừ tiền gửi tại tổ chức tín dụng được kiểm soát đặc biệt theo quy định tại khoản 9 Điều 174 Luật Các tổ chức tín dụng</w:t>
            </w:r>
          </w:p>
        </w:tc>
        <w:tc>
          <w:tcPr>
            <w:tcW w:w="763" w:type="dxa"/>
            <w:hideMark/>
          </w:tcPr>
          <w:p w14:paraId="39DF166F" w14:textId="77777777" w:rsidR="003D2BBD" w:rsidRPr="00CF5041" w:rsidRDefault="003D2BBD" w:rsidP="00D93948">
            <w:pPr>
              <w:widowControl/>
              <w:spacing w:before="120" w:after="120"/>
              <w:jc w:val="both"/>
              <w:rPr>
                <w:color w:val="auto"/>
                <w:lang w:val="en-US" w:eastAsia="en-US"/>
              </w:rPr>
            </w:pPr>
          </w:p>
        </w:tc>
        <w:tc>
          <w:tcPr>
            <w:tcW w:w="887" w:type="dxa"/>
            <w:hideMark/>
          </w:tcPr>
          <w:p w14:paraId="3E6C766B" w14:textId="77777777" w:rsidR="003D2BBD" w:rsidRPr="00CF5041" w:rsidRDefault="003D2BBD">
            <w:pPr>
              <w:widowControl/>
              <w:spacing w:before="120" w:after="120"/>
              <w:jc w:val="center"/>
              <w:rPr>
                <w:color w:val="auto"/>
                <w:lang w:val="en-US" w:eastAsia="en-US"/>
              </w:rPr>
            </w:pPr>
            <w:r w:rsidRPr="00CF5041">
              <w:rPr>
                <w:color w:val="auto"/>
                <w:lang w:eastAsia="en-US"/>
              </w:rPr>
              <w:t>20%</w:t>
            </w:r>
          </w:p>
        </w:tc>
        <w:tc>
          <w:tcPr>
            <w:tcW w:w="2029" w:type="dxa"/>
            <w:hideMark/>
          </w:tcPr>
          <w:p w14:paraId="6207B565" w14:textId="77777777" w:rsidR="003D2BBD" w:rsidRPr="00CF5041" w:rsidRDefault="003D2BBD" w:rsidP="00D93948">
            <w:pPr>
              <w:widowControl/>
              <w:spacing w:before="120" w:after="120"/>
              <w:jc w:val="both"/>
              <w:rPr>
                <w:color w:val="auto"/>
                <w:lang w:val="en-US" w:eastAsia="en-US"/>
              </w:rPr>
            </w:pPr>
          </w:p>
        </w:tc>
      </w:tr>
      <w:tr w:rsidR="001672A5" w:rsidRPr="00CF5041" w14:paraId="03CC26F3" w14:textId="77777777" w:rsidTr="002B2544">
        <w:trPr>
          <w:trHeight w:val="1238"/>
        </w:trPr>
        <w:tc>
          <w:tcPr>
            <w:tcW w:w="722" w:type="dxa"/>
            <w:hideMark/>
          </w:tcPr>
          <w:p w14:paraId="5172C448" w14:textId="244E1CEB" w:rsidR="003D2BBD" w:rsidRPr="00CF5041" w:rsidRDefault="0098409D">
            <w:pPr>
              <w:widowControl/>
              <w:spacing w:before="120" w:after="120"/>
              <w:jc w:val="center"/>
              <w:rPr>
                <w:color w:val="auto"/>
                <w:lang w:val="en-US" w:eastAsia="en-US"/>
              </w:rPr>
            </w:pPr>
            <w:r w:rsidRPr="00CF5041">
              <w:rPr>
                <w:color w:val="auto"/>
                <w:lang w:val="en-US" w:eastAsia="en-US"/>
              </w:rPr>
              <w:t>h</w:t>
            </w:r>
          </w:p>
        </w:tc>
        <w:tc>
          <w:tcPr>
            <w:tcW w:w="4660" w:type="dxa"/>
            <w:hideMark/>
          </w:tcPr>
          <w:p w14:paraId="3AE0E08A" w14:textId="77777777" w:rsidR="003D2BBD" w:rsidRPr="00CF5041" w:rsidRDefault="003D2BBD" w:rsidP="00D93948">
            <w:pPr>
              <w:widowControl/>
              <w:spacing w:before="120" w:after="120"/>
              <w:jc w:val="both"/>
              <w:rPr>
                <w:color w:val="auto"/>
                <w:lang w:val="en-US" w:eastAsia="en-US"/>
              </w:rPr>
            </w:pPr>
            <w:r w:rsidRPr="00CF5041">
              <w:rPr>
                <w:color w:val="auto"/>
                <w:lang w:eastAsia="en-US"/>
              </w:rPr>
              <w:t>Dư nợ cho vay được bảo đảm toàn bộ bằng giấy tờ có giá do tổ chức tài chính nhà nước, tổ chức tín dụng, chi nhánh ngân hàng nước ngoài phát hành</w:t>
            </w:r>
          </w:p>
        </w:tc>
        <w:tc>
          <w:tcPr>
            <w:tcW w:w="763" w:type="dxa"/>
            <w:hideMark/>
          </w:tcPr>
          <w:p w14:paraId="6012D490" w14:textId="77777777" w:rsidR="003D2BBD" w:rsidRPr="00CF5041" w:rsidRDefault="003D2BBD" w:rsidP="00D93948">
            <w:pPr>
              <w:widowControl/>
              <w:spacing w:before="120" w:after="120"/>
              <w:jc w:val="both"/>
              <w:rPr>
                <w:color w:val="auto"/>
                <w:lang w:val="en-US" w:eastAsia="en-US"/>
              </w:rPr>
            </w:pPr>
          </w:p>
        </w:tc>
        <w:tc>
          <w:tcPr>
            <w:tcW w:w="887" w:type="dxa"/>
            <w:hideMark/>
          </w:tcPr>
          <w:p w14:paraId="4D718EA0" w14:textId="77777777" w:rsidR="003D2BBD" w:rsidRPr="00CF5041" w:rsidRDefault="003D2BBD">
            <w:pPr>
              <w:widowControl/>
              <w:spacing w:before="120" w:after="120"/>
              <w:jc w:val="center"/>
              <w:rPr>
                <w:color w:val="auto"/>
                <w:lang w:val="en-US" w:eastAsia="en-US"/>
              </w:rPr>
            </w:pPr>
            <w:r w:rsidRPr="00CF5041">
              <w:rPr>
                <w:color w:val="auto"/>
                <w:lang w:eastAsia="en-US"/>
              </w:rPr>
              <w:t>20%</w:t>
            </w:r>
          </w:p>
        </w:tc>
        <w:tc>
          <w:tcPr>
            <w:tcW w:w="2029" w:type="dxa"/>
            <w:hideMark/>
          </w:tcPr>
          <w:p w14:paraId="187962B3" w14:textId="77777777" w:rsidR="003D2BBD" w:rsidRPr="00CF5041" w:rsidRDefault="003D2BBD" w:rsidP="00D93948">
            <w:pPr>
              <w:widowControl/>
              <w:spacing w:before="120" w:after="120"/>
              <w:jc w:val="both"/>
              <w:rPr>
                <w:color w:val="auto"/>
                <w:lang w:val="en-US" w:eastAsia="en-US"/>
              </w:rPr>
            </w:pPr>
          </w:p>
        </w:tc>
      </w:tr>
      <w:tr w:rsidR="001672A5" w:rsidRPr="00CF5041" w14:paraId="6D289220" w14:textId="77777777" w:rsidTr="002B2544">
        <w:trPr>
          <w:trHeight w:val="293"/>
        </w:trPr>
        <w:tc>
          <w:tcPr>
            <w:tcW w:w="722" w:type="dxa"/>
            <w:hideMark/>
          </w:tcPr>
          <w:p w14:paraId="49FEFB6A" w14:textId="77777777" w:rsidR="003D2BBD" w:rsidRPr="00CF5041" w:rsidRDefault="003D2BBD" w:rsidP="00D93948">
            <w:pPr>
              <w:widowControl/>
              <w:spacing w:before="120" w:after="120"/>
              <w:rPr>
                <w:color w:val="auto"/>
                <w:lang w:val="en-US" w:eastAsia="en-US"/>
              </w:rPr>
            </w:pPr>
          </w:p>
        </w:tc>
        <w:tc>
          <w:tcPr>
            <w:tcW w:w="4660" w:type="dxa"/>
            <w:hideMark/>
          </w:tcPr>
          <w:p w14:paraId="55FFE1C1" w14:textId="77777777" w:rsidR="003D2BBD" w:rsidRPr="00CF5041" w:rsidRDefault="003D2BBD" w:rsidP="00D93948">
            <w:pPr>
              <w:widowControl/>
              <w:spacing w:before="120" w:after="120"/>
              <w:jc w:val="both"/>
              <w:rPr>
                <w:color w:val="auto"/>
                <w:lang w:val="en-US" w:eastAsia="en-US"/>
              </w:rPr>
            </w:pPr>
            <w:r w:rsidRPr="00CF5041">
              <w:rPr>
                <w:b/>
                <w:bCs/>
                <w:i/>
                <w:iCs/>
                <w:color w:val="auto"/>
                <w:lang w:eastAsia="en-US"/>
              </w:rPr>
              <w:t>Nhóm TSC có hệ số rủi ro 50%</w:t>
            </w:r>
          </w:p>
        </w:tc>
        <w:tc>
          <w:tcPr>
            <w:tcW w:w="763" w:type="dxa"/>
            <w:hideMark/>
          </w:tcPr>
          <w:p w14:paraId="5484978F" w14:textId="77777777" w:rsidR="003D2BBD" w:rsidRPr="00CF5041" w:rsidRDefault="003D2BBD" w:rsidP="00D93948">
            <w:pPr>
              <w:widowControl/>
              <w:spacing w:before="120" w:after="120"/>
              <w:jc w:val="both"/>
              <w:rPr>
                <w:color w:val="auto"/>
                <w:lang w:val="en-US" w:eastAsia="en-US"/>
              </w:rPr>
            </w:pPr>
          </w:p>
        </w:tc>
        <w:tc>
          <w:tcPr>
            <w:tcW w:w="887" w:type="dxa"/>
            <w:hideMark/>
          </w:tcPr>
          <w:p w14:paraId="7DB718BF" w14:textId="77777777" w:rsidR="003D2BBD" w:rsidRPr="00CF5041" w:rsidRDefault="003D2BBD" w:rsidP="00D93948">
            <w:pPr>
              <w:widowControl/>
              <w:spacing w:before="120" w:after="120"/>
              <w:jc w:val="center"/>
              <w:rPr>
                <w:color w:val="auto"/>
                <w:lang w:val="en-US" w:eastAsia="en-US"/>
              </w:rPr>
            </w:pPr>
          </w:p>
        </w:tc>
        <w:tc>
          <w:tcPr>
            <w:tcW w:w="2029" w:type="dxa"/>
            <w:hideMark/>
          </w:tcPr>
          <w:p w14:paraId="743D4262" w14:textId="2C3C875F" w:rsidR="003D2BBD" w:rsidRPr="00CF5041" w:rsidRDefault="003D2BBD">
            <w:pPr>
              <w:widowControl/>
              <w:spacing w:before="120" w:after="120"/>
              <w:jc w:val="center"/>
              <w:rPr>
                <w:color w:val="auto"/>
                <w:lang w:val="en-US" w:eastAsia="en-US"/>
              </w:rPr>
            </w:pPr>
            <w:r w:rsidRPr="00CF5041">
              <w:rPr>
                <w:b/>
                <w:bCs/>
                <w:color w:val="auto"/>
                <w:lang w:eastAsia="en-US"/>
              </w:rPr>
              <w:t>= (</w:t>
            </w:r>
            <w:r w:rsidR="0098409D" w:rsidRPr="00CF5041">
              <w:rPr>
                <w:b/>
                <w:bCs/>
                <w:color w:val="auto"/>
                <w:lang w:val="en-US" w:eastAsia="en-US"/>
              </w:rPr>
              <w:t>i</w:t>
            </w:r>
            <w:r w:rsidRPr="00CF5041">
              <w:rPr>
                <w:b/>
                <w:bCs/>
                <w:color w:val="auto"/>
                <w:lang w:eastAsia="en-US"/>
              </w:rPr>
              <w:t>)</w:t>
            </w:r>
          </w:p>
        </w:tc>
      </w:tr>
      <w:tr w:rsidR="001672A5" w:rsidRPr="00CF5041" w14:paraId="2032E6D5" w14:textId="77777777" w:rsidTr="00103E67">
        <w:trPr>
          <w:trHeight w:val="768"/>
        </w:trPr>
        <w:tc>
          <w:tcPr>
            <w:tcW w:w="722" w:type="dxa"/>
            <w:vAlign w:val="center"/>
            <w:hideMark/>
          </w:tcPr>
          <w:p w14:paraId="487ABE73" w14:textId="1A838C9B" w:rsidR="003D2BBD" w:rsidRPr="00CF5041" w:rsidRDefault="0098409D">
            <w:pPr>
              <w:widowControl/>
              <w:spacing w:before="120" w:after="120"/>
              <w:jc w:val="center"/>
              <w:rPr>
                <w:color w:val="auto"/>
                <w:lang w:val="en-US" w:eastAsia="en-US"/>
              </w:rPr>
            </w:pPr>
            <w:r w:rsidRPr="00CF5041">
              <w:rPr>
                <w:color w:val="auto"/>
                <w:lang w:val="en-US" w:eastAsia="en-US"/>
              </w:rPr>
              <w:t>i</w:t>
            </w:r>
          </w:p>
        </w:tc>
        <w:tc>
          <w:tcPr>
            <w:tcW w:w="4660" w:type="dxa"/>
            <w:hideMark/>
          </w:tcPr>
          <w:p w14:paraId="27E9201D" w14:textId="77777777" w:rsidR="003D2BBD" w:rsidRPr="00CF5041" w:rsidRDefault="003D2BBD" w:rsidP="00D93948">
            <w:pPr>
              <w:widowControl/>
              <w:spacing w:before="120" w:after="120"/>
              <w:jc w:val="both"/>
              <w:rPr>
                <w:color w:val="auto"/>
                <w:lang w:val="en-US" w:eastAsia="en-US"/>
              </w:rPr>
            </w:pPr>
            <w:r w:rsidRPr="00CF5041">
              <w:rPr>
                <w:color w:val="auto"/>
                <w:lang w:eastAsia="en-US"/>
              </w:rPr>
              <w:t>Dư nợ cho vay được bảo đảm toàn bộ bằng nhà ở, quyền sử dụng đất, nhà ở gắn với quyền sử dụng đất của bên vay</w:t>
            </w:r>
          </w:p>
        </w:tc>
        <w:tc>
          <w:tcPr>
            <w:tcW w:w="763" w:type="dxa"/>
            <w:hideMark/>
          </w:tcPr>
          <w:p w14:paraId="3581C650" w14:textId="77777777" w:rsidR="003D2BBD" w:rsidRPr="00CF5041" w:rsidRDefault="003D2BBD" w:rsidP="00D93948">
            <w:pPr>
              <w:widowControl/>
              <w:spacing w:before="120" w:after="120"/>
              <w:jc w:val="both"/>
              <w:rPr>
                <w:color w:val="auto"/>
                <w:lang w:val="en-US" w:eastAsia="en-US"/>
              </w:rPr>
            </w:pPr>
          </w:p>
        </w:tc>
        <w:tc>
          <w:tcPr>
            <w:tcW w:w="887" w:type="dxa"/>
            <w:hideMark/>
          </w:tcPr>
          <w:p w14:paraId="4EA1B35E" w14:textId="77777777" w:rsidR="003D2BBD" w:rsidRPr="00CF5041" w:rsidRDefault="003D2BBD">
            <w:pPr>
              <w:widowControl/>
              <w:spacing w:before="120" w:after="120"/>
              <w:jc w:val="center"/>
              <w:rPr>
                <w:color w:val="auto"/>
                <w:lang w:val="en-US" w:eastAsia="en-US"/>
              </w:rPr>
            </w:pPr>
            <w:r w:rsidRPr="00CF5041">
              <w:rPr>
                <w:color w:val="auto"/>
                <w:lang w:eastAsia="en-US"/>
              </w:rPr>
              <w:t>50%</w:t>
            </w:r>
          </w:p>
        </w:tc>
        <w:tc>
          <w:tcPr>
            <w:tcW w:w="2029" w:type="dxa"/>
            <w:hideMark/>
          </w:tcPr>
          <w:p w14:paraId="2C6B01DB" w14:textId="77777777" w:rsidR="003D2BBD" w:rsidRPr="00CF5041" w:rsidRDefault="003D2BBD" w:rsidP="00D93948">
            <w:pPr>
              <w:widowControl/>
              <w:spacing w:before="120" w:after="120"/>
              <w:jc w:val="both"/>
              <w:rPr>
                <w:color w:val="auto"/>
                <w:lang w:val="en-US" w:eastAsia="en-US"/>
              </w:rPr>
            </w:pPr>
          </w:p>
        </w:tc>
      </w:tr>
      <w:tr w:rsidR="001672A5" w:rsidRPr="00CF5041" w14:paraId="084F7503" w14:textId="77777777" w:rsidTr="00445587">
        <w:tc>
          <w:tcPr>
            <w:tcW w:w="722" w:type="dxa"/>
            <w:hideMark/>
          </w:tcPr>
          <w:p w14:paraId="5BCE3CAA" w14:textId="77777777" w:rsidR="003D2BBD" w:rsidRPr="00CF5041" w:rsidRDefault="003D2BBD" w:rsidP="00D93948">
            <w:pPr>
              <w:widowControl/>
              <w:spacing w:before="120" w:after="120"/>
              <w:rPr>
                <w:color w:val="auto"/>
                <w:lang w:val="en-US" w:eastAsia="en-US"/>
              </w:rPr>
            </w:pPr>
          </w:p>
        </w:tc>
        <w:tc>
          <w:tcPr>
            <w:tcW w:w="4660" w:type="dxa"/>
            <w:hideMark/>
          </w:tcPr>
          <w:p w14:paraId="11FA23F2" w14:textId="77777777" w:rsidR="003D2BBD" w:rsidRPr="00CF5041" w:rsidRDefault="003D2BBD" w:rsidP="00D93948">
            <w:pPr>
              <w:widowControl/>
              <w:spacing w:before="120" w:after="120"/>
              <w:jc w:val="both"/>
              <w:rPr>
                <w:color w:val="auto"/>
                <w:lang w:val="en-US" w:eastAsia="en-US"/>
              </w:rPr>
            </w:pPr>
            <w:r w:rsidRPr="00CF5041">
              <w:rPr>
                <w:b/>
                <w:bCs/>
                <w:i/>
                <w:iCs/>
                <w:color w:val="auto"/>
                <w:lang w:eastAsia="en-US"/>
              </w:rPr>
              <w:t>Nhóm TSC có hệ số rủi ro 100%</w:t>
            </w:r>
          </w:p>
        </w:tc>
        <w:tc>
          <w:tcPr>
            <w:tcW w:w="763" w:type="dxa"/>
            <w:hideMark/>
          </w:tcPr>
          <w:p w14:paraId="4441BAC1" w14:textId="77777777" w:rsidR="003D2BBD" w:rsidRPr="00CF5041" w:rsidRDefault="003D2BBD" w:rsidP="00D93948">
            <w:pPr>
              <w:widowControl/>
              <w:spacing w:before="120" w:after="120"/>
              <w:jc w:val="both"/>
              <w:rPr>
                <w:color w:val="auto"/>
                <w:lang w:val="en-US" w:eastAsia="en-US"/>
              </w:rPr>
            </w:pPr>
          </w:p>
        </w:tc>
        <w:tc>
          <w:tcPr>
            <w:tcW w:w="887" w:type="dxa"/>
            <w:hideMark/>
          </w:tcPr>
          <w:p w14:paraId="28A64EAA" w14:textId="77777777" w:rsidR="003D2BBD" w:rsidRPr="00CF5041" w:rsidRDefault="003D2BBD" w:rsidP="00D93948">
            <w:pPr>
              <w:widowControl/>
              <w:spacing w:before="120" w:after="120"/>
              <w:jc w:val="center"/>
              <w:rPr>
                <w:color w:val="auto"/>
                <w:lang w:val="en-US" w:eastAsia="en-US"/>
              </w:rPr>
            </w:pPr>
          </w:p>
        </w:tc>
        <w:tc>
          <w:tcPr>
            <w:tcW w:w="2029" w:type="dxa"/>
            <w:hideMark/>
          </w:tcPr>
          <w:p w14:paraId="0F248D5A" w14:textId="672E8256" w:rsidR="003D2BBD" w:rsidRPr="00CF5041" w:rsidRDefault="003D2BBD">
            <w:pPr>
              <w:widowControl/>
              <w:spacing w:before="120" w:after="120"/>
              <w:jc w:val="center"/>
              <w:rPr>
                <w:color w:val="auto"/>
                <w:lang w:val="en-US" w:eastAsia="en-US"/>
              </w:rPr>
            </w:pPr>
            <w:r w:rsidRPr="00CF5041">
              <w:rPr>
                <w:b/>
                <w:bCs/>
                <w:color w:val="auto"/>
                <w:lang w:eastAsia="en-US"/>
              </w:rPr>
              <w:t>= (</w:t>
            </w:r>
            <w:r w:rsidR="00D5022D" w:rsidRPr="00CF5041">
              <w:rPr>
                <w:b/>
                <w:bCs/>
                <w:color w:val="auto"/>
                <w:lang w:val="en-US" w:eastAsia="en-US"/>
              </w:rPr>
              <w:t>k</w:t>
            </w:r>
            <w:r w:rsidRPr="00CF5041">
              <w:rPr>
                <w:b/>
                <w:bCs/>
                <w:color w:val="auto"/>
                <w:lang w:eastAsia="en-US"/>
              </w:rPr>
              <w:t>)</w:t>
            </w:r>
            <w:r w:rsidR="006D2FE9" w:rsidRPr="00CF5041">
              <w:rPr>
                <w:b/>
                <w:bCs/>
                <w:color w:val="auto"/>
                <w:lang w:val="en-US" w:eastAsia="en-US"/>
              </w:rPr>
              <w:t xml:space="preserve"> + (</w:t>
            </w:r>
            <w:r w:rsidR="00D5022D" w:rsidRPr="00CF5041">
              <w:rPr>
                <w:b/>
                <w:bCs/>
                <w:color w:val="auto"/>
                <w:lang w:val="en-US" w:eastAsia="en-US"/>
              </w:rPr>
              <w:t>l</w:t>
            </w:r>
            <w:r w:rsidR="006D2FE9" w:rsidRPr="00CF5041">
              <w:rPr>
                <w:b/>
                <w:bCs/>
                <w:color w:val="auto"/>
                <w:lang w:val="en-US" w:eastAsia="en-US"/>
              </w:rPr>
              <w:t>)</w:t>
            </w:r>
          </w:p>
        </w:tc>
      </w:tr>
      <w:tr w:rsidR="001672A5" w:rsidRPr="00CF5041" w14:paraId="2EFEF627" w14:textId="77777777" w:rsidTr="00103E67">
        <w:trPr>
          <w:trHeight w:val="438"/>
        </w:trPr>
        <w:tc>
          <w:tcPr>
            <w:tcW w:w="722" w:type="dxa"/>
            <w:vAlign w:val="center"/>
            <w:hideMark/>
          </w:tcPr>
          <w:p w14:paraId="6B48BA38" w14:textId="21ACFBFC" w:rsidR="003D2BBD" w:rsidRPr="00CF5041" w:rsidRDefault="0098409D">
            <w:pPr>
              <w:widowControl/>
              <w:spacing w:before="120" w:after="120"/>
              <w:jc w:val="center"/>
              <w:rPr>
                <w:color w:val="auto"/>
                <w:lang w:val="en-US" w:eastAsia="en-US"/>
              </w:rPr>
            </w:pPr>
            <w:r w:rsidRPr="00CF5041">
              <w:rPr>
                <w:color w:val="auto"/>
                <w:lang w:val="en-US" w:eastAsia="en-US"/>
              </w:rPr>
              <w:t>k</w:t>
            </w:r>
          </w:p>
        </w:tc>
        <w:tc>
          <w:tcPr>
            <w:tcW w:w="4660" w:type="dxa"/>
            <w:hideMark/>
          </w:tcPr>
          <w:p w14:paraId="601CF725" w14:textId="77777777" w:rsidR="003D2BBD" w:rsidRPr="00CF5041" w:rsidRDefault="003D2BBD" w:rsidP="00D93948">
            <w:pPr>
              <w:widowControl/>
              <w:spacing w:before="120" w:after="120"/>
              <w:jc w:val="both"/>
              <w:rPr>
                <w:color w:val="auto"/>
                <w:lang w:val="en-US" w:eastAsia="en-US"/>
              </w:rPr>
            </w:pPr>
            <w:r w:rsidRPr="00CF5041">
              <w:rPr>
                <w:color w:val="auto"/>
                <w:lang w:eastAsia="en-US"/>
              </w:rPr>
              <w:t>Giá trị nguyên giá tài sản cố định của quỹ tín dụng nhân dân</w:t>
            </w:r>
          </w:p>
        </w:tc>
        <w:tc>
          <w:tcPr>
            <w:tcW w:w="763" w:type="dxa"/>
            <w:hideMark/>
          </w:tcPr>
          <w:p w14:paraId="52422992" w14:textId="77777777" w:rsidR="003D2BBD" w:rsidRPr="00CF5041" w:rsidRDefault="003D2BBD" w:rsidP="00D93948">
            <w:pPr>
              <w:widowControl/>
              <w:spacing w:before="120" w:after="120"/>
              <w:jc w:val="both"/>
              <w:rPr>
                <w:color w:val="auto"/>
                <w:lang w:val="en-US" w:eastAsia="en-US"/>
              </w:rPr>
            </w:pPr>
          </w:p>
        </w:tc>
        <w:tc>
          <w:tcPr>
            <w:tcW w:w="887" w:type="dxa"/>
            <w:hideMark/>
          </w:tcPr>
          <w:p w14:paraId="4F41ABCB" w14:textId="77777777" w:rsidR="003D2BBD" w:rsidRPr="00CF5041" w:rsidRDefault="003D2BBD">
            <w:pPr>
              <w:widowControl/>
              <w:spacing w:before="120" w:after="120"/>
              <w:jc w:val="center"/>
              <w:rPr>
                <w:color w:val="auto"/>
                <w:lang w:val="en-US" w:eastAsia="en-US"/>
              </w:rPr>
            </w:pPr>
            <w:r w:rsidRPr="00CF5041">
              <w:rPr>
                <w:color w:val="auto"/>
                <w:lang w:eastAsia="en-US"/>
              </w:rPr>
              <w:t>100%</w:t>
            </w:r>
          </w:p>
        </w:tc>
        <w:tc>
          <w:tcPr>
            <w:tcW w:w="2029" w:type="dxa"/>
            <w:hideMark/>
          </w:tcPr>
          <w:p w14:paraId="256857D9" w14:textId="77777777" w:rsidR="003D2BBD" w:rsidRPr="00CF5041" w:rsidRDefault="003D2BBD" w:rsidP="00D93948">
            <w:pPr>
              <w:widowControl/>
              <w:spacing w:before="120" w:after="120"/>
              <w:jc w:val="both"/>
              <w:rPr>
                <w:color w:val="auto"/>
                <w:lang w:val="en-US" w:eastAsia="en-US"/>
              </w:rPr>
            </w:pPr>
          </w:p>
        </w:tc>
      </w:tr>
      <w:tr w:rsidR="006D2FE9" w:rsidRPr="00CF5041" w14:paraId="04D3C694" w14:textId="77777777" w:rsidTr="00103E67">
        <w:tc>
          <w:tcPr>
            <w:tcW w:w="722" w:type="dxa"/>
            <w:vAlign w:val="center"/>
          </w:tcPr>
          <w:p w14:paraId="5F406A6F" w14:textId="6A34CBE9" w:rsidR="006D2FE9" w:rsidRPr="00CF5041" w:rsidRDefault="0098409D">
            <w:pPr>
              <w:widowControl/>
              <w:spacing w:before="120" w:after="120"/>
              <w:jc w:val="center"/>
              <w:rPr>
                <w:color w:val="auto"/>
                <w:lang w:val="en-US" w:eastAsia="en-US"/>
              </w:rPr>
            </w:pPr>
            <w:r w:rsidRPr="00CF5041">
              <w:rPr>
                <w:color w:val="auto"/>
                <w:lang w:val="en-US" w:eastAsia="en-US"/>
              </w:rPr>
              <w:lastRenderedPageBreak/>
              <w:t>l</w:t>
            </w:r>
          </w:p>
        </w:tc>
        <w:tc>
          <w:tcPr>
            <w:tcW w:w="4660" w:type="dxa"/>
          </w:tcPr>
          <w:p w14:paraId="454014CB" w14:textId="09085F90" w:rsidR="006D2FE9" w:rsidRPr="00CF5041" w:rsidRDefault="006D2FE9" w:rsidP="00D93948">
            <w:pPr>
              <w:widowControl/>
              <w:spacing w:before="120" w:after="120"/>
              <w:jc w:val="both"/>
              <w:rPr>
                <w:color w:val="auto"/>
                <w:lang w:eastAsia="en-US"/>
              </w:rPr>
            </w:pPr>
            <w:r w:rsidRPr="00CF5041">
              <w:rPr>
                <w:color w:val="auto"/>
                <w:lang w:eastAsia="en-US"/>
              </w:rPr>
              <w:t>Các tài sản “Có” khác còn lại trên bảng cân đối kế toán ngoài </w:t>
            </w:r>
            <w:r w:rsidRPr="00CF5041">
              <w:rPr>
                <w:color w:val="auto"/>
                <w:shd w:val="clear" w:color="auto" w:fill="FFFFFF"/>
                <w:lang w:eastAsia="en-US"/>
              </w:rPr>
              <w:t xml:space="preserve">các khoản đã được phân loại vào nhóm </w:t>
            </w:r>
            <w:r w:rsidR="008F4DEC" w:rsidRPr="00CF5041">
              <w:rPr>
                <w:color w:val="auto"/>
                <w:shd w:val="clear" w:color="auto" w:fill="FFFFFF"/>
                <w:lang w:val="en-US" w:eastAsia="en-US"/>
              </w:rPr>
              <w:t xml:space="preserve">tài sản “Có” có </w:t>
            </w:r>
            <w:r w:rsidRPr="00CF5041">
              <w:rPr>
                <w:color w:val="auto"/>
                <w:shd w:val="clear" w:color="auto" w:fill="FFFFFF"/>
                <w:lang w:eastAsia="en-US"/>
              </w:rPr>
              <w:t>hệ số rủi ro 0%, 20%, 50%</w:t>
            </w:r>
          </w:p>
        </w:tc>
        <w:tc>
          <w:tcPr>
            <w:tcW w:w="763" w:type="dxa"/>
          </w:tcPr>
          <w:p w14:paraId="466A7BE0" w14:textId="77777777" w:rsidR="006D2FE9" w:rsidRPr="00CF5041" w:rsidRDefault="006D2FE9" w:rsidP="00D93948">
            <w:pPr>
              <w:widowControl/>
              <w:spacing w:before="120" w:after="120"/>
              <w:jc w:val="both"/>
              <w:rPr>
                <w:color w:val="auto"/>
                <w:lang w:val="en-US" w:eastAsia="en-US"/>
              </w:rPr>
            </w:pPr>
          </w:p>
        </w:tc>
        <w:tc>
          <w:tcPr>
            <w:tcW w:w="887" w:type="dxa"/>
          </w:tcPr>
          <w:p w14:paraId="7E1F08D4" w14:textId="77E4262D" w:rsidR="006D2FE9" w:rsidRPr="00CF5041" w:rsidRDefault="006D2FE9">
            <w:pPr>
              <w:widowControl/>
              <w:spacing w:before="120" w:after="120"/>
              <w:jc w:val="center"/>
              <w:rPr>
                <w:color w:val="auto"/>
                <w:lang w:eastAsia="en-US"/>
              </w:rPr>
            </w:pPr>
            <w:r w:rsidRPr="00CF5041">
              <w:rPr>
                <w:color w:val="auto"/>
                <w:lang w:eastAsia="en-US"/>
              </w:rPr>
              <w:t>100%</w:t>
            </w:r>
          </w:p>
        </w:tc>
        <w:tc>
          <w:tcPr>
            <w:tcW w:w="2029" w:type="dxa"/>
          </w:tcPr>
          <w:p w14:paraId="07A29FA9" w14:textId="77777777" w:rsidR="006D2FE9" w:rsidRPr="00CF5041" w:rsidRDefault="006D2FE9" w:rsidP="00D93948">
            <w:pPr>
              <w:widowControl/>
              <w:spacing w:before="120" w:after="120"/>
              <w:jc w:val="both"/>
              <w:rPr>
                <w:color w:val="auto"/>
                <w:lang w:val="en-US" w:eastAsia="en-US"/>
              </w:rPr>
            </w:pPr>
          </w:p>
        </w:tc>
      </w:tr>
      <w:tr w:rsidR="001672A5" w:rsidRPr="00CF5041" w14:paraId="28852FCF" w14:textId="77777777" w:rsidTr="00445587">
        <w:tc>
          <w:tcPr>
            <w:tcW w:w="722" w:type="dxa"/>
            <w:hideMark/>
          </w:tcPr>
          <w:p w14:paraId="7E05FD20" w14:textId="77777777" w:rsidR="003D2BBD" w:rsidRPr="00CF5041" w:rsidRDefault="003D2BBD" w:rsidP="00D93948">
            <w:pPr>
              <w:widowControl/>
              <w:spacing w:before="120" w:after="120"/>
              <w:rPr>
                <w:color w:val="auto"/>
                <w:lang w:val="en-US" w:eastAsia="en-US"/>
              </w:rPr>
            </w:pPr>
          </w:p>
        </w:tc>
        <w:tc>
          <w:tcPr>
            <w:tcW w:w="4660" w:type="dxa"/>
            <w:hideMark/>
          </w:tcPr>
          <w:p w14:paraId="46CCB919" w14:textId="77777777" w:rsidR="003D2BBD" w:rsidRPr="00CF5041" w:rsidRDefault="003D2BBD" w:rsidP="00D93948">
            <w:pPr>
              <w:widowControl/>
              <w:spacing w:before="120" w:after="120"/>
              <w:jc w:val="both"/>
              <w:rPr>
                <w:color w:val="auto"/>
                <w:lang w:val="en-US" w:eastAsia="en-US"/>
              </w:rPr>
            </w:pPr>
            <w:r w:rsidRPr="00CF5041">
              <w:rPr>
                <w:b/>
                <w:bCs/>
                <w:color w:val="auto"/>
                <w:lang w:eastAsia="en-US"/>
              </w:rPr>
              <w:t>Tổng tài sản “Có” rủi ro</w:t>
            </w:r>
          </w:p>
        </w:tc>
        <w:tc>
          <w:tcPr>
            <w:tcW w:w="763" w:type="dxa"/>
            <w:hideMark/>
          </w:tcPr>
          <w:p w14:paraId="36E5D351" w14:textId="77777777" w:rsidR="003D2BBD" w:rsidRPr="00CF5041" w:rsidRDefault="003D2BBD" w:rsidP="00D93948">
            <w:pPr>
              <w:widowControl/>
              <w:spacing w:before="120" w:after="120"/>
              <w:jc w:val="both"/>
              <w:rPr>
                <w:color w:val="auto"/>
                <w:lang w:val="en-US" w:eastAsia="en-US"/>
              </w:rPr>
            </w:pPr>
          </w:p>
        </w:tc>
        <w:tc>
          <w:tcPr>
            <w:tcW w:w="887" w:type="dxa"/>
            <w:hideMark/>
          </w:tcPr>
          <w:p w14:paraId="29E89F19" w14:textId="77777777" w:rsidR="003D2BBD" w:rsidRPr="00CF5041" w:rsidRDefault="003D2BBD" w:rsidP="00D93948">
            <w:pPr>
              <w:widowControl/>
              <w:spacing w:before="120" w:after="120"/>
              <w:jc w:val="both"/>
              <w:rPr>
                <w:color w:val="auto"/>
                <w:lang w:val="en-US" w:eastAsia="en-US"/>
              </w:rPr>
            </w:pPr>
          </w:p>
        </w:tc>
        <w:tc>
          <w:tcPr>
            <w:tcW w:w="2029" w:type="dxa"/>
            <w:hideMark/>
          </w:tcPr>
          <w:p w14:paraId="5C2C3F4C" w14:textId="77777777" w:rsidR="003D2BBD" w:rsidRPr="00CF5041" w:rsidRDefault="003D2BBD" w:rsidP="00D93948">
            <w:pPr>
              <w:widowControl/>
              <w:spacing w:before="120" w:after="120"/>
              <w:jc w:val="both"/>
              <w:rPr>
                <w:color w:val="auto"/>
                <w:sz w:val="28"/>
                <w:szCs w:val="28"/>
                <w:lang w:val="en-US" w:eastAsia="en-US"/>
              </w:rPr>
            </w:pPr>
          </w:p>
        </w:tc>
      </w:tr>
    </w:tbl>
    <w:p w14:paraId="25773755" w14:textId="5E2272FC" w:rsidR="00105A8F" w:rsidRPr="00CF5041" w:rsidRDefault="00105A8F" w:rsidP="00C36476">
      <w:pPr>
        <w:shd w:val="clear" w:color="auto" w:fill="FFFFFF"/>
        <w:spacing w:line="234" w:lineRule="atLeast"/>
        <w:jc w:val="center"/>
        <w:rPr>
          <w:rFonts w:ascii="Times New Roman" w:eastAsia="Times New Roman" w:hAnsi="Times New Roman" w:cs="Times New Roman"/>
          <w:b/>
          <w:bCs/>
          <w:color w:val="auto"/>
          <w:sz w:val="28"/>
          <w:szCs w:val="28"/>
        </w:rPr>
        <w:sectPr w:rsidR="00105A8F" w:rsidRPr="00CF5041" w:rsidSect="005936E8">
          <w:headerReference w:type="first" r:id="rId10"/>
          <w:pgSz w:w="11906" w:h="16838" w:code="9"/>
          <w:pgMar w:top="993" w:right="1134" w:bottom="1134" w:left="1701" w:header="720" w:footer="397" w:gutter="0"/>
          <w:pgNumType w:start="1"/>
          <w:cols w:space="720"/>
          <w:titlePg/>
          <w:docGrid w:linePitch="360"/>
        </w:sectPr>
      </w:pPr>
      <w:bookmarkStart w:id="15" w:name="loai_pl8"/>
    </w:p>
    <w:p w14:paraId="7C8F2175" w14:textId="067FA49B" w:rsidR="00617A78" w:rsidRPr="00CF5041" w:rsidRDefault="00617A78" w:rsidP="00402E01">
      <w:pPr>
        <w:pStyle w:val="Heading2"/>
        <w:spacing w:before="120" w:after="0" w:line="240" w:lineRule="auto"/>
        <w:rPr>
          <w:color w:val="auto"/>
          <w:lang w:val="en-US"/>
        </w:rPr>
      </w:pPr>
      <w:r w:rsidRPr="00CF5041">
        <w:rPr>
          <w:color w:val="auto"/>
        </w:rPr>
        <w:lastRenderedPageBreak/>
        <w:t xml:space="preserve">Phụ lục </w:t>
      </w:r>
      <w:r w:rsidR="004926E9" w:rsidRPr="00CF5041">
        <w:rPr>
          <w:color w:val="auto"/>
          <w:lang w:val="en-US"/>
        </w:rPr>
        <w:t>III</w:t>
      </w:r>
    </w:p>
    <w:p w14:paraId="1A0379B8" w14:textId="6A584F37" w:rsidR="00617A78" w:rsidRPr="00CF5041" w:rsidRDefault="00380B02" w:rsidP="00402E01">
      <w:pPr>
        <w:pStyle w:val="Heading2"/>
        <w:spacing w:before="120" w:after="0" w:line="240" w:lineRule="auto"/>
        <w:rPr>
          <w:color w:val="auto"/>
          <w:lang w:val="en-US"/>
        </w:rPr>
      </w:pPr>
      <w:r w:rsidRPr="00CF5041">
        <w:rPr>
          <w:color w:val="auto"/>
          <w:lang w:val="en-US"/>
        </w:rPr>
        <w:t>CÁCH XÁC ĐỊNH</w:t>
      </w:r>
      <w:r w:rsidR="0097526E" w:rsidRPr="00CF5041">
        <w:rPr>
          <w:color w:val="auto"/>
          <w:lang w:val="en-US"/>
        </w:rPr>
        <w:t xml:space="preserve"> CÁC</w:t>
      </w:r>
      <w:r w:rsidR="00FE4823" w:rsidRPr="00CF5041">
        <w:rPr>
          <w:color w:val="auto"/>
          <w:lang w:val="en-US"/>
        </w:rPr>
        <w:t xml:space="preserve"> TÀI SẢN “CÓ” CÓ THỂ THANH TOÁN NGAY </w:t>
      </w:r>
      <w:r w:rsidR="00C334CF" w:rsidRPr="00CF5041">
        <w:rPr>
          <w:color w:val="auto"/>
          <w:lang w:val="en-US"/>
        </w:rPr>
        <w:br/>
      </w:r>
      <w:r w:rsidR="00FE4823" w:rsidRPr="00CF5041">
        <w:rPr>
          <w:color w:val="auto"/>
          <w:lang w:val="en-US"/>
        </w:rPr>
        <w:t>VÀ CÁC TÀI SẢN “NỢ” PHẢI THANH TOÁN</w:t>
      </w:r>
    </w:p>
    <w:p w14:paraId="2654E14C" w14:textId="77777777" w:rsidR="00FE4823" w:rsidRPr="00CF5041" w:rsidRDefault="00FE4823" w:rsidP="00FE4823">
      <w:pPr>
        <w:widowControl/>
        <w:spacing w:before="120" w:after="120"/>
        <w:jc w:val="right"/>
        <w:rPr>
          <w:rFonts w:ascii="Times New Roman" w:eastAsia="Times New Roman" w:hAnsi="Times New Roman" w:cs="Times New Roman"/>
          <w:color w:val="auto"/>
          <w:lang w:val="en-US" w:eastAsia="en-US"/>
        </w:rPr>
      </w:pPr>
      <w:r w:rsidRPr="00CF5041">
        <w:rPr>
          <w:rFonts w:ascii="Times New Roman" w:eastAsia="Times New Roman" w:hAnsi="Times New Roman" w:cs="Times New Roman"/>
          <w:i/>
          <w:iCs/>
          <w:color w:val="auto"/>
          <w:lang w:eastAsia="en-US"/>
        </w:rPr>
        <w:t>Đơn vị tính: triệu đồng</w:t>
      </w:r>
    </w:p>
    <w:tbl>
      <w:tblPr>
        <w:tblStyle w:val="TableGrid"/>
        <w:tblW w:w="5398" w:type="pct"/>
        <w:tblInd w:w="-431" w:type="dxa"/>
        <w:tblLayout w:type="fixed"/>
        <w:tblLook w:val="04A0" w:firstRow="1" w:lastRow="0" w:firstColumn="1" w:lastColumn="0" w:noHBand="0" w:noVBand="1"/>
      </w:tblPr>
      <w:tblGrid>
        <w:gridCol w:w="2127"/>
        <w:gridCol w:w="851"/>
        <w:gridCol w:w="992"/>
        <w:gridCol w:w="851"/>
        <w:gridCol w:w="992"/>
        <w:gridCol w:w="992"/>
        <w:gridCol w:w="992"/>
        <w:gridCol w:w="1985"/>
      </w:tblGrid>
      <w:tr w:rsidR="001672A5" w:rsidRPr="00CF5041" w14:paraId="1ACE53D7" w14:textId="77777777" w:rsidTr="00D93948">
        <w:trPr>
          <w:tblHeader/>
        </w:trPr>
        <w:tc>
          <w:tcPr>
            <w:tcW w:w="2127" w:type="dxa"/>
            <w:vMerge w:val="restart"/>
            <w:vAlign w:val="center"/>
            <w:hideMark/>
          </w:tcPr>
          <w:p w14:paraId="2153EE03" w14:textId="77777777" w:rsidR="00FE4823" w:rsidRPr="00CF5041" w:rsidRDefault="00FE4823">
            <w:pPr>
              <w:widowControl/>
              <w:spacing w:before="120" w:after="120"/>
              <w:jc w:val="center"/>
              <w:rPr>
                <w:color w:val="auto"/>
                <w:lang w:val="en-US" w:eastAsia="en-US"/>
              </w:rPr>
            </w:pPr>
            <w:r w:rsidRPr="00CF5041">
              <w:rPr>
                <w:b/>
                <w:bCs/>
                <w:color w:val="auto"/>
                <w:lang w:eastAsia="en-US"/>
              </w:rPr>
              <w:t>Khoản mục</w:t>
            </w:r>
          </w:p>
        </w:tc>
        <w:tc>
          <w:tcPr>
            <w:tcW w:w="1843" w:type="dxa"/>
            <w:gridSpan w:val="2"/>
            <w:hideMark/>
          </w:tcPr>
          <w:p w14:paraId="2BDEB4EB" w14:textId="77777777" w:rsidR="00FE4823" w:rsidRPr="00CF5041" w:rsidRDefault="00FE4823">
            <w:pPr>
              <w:widowControl/>
              <w:spacing w:before="120" w:after="120"/>
              <w:jc w:val="center"/>
              <w:rPr>
                <w:color w:val="auto"/>
                <w:lang w:val="en-US" w:eastAsia="en-US"/>
              </w:rPr>
            </w:pPr>
            <w:r w:rsidRPr="00CF5041">
              <w:rPr>
                <w:b/>
                <w:bCs/>
                <w:color w:val="auto"/>
                <w:lang w:eastAsia="en-US"/>
              </w:rPr>
              <w:t>Giá trị trên sổ sách</w:t>
            </w:r>
          </w:p>
        </w:tc>
        <w:tc>
          <w:tcPr>
            <w:tcW w:w="851" w:type="dxa"/>
            <w:vMerge w:val="restart"/>
            <w:vAlign w:val="center"/>
            <w:hideMark/>
          </w:tcPr>
          <w:p w14:paraId="19CF6E52" w14:textId="77777777" w:rsidR="00FE4823" w:rsidRPr="00CF5041" w:rsidRDefault="00FE4823">
            <w:pPr>
              <w:widowControl/>
              <w:spacing w:before="120" w:after="120"/>
              <w:jc w:val="center"/>
              <w:rPr>
                <w:color w:val="auto"/>
                <w:lang w:val="en-US" w:eastAsia="en-US"/>
              </w:rPr>
            </w:pPr>
            <w:r w:rsidRPr="00CF5041">
              <w:rPr>
                <w:b/>
                <w:bCs/>
                <w:color w:val="auto"/>
                <w:lang w:eastAsia="en-US"/>
              </w:rPr>
              <w:t>Tỷ lệ xác định</w:t>
            </w:r>
          </w:p>
        </w:tc>
        <w:tc>
          <w:tcPr>
            <w:tcW w:w="1984" w:type="dxa"/>
            <w:gridSpan w:val="2"/>
            <w:hideMark/>
          </w:tcPr>
          <w:p w14:paraId="45C7F630" w14:textId="77777777" w:rsidR="00FE4823" w:rsidRPr="00CF5041" w:rsidRDefault="00FE4823">
            <w:pPr>
              <w:widowControl/>
              <w:spacing w:before="120" w:after="120"/>
              <w:jc w:val="center"/>
              <w:rPr>
                <w:color w:val="auto"/>
                <w:lang w:val="en-US" w:eastAsia="en-US"/>
              </w:rPr>
            </w:pPr>
            <w:r w:rsidRPr="00CF5041">
              <w:rPr>
                <w:b/>
                <w:bCs/>
                <w:color w:val="auto"/>
                <w:lang w:eastAsia="en-US"/>
              </w:rPr>
              <w:t>Giá trị để tính toán</w:t>
            </w:r>
          </w:p>
        </w:tc>
        <w:tc>
          <w:tcPr>
            <w:tcW w:w="992" w:type="dxa"/>
            <w:vMerge w:val="restart"/>
            <w:vAlign w:val="center"/>
            <w:hideMark/>
          </w:tcPr>
          <w:p w14:paraId="233C6455" w14:textId="77777777" w:rsidR="00FE4823" w:rsidRPr="00CF5041" w:rsidRDefault="00FE4823">
            <w:pPr>
              <w:widowControl/>
              <w:spacing w:before="120" w:after="120"/>
              <w:jc w:val="center"/>
              <w:rPr>
                <w:color w:val="auto"/>
                <w:lang w:val="en-US" w:eastAsia="en-US"/>
              </w:rPr>
            </w:pPr>
            <w:r w:rsidRPr="00CF5041">
              <w:rPr>
                <w:b/>
                <w:bCs/>
                <w:color w:val="auto"/>
                <w:lang w:eastAsia="en-US"/>
              </w:rPr>
              <w:t>Tổng cộng</w:t>
            </w:r>
          </w:p>
        </w:tc>
        <w:tc>
          <w:tcPr>
            <w:tcW w:w="1985" w:type="dxa"/>
            <w:vMerge w:val="restart"/>
            <w:vAlign w:val="center"/>
            <w:hideMark/>
          </w:tcPr>
          <w:p w14:paraId="5EE1E300" w14:textId="77777777" w:rsidR="00FE4823" w:rsidRPr="00CF5041" w:rsidRDefault="00FE4823">
            <w:pPr>
              <w:widowControl/>
              <w:spacing w:before="120" w:after="120"/>
              <w:jc w:val="center"/>
              <w:rPr>
                <w:color w:val="auto"/>
                <w:lang w:val="en-US" w:eastAsia="en-US"/>
              </w:rPr>
            </w:pPr>
            <w:r w:rsidRPr="00CF5041">
              <w:rPr>
                <w:b/>
                <w:bCs/>
                <w:color w:val="auto"/>
                <w:lang w:eastAsia="en-US"/>
              </w:rPr>
              <w:t>Căn cứ xác định thời gian đến hạn/Ghi chú</w:t>
            </w:r>
          </w:p>
        </w:tc>
      </w:tr>
      <w:tr w:rsidR="001672A5" w:rsidRPr="00CF5041" w14:paraId="0A74B580" w14:textId="77777777" w:rsidTr="00D93948">
        <w:trPr>
          <w:trHeight w:val="1653"/>
          <w:tblHeader/>
        </w:trPr>
        <w:tc>
          <w:tcPr>
            <w:tcW w:w="2127" w:type="dxa"/>
            <w:vMerge/>
            <w:hideMark/>
          </w:tcPr>
          <w:p w14:paraId="7873149A" w14:textId="77777777" w:rsidR="00FE4823" w:rsidRPr="00CF5041" w:rsidRDefault="00FE4823" w:rsidP="00D93948">
            <w:pPr>
              <w:widowControl/>
              <w:spacing w:before="120" w:after="120"/>
              <w:rPr>
                <w:color w:val="auto"/>
                <w:sz w:val="26"/>
                <w:szCs w:val="26"/>
                <w:lang w:val="en-US" w:eastAsia="en-US"/>
              </w:rPr>
            </w:pPr>
          </w:p>
        </w:tc>
        <w:tc>
          <w:tcPr>
            <w:tcW w:w="851" w:type="dxa"/>
            <w:hideMark/>
          </w:tcPr>
          <w:p w14:paraId="71EA4C4E" w14:textId="64AF5D1D" w:rsidR="00FE4823" w:rsidRPr="00CF5041" w:rsidRDefault="00FE4823">
            <w:pPr>
              <w:widowControl/>
              <w:spacing w:before="120" w:after="120"/>
              <w:jc w:val="center"/>
              <w:rPr>
                <w:color w:val="auto"/>
                <w:lang w:val="en-US" w:eastAsia="en-US"/>
              </w:rPr>
            </w:pPr>
            <w:r w:rsidRPr="00CF5041">
              <w:rPr>
                <w:b/>
                <w:bCs/>
                <w:color w:val="auto"/>
                <w:lang w:eastAsia="en-US"/>
              </w:rPr>
              <w:t>Ngày tiếp theo</w:t>
            </w:r>
          </w:p>
        </w:tc>
        <w:tc>
          <w:tcPr>
            <w:tcW w:w="992" w:type="dxa"/>
            <w:hideMark/>
          </w:tcPr>
          <w:p w14:paraId="447E4FFC" w14:textId="77777777" w:rsidR="00FE4823" w:rsidRPr="00CF5041" w:rsidRDefault="00FE4823">
            <w:pPr>
              <w:widowControl/>
              <w:spacing w:before="120" w:after="120"/>
              <w:jc w:val="center"/>
              <w:rPr>
                <w:color w:val="auto"/>
                <w:lang w:val="en-US" w:eastAsia="en-US"/>
              </w:rPr>
            </w:pPr>
            <w:r w:rsidRPr="00CF5041">
              <w:rPr>
                <w:b/>
                <w:bCs/>
                <w:color w:val="auto"/>
                <w:lang w:eastAsia="en-US"/>
              </w:rPr>
              <w:t>Từ ngày thứ 2 đến ngày thứ 7</w:t>
            </w:r>
          </w:p>
        </w:tc>
        <w:tc>
          <w:tcPr>
            <w:tcW w:w="851" w:type="dxa"/>
            <w:vMerge/>
            <w:hideMark/>
          </w:tcPr>
          <w:p w14:paraId="3CCF55EE" w14:textId="77777777" w:rsidR="00FE4823" w:rsidRPr="00CF5041" w:rsidRDefault="00FE4823" w:rsidP="00D93948">
            <w:pPr>
              <w:widowControl/>
              <w:spacing w:before="120" w:after="120"/>
              <w:rPr>
                <w:color w:val="auto"/>
                <w:lang w:val="en-US" w:eastAsia="en-US"/>
              </w:rPr>
            </w:pPr>
          </w:p>
        </w:tc>
        <w:tc>
          <w:tcPr>
            <w:tcW w:w="992" w:type="dxa"/>
            <w:hideMark/>
          </w:tcPr>
          <w:p w14:paraId="79206E10" w14:textId="369412AE" w:rsidR="00FE4823" w:rsidRPr="00CF5041" w:rsidRDefault="00FE4823">
            <w:pPr>
              <w:widowControl/>
              <w:spacing w:before="120" w:after="120"/>
              <w:jc w:val="center"/>
              <w:rPr>
                <w:color w:val="auto"/>
                <w:lang w:val="en-US" w:eastAsia="en-US"/>
              </w:rPr>
            </w:pPr>
            <w:r w:rsidRPr="00CF5041">
              <w:rPr>
                <w:b/>
                <w:bCs/>
                <w:color w:val="auto"/>
                <w:lang w:eastAsia="en-US"/>
              </w:rPr>
              <w:t>Ngày tiếp theo</w:t>
            </w:r>
          </w:p>
        </w:tc>
        <w:tc>
          <w:tcPr>
            <w:tcW w:w="992" w:type="dxa"/>
            <w:hideMark/>
          </w:tcPr>
          <w:p w14:paraId="6C2B5D83" w14:textId="77777777" w:rsidR="00FE4823" w:rsidRPr="00CF5041" w:rsidRDefault="00FE4823">
            <w:pPr>
              <w:widowControl/>
              <w:spacing w:before="120" w:after="120"/>
              <w:jc w:val="center"/>
              <w:rPr>
                <w:color w:val="auto"/>
                <w:lang w:val="en-US" w:eastAsia="en-US"/>
              </w:rPr>
            </w:pPr>
            <w:r w:rsidRPr="00CF5041">
              <w:rPr>
                <w:b/>
                <w:bCs/>
                <w:color w:val="auto"/>
                <w:lang w:eastAsia="en-US"/>
              </w:rPr>
              <w:t>Từ ngày thứ 2 đến ngày thứ 7</w:t>
            </w:r>
          </w:p>
        </w:tc>
        <w:tc>
          <w:tcPr>
            <w:tcW w:w="992" w:type="dxa"/>
            <w:vMerge/>
            <w:hideMark/>
          </w:tcPr>
          <w:p w14:paraId="56AF549D" w14:textId="77777777" w:rsidR="00FE4823" w:rsidRPr="00CF5041" w:rsidRDefault="00FE4823" w:rsidP="00D93948">
            <w:pPr>
              <w:widowControl/>
              <w:spacing w:before="120" w:after="120"/>
              <w:rPr>
                <w:color w:val="auto"/>
                <w:sz w:val="26"/>
                <w:szCs w:val="26"/>
                <w:lang w:val="en-US" w:eastAsia="en-US"/>
              </w:rPr>
            </w:pPr>
          </w:p>
        </w:tc>
        <w:tc>
          <w:tcPr>
            <w:tcW w:w="1985" w:type="dxa"/>
            <w:vMerge/>
            <w:hideMark/>
          </w:tcPr>
          <w:p w14:paraId="1F4DE5C7" w14:textId="77777777" w:rsidR="00FE4823" w:rsidRPr="00CF5041" w:rsidRDefault="00FE4823" w:rsidP="00D93948">
            <w:pPr>
              <w:widowControl/>
              <w:spacing w:before="120" w:after="120"/>
              <w:rPr>
                <w:color w:val="auto"/>
                <w:sz w:val="26"/>
                <w:szCs w:val="26"/>
                <w:lang w:val="en-US" w:eastAsia="en-US"/>
              </w:rPr>
            </w:pPr>
          </w:p>
        </w:tc>
      </w:tr>
      <w:tr w:rsidR="001672A5" w:rsidRPr="00CF5041" w14:paraId="7F3EF6C8" w14:textId="77777777" w:rsidTr="00D93948">
        <w:trPr>
          <w:tblHeader/>
        </w:trPr>
        <w:tc>
          <w:tcPr>
            <w:tcW w:w="2127" w:type="dxa"/>
            <w:vMerge/>
            <w:hideMark/>
          </w:tcPr>
          <w:p w14:paraId="3A639770" w14:textId="77777777" w:rsidR="00FE4823" w:rsidRPr="00CF5041" w:rsidRDefault="00FE4823" w:rsidP="00D93948">
            <w:pPr>
              <w:widowControl/>
              <w:spacing w:before="120" w:after="120"/>
              <w:rPr>
                <w:color w:val="auto"/>
                <w:sz w:val="26"/>
                <w:szCs w:val="26"/>
                <w:lang w:val="en-US" w:eastAsia="en-US"/>
              </w:rPr>
            </w:pPr>
          </w:p>
        </w:tc>
        <w:tc>
          <w:tcPr>
            <w:tcW w:w="851" w:type="dxa"/>
            <w:hideMark/>
          </w:tcPr>
          <w:p w14:paraId="19B57669" w14:textId="77777777" w:rsidR="00FE4823" w:rsidRPr="00CF5041" w:rsidRDefault="00FE4823">
            <w:pPr>
              <w:widowControl/>
              <w:spacing w:before="120" w:after="120"/>
              <w:jc w:val="center"/>
              <w:rPr>
                <w:color w:val="auto"/>
                <w:sz w:val="22"/>
                <w:szCs w:val="22"/>
                <w:lang w:val="en-US" w:eastAsia="en-US"/>
              </w:rPr>
            </w:pPr>
            <w:r w:rsidRPr="00CF5041">
              <w:rPr>
                <w:b/>
                <w:bCs/>
                <w:color w:val="auto"/>
                <w:sz w:val="22"/>
                <w:szCs w:val="22"/>
                <w:lang w:eastAsia="en-US"/>
              </w:rPr>
              <w:t>(1)</w:t>
            </w:r>
          </w:p>
        </w:tc>
        <w:tc>
          <w:tcPr>
            <w:tcW w:w="992" w:type="dxa"/>
            <w:hideMark/>
          </w:tcPr>
          <w:p w14:paraId="618C6200" w14:textId="77777777" w:rsidR="00FE4823" w:rsidRPr="00CF5041" w:rsidRDefault="00FE4823">
            <w:pPr>
              <w:widowControl/>
              <w:spacing w:before="120" w:after="120"/>
              <w:jc w:val="center"/>
              <w:rPr>
                <w:color w:val="auto"/>
                <w:sz w:val="22"/>
                <w:szCs w:val="22"/>
                <w:lang w:val="en-US" w:eastAsia="en-US"/>
              </w:rPr>
            </w:pPr>
            <w:r w:rsidRPr="00CF5041">
              <w:rPr>
                <w:b/>
                <w:bCs/>
                <w:color w:val="auto"/>
                <w:sz w:val="22"/>
                <w:szCs w:val="22"/>
                <w:lang w:eastAsia="en-US"/>
              </w:rPr>
              <w:t>(2)</w:t>
            </w:r>
          </w:p>
        </w:tc>
        <w:tc>
          <w:tcPr>
            <w:tcW w:w="851" w:type="dxa"/>
            <w:hideMark/>
          </w:tcPr>
          <w:p w14:paraId="61987B41" w14:textId="77777777" w:rsidR="00FE4823" w:rsidRPr="00CF5041" w:rsidRDefault="00FE4823">
            <w:pPr>
              <w:widowControl/>
              <w:spacing w:before="120" w:after="120"/>
              <w:jc w:val="center"/>
              <w:rPr>
                <w:color w:val="auto"/>
                <w:sz w:val="22"/>
                <w:szCs w:val="22"/>
                <w:lang w:val="en-US" w:eastAsia="en-US"/>
              </w:rPr>
            </w:pPr>
            <w:r w:rsidRPr="00CF5041">
              <w:rPr>
                <w:b/>
                <w:bCs/>
                <w:color w:val="auto"/>
                <w:sz w:val="22"/>
                <w:szCs w:val="22"/>
                <w:lang w:eastAsia="en-US"/>
              </w:rPr>
              <w:t>(3)</w:t>
            </w:r>
          </w:p>
        </w:tc>
        <w:tc>
          <w:tcPr>
            <w:tcW w:w="992" w:type="dxa"/>
            <w:hideMark/>
          </w:tcPr>
          <w:p w14:paraId="2D4E8C14" w14:textId="77777777" w:rsidR="0051332B" w:rsidRPr="00CF5041" w:rsidRDefault="0051332B">
            <w:pPr>
              <w:widowControl/>
              <w:spacing w:before="120" w:after="120"/>
              <w:jc w:val="center"/>
              <w:rPr>
                <w:b/>
                <w:bCs/>
                <w:color w:val="auto"/>
                <w:sz w:val="22"/>
                <w:szCs w:val="22"/>
                <w:lang w:eastAsia="en-US"/>
              </w:rPr>
            </w:pPr>
            <w:r w:rsidRPr="00CF5041">
              <w:rPr>
                <w:b/>
                <w:bCs/>
                <w:color w:val="auto"/>
                <w:sz w:val="22"/>
                <w:szCs w:val="22"/>
                <w:lang w:eastAsia="en-US"/>
              </w:rPr>
              <w:t>(4) =</w:t>
            </w:r>
          </w:p>
          <w:p w14:paraId="31BD63FA" w14:textId="396099AE" w:rsidR="00FE4823" w:rsidRPr="00CF5041" w:rsidRDefault="0051332B">
            <w:pPr>
              <w:widowControl/>
              <w:spacing w:before="120" w:after="120"/>
              <w:jc w:val="center"/>
              <w:rPr>
                <w:b/>
                <w:bCs/>
                <w:color w:val="auto"/>
                <w:sz w:val="22"/>
                <w:szCs w:val="22"/>
                <w:lang w:eastAsia="en-US"/>
              </w:rPr>
            </w:pPr>
            <w:r w:rsidRPr="00CF5041">
              <w:rPr>
                <w:b/>
                <w:bCs/>
                <w:color w:val="auto"/>
                <w:sz w:val="22"/>
                <w:szCs w:val="22"/>
                <w:lang w:eastAsia="en-US"/>
              </w:rPr>
              <w:t>(1) x</w:t>
            </w:r>
            <w:r w:rsidRPr="00CF5041">
              <w:rPr>
                <w:b/>
                <w:bCs/>
                <w:color w:val="auto"/>
                <w:sz w:val="22"/>
                <w:szCs w:val="22"/>
                <w:lang w:val="en-US" w:eastAsia="en-US"/>
              </w:rPr>
              <w:t xml:space="preserve"> </w:t>
            </w:r>
            <w:r w:rsidR="00FE4823" w:rsidRPr="00CF5041">
              <w:rPr>
                <w:b/>
                <w:bCs/>
                <w:color w:val="auto"/>
                <w:sz w:val="22"/>
                <w:szCs w:val="22"/>
                <w:lang w:eastAsia="en-US"/>
              </w:rPr>
              <w:t>(3)</w:t>
            </w:r>
          </w:p>
        </w:tc>
        <w:tc>
          <w:tcPr>
            <w:tcW w:w="992" w:type="dxa"/>
            <w:hideMark/>
          </w:tcPr>
          <w:p w14:paraId="7F3A016C" w14:textId="77777777" w:rsidR="0051332B" w:rsidRPr="00CF5041" w:rsidRDefault="00FE4823">
            <w:pPr>
              <w:widowControl/>
              <w:spacing w:before="120" w:after="120"/>
              <w:jc w:val="center"/>
              <w:rPr>
                <w:b/>
                <w:bCs/>
                <w:color w:val="auto"/>
                <w:sz w:val="22"/>
                <w:szCs w:val="22"/>
                <w:lang w:eastAsia="en-US"/>
              </w:rPr>
            </w:pPr>
            <w:r w:rsidRPr="00CF5041">
              <w:rPr>
                <w:b/>
                <w:bCs/>
                <w:color w:val="auto"/>
                <w:sz w:val="22"/>
                <w:szCs w:val="22"/>
                <w:lang w:eastAsia="en-US"/>
              </w:rPr>
              <w:t>(5) =</w:t>
            </w:r>
          </w:p>
          <w:p w14:paraId="49B12EDC" w14:textId="06A392B2" w:rsidR="00FE4823" w:rsidRPr="00CF5041" w:rsidRDefault="0051332B">
            <w:pPr>
              <w:widowControl/>
              <w:spacing w:before="120" w:after="120"/>
              <w:rPr>
                <w:b/>
                <w:bCs/>
                <w:color w:val="auto"/>
                <w:sz w:val="22"/>
                <w:szCs w:val="22"/>
                <w:lang w:eastAsia="en-US"/>
              </w:rPr>
            </w:pPr>
            <w:r w:rsidRPr="00CF5041">
              <w:rPr>
                <w:b/>
                <w:bCs/>
                <w:color w:val="auto"/>
                <w:sz w:val="22"/>
                <w:szCs w:val="22"/>
                <w:lang w:eastAsia="en-US"/>
              </w:rPr>
              <w:t xml:space="preserve">(2) x </w:t>
            </w:r>
            <w:r w:rsidR="00FE4823" w:rsidRPr="00CF5041">
              <w:rPr>
                <w:b/>
                <w:bCs/>
                <w:color w:val="auto"/>
                <w:sz w:val="22"/>
                <w:szCs w:val="22"/>
                <w:lang w:eastAsia="en-US"/>
              </w:rPr>
              <w:t>(3)</w:t>
            </w:r>
          </w:p>
        </w:tc>
        <w:tc>
          <w:tcPr>
            <w:tcW w:w="992" w:type="dxa"/>
            <w:hideMark/>
          </w:tcPr>
          <w:p w14:paraId="2D5F7AE0" w14:textId="77777777" w:rsidR="00FE4823" w:rsidRPr="00CF5041" w:rsidRDefault="00FE4823">
            <w:pPr>
              <w:widowControl/>
              <w:spacing w:before="120" w:after="120"/>
              <w:jc w:val="center"/>
              <w:rPr>
                <w:color w:val="auto"/>
                <w:sz w:val="22"/>
                <w:szCs w:val="22"/>
                <w:lang w:val="en-US" w:eastAsia="en-US"/>
              </w:rPr>
            </w:pPr>
            <w:r w:rsidRPr="00CF5041">
              <w:rPr>
                <w:b/>
                <w:bCs/>
                <w:color w:val="auto"/>
                <w:sz w:val="22"/>
                <w:szCs w:val="22"/>
                <w:lang w:eastAsia="en-US"/>
              </w:rPr>
              <w:t>(6) = (4) + (5)</w:t>
            </w:r>
          </w:p>
        </w:tc>
        <w:tc>
          <w:tcPr>
            <w:tcW w:w="1985" w:type="dxa"/>
            <w:hideMark/>
          </w:tcPr>
          <w:p w14:paraId="42F9ABC2" w14:textId="77777777" w:rsidR="00FE4823" w:rsidRPr="00CF5041" w:rsidRDefault="00FE4823" w:rsidP="00D93948">
            <w:pPr>
              <w:widowControl/>
              <w:spacing w:before="120" w:after="120"/>
              <w:rPr>
                <w:color w:val="auto"/>
                <w:lang w:val="en-US" w:eastAsia="en-US"/>
              </w:rPr>
            </w:pPr>
          </w:p>
        </w:tc>
      </w:tr>
      <w:tr w:rsidR="001672A5" w:rsidRPr="00CF5041" w14:paraId="5F992FF5" w14:textId="77777777" w:rsidTr="00855670">
        <w:tc>
          <w:tcPr>
            <w:tcW w:w="2127" w:type="dxa"/>
            <w:hideMark/>
          </w:tcPr>
          <w:p w14:paraId="2D8E5789" w14:textId="783CDE0B" w:rsidR="00FE4823" w:rsidRPr="00CF5041" w:rsidRDefault="00046752">
            <w:pPr>
              <w:widowControl/>
              <w:spacing w:before="120" w:after="120"/>
              <w:jc w:val="both"/>
              <w:rPr>
                <w:color w:val="auto"/>
                <w:lang w:val="en-US" w:eastAsia="en-US"/>
              </w:rPr>
            </w:pPr>
            <w:r w:rsidRPr="00CF5041">
              <w:rPr>
                <w:b/>
                <w:bCs/>
                <w:color w:val="auto"/>
                <w:lang w:eastAsia="en-US"/>
              </w:rPr>
              <w:t>I. Tài sản“Có” có thể thanh t</w:t>
            </w:r>
            <w:r w:rsidR="00FE4823" w:rsidRPr="00CF5041">
              <w:rPr>
                <w:b/>
                <w:bCs/>
                <w:color w:val="auto"/>
                <w:lang w:eastAsia="en-US"/>
              </w:rPr>
              <w:t>oán ngay (I=1+2+3+ 4+5+6+7+8)</w:t>
            </w:r>
          </w:p>
        </w:tc>
        <w:tc>
          <w:tcPr>
            <w:tcW w:w="851" w:type="dxa"/>
            <w:hideMark/>
          </w:tcPr>
          <w:p w14:paraId="48C0E66E" w14:textId="77777777" w:rsidR="00FE4823" w:rsidRPr="00CF5041" w:rsidRDefault="00FE4823" w:rsidP="00D93948">
            <w:pPr>
              <w:widowControl/>
              <w:spacing w:before="120" w:after="120"/>
              <w:jc w:val="both"/>
              <w:rPr>
                <w:color w:val="auto"/>
                <w:lang w:val="en-US" w:eastAsia="en-US"/>
              </w:rPr>
            </w:pPr>
          </w:p>
        </w:tc>
        <w:tc>
          <w:tcPr>
            <w:tcW w:w="992" w:type="dxa"/>
            <w:hideMark/>
          </w:tcPr>
          <w:p w14:paraId="2B54E4A0" w14:textId="77777777" w:rsidR="00FE4823" w:rsidRPr="00CF5041" w:rsidRDefault="00FE4823" w:rsidP="00D93948">
            <w:pPr>
              <w:widowControl/>
              <w:spacing w:before="120" w:after="120"/>
              <w:jc w:val="both"/>
              <w:rPr>
                <w:color w:val="auto"/>
                <w:lang w:val="en-US" w:eastAsia="en-US"/>
              </w:rPr>
            </w:pPr>
          </w:p>
        </w:tc>
        <w:tc>
          <w:tcPr>
            <w:tcW w:w="851" w:type="dxa"/>
            <w:hideMark/>
          </w:tcPr>
          <w:p w14:paraId="72D39FB8" w14:textId="77777777" w:rsidR="00FE4823" w:rsidRPr="00CF5041" w:rsidRDefault="00FE4823" w:rsidP="00D93948">
            <w:pPr>
              <w:widowControl/>
              <w:spacing w:before="120" w:after="120"/>
              <w:jc w:val="both"/>
              <w:rPr>
                <w:color w:val="auto"/>
                <w:lang w:val="en-US" w:eastAsia="en-US"/>
              </w:rPr>
            </w:pPr>
          </w:p>
        </w:tc>
        <w:tc>
          <w:tcPr>
            <w:tcW w:w="992" w:type="dxa"/>
            <w:hideMark/>
          </w:tcPr>
          <w:p w14:paraId="3BA34EA1" w14:textId="77777777" w:rsidR="00FE4823" w:rsidRPr="00CF5041" w:rsidRDefault="00FE4823" w:rsidP="00D93948">
            <w:pPr>
              <w:widowControl/>
              <w:spacing w:before="120" w:after="120"/>
              <w:jc w:val="both"/>
              <w:rPr>
                <w:color w:val="auto"/>
                <w:lang w:val="en-US" w:eastAsia="en-US"/>
              </w:rPr>
            </w:pPr>
          </w:p>
        </w:tc>
        <w:tc>
          <w:tcPr>
            <w:tcW w:w="992" w:type="dxa"/>
            <w:hideMark/>
          </w:tcPr>
          <w:p w14:paraId="030C48D7" w14:textId="77777777" w:rsidR="00FE4823" w:rsidRPr="00CF5041" w:rsidRDefault="00FE4823" w:rsidP="00D93948">
            <w:pPr>
              <w:widowControl/>
              <w:spacing w:before="120" w:after="120"/>
              <w:jc w:val="both"/>
              <w:rPr>
                <w:color w:val="auto"/>
                <w:lang w:val="en-US" w:eastAsia="en-US"/>
              </w:rPr>
            </w:pPr>
            <w:r w:rsidRPr="00CF5041">
              <w:rPr>
                <w:color w:val="auto"/>
                <w:lang w:eastAsia="en-US"/>
              </w:rPr>
              <w:t>Không điền</w:t>
            </w:r>
          </w:p>
        </w:tc>
        <w:tc>
          <w:tcPr>
            <w:tcW w:w="992" w:type="dxa"/>
            <w:hideMark/>
          </w:tcPr>
          <w:p w14:paraId="09530520" w14:textId="77777777" w:rsidR="00FE4823" w:rsidRPr="00CF5041" w:rsidRDefault="00FE4823" w:rsidP="00D93948">
            <w:pPr>
              <w:widowControl/>
              <w:spacing w:before="120" w:after="120"/>
              <w:jc w:val="both"/>
              <w:rPr>
                <w:color w:val="auto"/>
                <w:lang w:val="en-US" w:eastAsia="en-US"/>
              </w:rPr>
            </w:pPr>
          </w:p>
        </w:tc>
        <w:tc>
          <w:tcPr>
            <w:tcW w:w="1985" w:type="dxa"/>
            <w:hideMark/>
          </w:tcPr>
          <w:p w14:paraId="50F845C3" w14:textId="77777777" w:rsidR="00FE4823" w:rsidRPr="00CF5041" w:rsidRDefault="00FE4823" w:rsidP="00D93948">
            <w:pPr>
              <w:widowControl/>
              <w:spacing w:before="120" w:after="120"/>
              <w:jc w:val="both"/>
              <w:rPr>
                <w:color w:val="auto"/>
                <w:lang w:val="en-US" w:eastAsia="en-US"/>
              </w:rPr>
            </w:pPr>
          </w:p>
        </w:tc>
      </w:tr>
      <w:tr w:rsidR="001672A5" w:rsidRPr="00CF5041" w14:paraId="6D3EBEDE" w14:textId="77777777" w:rsidTr="00855670">
        <w:tc>
          <w:tcPr>
            <w:tcW w:w="2127" w:type="dxa"/>
            <w:hideMark/>
          </w:tcPr>
          <w:p w14:paraId="12D1AAAA" w14:textId="77777777" w:rsidR="00FE4823" w:rsidRPr="00CF5041" w:rsidRDefault="00FE4823" w:rsidP="00D93948">
            <w:pPr>
              <w:widowControl/>
              <w:spacing w:before="120" w:after="120"/>
              <w:jc w:val="both"/>
              <w:rPr>
                <w:color w:val="auto"/>
                <w:lang w:val="en-US" w:eastAsia="en-US"/>
              </w:rPr>
            </w:pPr>
            <w:r w:rsidRPr="00CF5041">
              <w:rPr>
                <w:color w:val="auto"/>
                <w:lang w:eastAsia="en-US"/>
              </w:rPr>
              <w:t>1. Tiền mặt tại quỹ</w:t>
            </w:r>
          </w:p>
        </w:tc>
        <w:tc>
          <w:tcPr>
            <w:tcW w:w="851" w:type="dxa"/>
            <w:hideMark/>
          </w:tcPr>
          <w:p w14:paraId="108CFB60" w14:textId="77777777" w:rsidR="00FE4823" w:rsidRPr="00CF5041" w:rsidRDefault="00FE4823" w:rsidP="00D93948">
            <w:pPr>
              <w:widowControl/>
              <w:spacing w:before="120" w:after="120"/>
              <w:jc w:val="both"/>
              <w:rPr>
                <w:color w:val="auto"/>
                <w:lang w:val="en-US" w:eastAsia="en-US"/>
              </w:rPr>
            </w:pPr>
          </w:p>
        </w:tc>
        <w:tc>
          <w:tcPr>
            <w:tcW w:w="992" w:type="dxa"/>
            <w:hideMark/>
          </w:tcPr>
          <w:p w14:paraId="0B944D85" w14:textId="77777777" w:rsidR="00FE4823" w:rsidRPr="00CF5041" w:rsidRDefault="00FE4823" w:rsidP="00D93948">
            <w:pPr>
              <w:widowControl/>
              <w:spacing w:before="120" w:after="120"/>
              <w:jc w:val="both"/>
              <w:rPr>
                <w:color w:val="auto"/>
                <w:lang w:val="en-US" w:eastAsia="en-US"/>
              </w:rPr>
            </w:pPr>
            <w:r w:rsidRPr="00CF5041">
              <w:rPr>
                <w:color w:val="auto"/>
                <w:lang w:eastAsia="en-US"/>
              </w:rPr>
              <w:t>Không điền</w:t>
            </w:r>
          </w:p>
        </w:tc>
        <w:tc>
          <w:tcPr>
            <w:tcW w:w="851" w:type="dxa"/>
            <w:hideMark/>
          </w:tcPr>
          <w:p w14:paraId="536EB145" w14:textId="77777777" w:rsidR="00FE4823" w:rsidRPr="00CF5041" w:rsidRDefault="00FE4823" w:rsidP="00D93948">
            <w:pPr>
              <w:widowControl/>
              <w:spacing w:before="120" w:after="120"/>
              <w:jc w:val="both"/>
              <w:rPr>
                <w:color w:val="auto"/>
                <w:lang w:val="en-US" w:eastAsia="en-US"/>
              </w:rPr>
            </w:pPr>
            <w:r w:rsidRPr="00CF5041">
              <w:rPr>
                <w:color w:val="auto"/>
                <w:lang w:eastAsia="en-US"/>
              </w:rPr>
              <w:t>100%</w:t>
            </w:r>
          </w:p>
        </w:tc>
        <w:tc>
          <w:tcPr>
            <w:tcW w:w="992" w:type="dxa"/>
            <w:hideMark/>
          </w:tcPr>
          <w:p w14:paraId="5893889E" w14:textId="77777777" w:rsidR="00FE4823" w:rsidRPr="00CF5041" w:rsidRDefault="00FE4823" w:rsidP="00D93948">
            <w:pPr>
              <w:widowControl/>
              <w:spacing w:before="120" w:after="120"/>
              <w:jc w:val="both"/>
              <w:rPr>
                <w:color w:val="auto"/>
                <w:lang w:val="en-US" w:eastAsia="en-US"/>
              </w:rPr>
            </w:pPr>
          </w:p>
        </w:tc>
        <w:tc>
          <w:tcPr>
            <w:tcW w:w="992" w:type="dxa"/>
            <w:hideMark/>
          </w:tcPr>
          <w:p w14:paraId="2EED0C76" w14:textId="77777777" w:rsidR="00FE4823" w:rsidRPr="00CF5041" w:rsidRDefault="00FE4823" w:rsidP="00D93948">
            <w:pPr>
              <w:widowControl/>
              <w:spacing w:before="120" w:after="120"/>
              <w:jc w:val="both"/>
              <w:rPr>
                <w:color w:val="auto"/>
                <w:lang w:val="en-US" w:eastAsia="en-US"/>
              </w:rPr>
            </w:pPr>
            <w:r w:rsidRPr="00CF5041">
              <w:rPr>
                <w:color w:val="auto"/>
                <w:lang w:eastAsia="en-US"/>
              </w:rPr>
              <w:t>Không điền</w:t>
            </w:r>
          </w:p>
        </w:tc>
        <w:tc>
          <w:tcPr>
            <w:tcW w:w="992" w:type="dxa"/>
            <w:hideMark/>
          </w:tcPr>
          <w:p w14:paraId="5703D665" w14:textId="77777777" w:rsidR="00FE4823" w:rsidRPr="00CF5041" w:rsidRDefault="00FE4823" w:rsidP="00D93948">
            <w:pPr>
              <w:widowControl/>
              <w:spacing w:before="120" w:after="120"/>
              <w:jc w:val="both"/>
              <w:rPr>
                <w:color w:val="auto"/>
                <w:lang w:val="en-US" w:eastAsia="en-US"/>
              </w:rPr>
            </w:pPr>
          </w:p>
        </w:tc>
        <w:tc>
          <w:tcPr>
            <w:tcW w:w="1985" w:type="dxa"/>
            <w:hideMark/>
          </w:tcPr>
          <w:p w14:paraId="4944BE20" w14:textId="77777777" w:rsidR="00FE4823" w:rsidRPr="00CF5041" w:rsidRDefault="00FE4823" w:rsidP="00D93948">
            <w:pPr>
              <w:widowControl/>
              <w:spacing w:before="120" w:after="120"/>
              <w:jc w:val="both"/>
              <w:rPr>
                <w:color w:val="auto"/>
                <w:lang w:val="en-US" w:eastAsia="en-US"/>
              </w:rPr>
            </w:pPr>
            <w:r w:rsidRPr="00CF5041">
              <w:rPr>
                <w:color w:val="auto"/>
                <w:lang w:eastAsia="en-US"/>
              </w:rPr>
              <w:t>Số dư cuối ngày báo cáo</w:t>
            </w:r>
          </w:p>
        </w:tc>
      </w:tr>
      <w:tr w:rsidR="001672A5" w:rsidRPr="00CF5041" w14:paraId="4AEBE23E" w14:textId="77777777" w:rsidTr="00855670">
        <w:tc>
          <w:tcPr>
            <w:tcW w:w="2127" w:type="dxa"/>
            <w:hideMark/>
          </w:tcPr>
          <w:p w14:paraId="1B2D4469" w14:textId="74881581" w:rsidR="00FE4823" w:rsidRPr="00CF5041" w:rsidRDefault="00FE4823" w:rsidP="00D93948">
            <w:pPr>
              <w:widowControl/>
              <w:spacing w:before="120" w:after="120"/>
              <w:jc w:val="both"/>
              <w:rPr>
                <w:color w:val="auto"/>
                <w:lang w:val="en-US" w:eastAsia="en-US"/>
              </w:rPr>
            </w:pPr>
            <w:r w:rsidRPr="00CF5041">
              <w:rPr>
                <w:color w:val="auto"/>
                <w:lang w:eastAsia="en-US"/>
              </w:rPr>
              <w:t>2. Tiền gửi tại Ngân hàng Nhà nước</w:t>
            </w:r>
            <w:r w:rsidR="003B7137" w:rsidRPr="00CF5041">
              <w:rPr>
                <w:color w:val="auto"/>
                <w:lang w:val="en-US" w:eastAsia="en-US"/>
              </w:rPr>
              <w:t xml:space="preserve"> Việt Nam</w:t>
            </w:r>
          </w:p>
        </w:tc>
        <w:tc>
          <w:tcPr>
            <w:tcW w:w="851" w:type="dxa"/>
            <w:hideMark/>
          </w:tcPr>
          <w:p w14:paraId="32A62A11" w14:textId="77777777" w:rsidR="00FE4823" w:rsidRPr="00CF5041" w:rsidRDefault="00FE4823" w:rsidP="00D93948">
            <w:pPr>
              <w:widowControl/>
              <w:spacing w:before="120" w:after="120"/>
              <w:jc w:val="both"/>
              <w:rPr>
                <w:color w:val="auto"/>
                <w:lang w:val="en-US" w:eastAsia="en-US"/>
              </w:rPr>
            </w:pPr>
          </w:p>
        </w:tc>
        <w:tc>
          <w:tcPr>
            <w:tcW w:w="992" w:type="dxa"/>
            <w:hideMark/>
          </w:tcPr>
          <w:p w14:paraId="2BA89150" w14:textId="77777777" w:rsidR="00FE4823" w:rsidRPr="00CF5041" w:rsidRDefault="00FE4823" w:rsidP="00D93948">
            <w:pPr>
              <w:widowControl/>
              <w:spacing w:before="120" w:after="120"/>
              <w:jc w:val="both"/>
              <w:rPr>
                <w:color w:val="auto"/>
                <w:lang w:val="en-US" w:eastAsia="en-US"/>
              </w:rPr>
            </w:pPr>
            <w:r w:rsidRPr="00CF5041">
              <w:rPr>
                <w:color w:val="auto"/>
                <w:lang w:eastAsia="en-US"/>
              </w:rPr>
              <w:t>Không điền</w:t>
            </w:r>
          </w:p>
        </w:tc>
        <w:tc>
          <w:tcPr>
            <w:tcW w:w="851" w:type="dxa"/>
            <w:hideMark/>
          </w:tcPr>
          <w:p w14:paraId="7CDB7A4F" w14:textId="77777777" w:rsidR="00FE4823" w:rsidRPr="00CF5041" w:rsidRDefault="00FE4823" w:rsidP="00D93948">
            <w:pPr>
              <w:widowControl/>
              <w:spacing w:before="120" w:after="120"/>
              <w:jc w:val="both"/>
              <w:rPr>
                <w:color w:val="auto"/>
                <w:lang w:val="en-US" w:eastAsia="en-US"/>
              </w:rPr>
            </w:pPr>
            <w:r w:rsidRPr="00CF5041">
              <w:rPr>
                <w:color w:val="auto"/>
                <w:lang w:eastAsia="en-US"/>
              </w:rPr>
              <w:t>100%</w:t>
            </w:r>
          </w:p>
        </w:tc>
        <w:tc>
          <w:tcPr>
            <w:tcW w:w="992" w:type="dxa"/>
            <w:hideMark/>
          </w:tcPr>
          <w:p w14:paraId="0AF01726" w14:textId="77777777" w:rsidR="00FE4823" w:rsidRPr="00CF5041" w:rsidRDefault="00FE4823" w:rsidP="00D93948">
            <w:pPr>
              <w:widowControl/>
              <w:spacing w:before="120" w:after="120"/>
              <w:jc w:val="both"/>
              <w:rPr>
                <w:color w:val="auto"/>
                <w:lang w:val="en-US" w:eastAsia="en-US"/>
              </w:rPr>
            </w:pPr>
          </w:p>
        </w:tc>
        <w:tc>
          <w:tcPr>
            <w:tcW w:w="992" w:type="dxa"/>
            <w:hideMark/>
          </w:tcPr>
          <w:p w14:paraId="37B4B664" w14:textId="77777777" w:rsidR="00FE4823" w:rsidRPr="00CF5041" w:rsidRDefault="00FE4823" w:rsidP="00D93948">
            <w:pPr>
              <w:widowControl/>
              <w:spacing w:before="120" w:after="120"/>
              <w:jc w:val="both"/>
              <w:rPr>
                <w:color w:val="auto"/>
                <w:lang w:val="en-US" w:eastAsia="en-US"/>
              </w:rPr>
            </w:pPr>
            <w:r w:rsidRPr="00CF5041">
              <w:rPr>
                <w:color w:val="auto"/>
                <w:lang w:eastAsia="en-US"/>
              </w:rPr>
              <w:t>Không điền</w:t>
            </w:r>
          </w:p>
        </w:tc>
        <w:tc>
          <w:tcPr>
            <w:tcW w:w="992" w:type="dxa"/>
            <w:hideMark/>
          </w:tcPr>
          <w:p w14:paraId="2AC5ECE7" w14:textId="77777777" w:rsidR="00FE4823" w:rsidRPr="00CF5041" w:rsidRDefault="00FE4823" w:rsidP="00D93948">
            <w:pPr>
              <w:widowControl/>
              <w:spacing w:before="120" w:after="120"/>
              <w:jc w:val="both"/>
              <w:rPr>
                <w:color w:val="auto"/>
                <w:lang w:val="en-US" w:eastAsia="en-US"/>
              </w:rPr>
            </w:pPr>
          </w:p>
        </w:tc>
        <w:tc>
          <w:tcPr>
            <w:tcW w:w="1985" w:type="dxa"/>
            <w:hideMark/>
          </w:tcPr>
          <w:p w14:paraId="061E13D7" w14:textId="77777777" w:rsidR="00FE4823" w:rsidRPr="00CF5041" w:rsidRDefault="00FE4823" w:rsidP="00D93948">
            <w:pPr>
              <w:widowControl/>
              <w:spacing w:before="120" w:after="120"/>
              <w:jc w:val="both"/>
              <w:rPr>
                <w:color w:val="auto"/>
                <w:lang w:val="en-US" w:eastAsia="en-US"/>
              </w:rPr>
            </w:pPr>
            <w:r w:rsidRPr="00CF5041">
              <w:rPr>
                <w:color w:val="auto"/>
                <w:lang w:eastAsia="en-US"/>
              </w:rPr>
              <w:t>Số dư cuối ngày báo cáo</w:t>
            </w:r>
          </w:p>
        </w:tc>
      </w:tr>
      <w:tr w:rsidR="001672A5" w:rsidRPr="00CF5041" w14:paraId="14726293" w14:textId="77777777" w:rsidTr="00855670">
        <w:tc>
          <w:tcPr>
            <w:tcW w:w="2127" w:type="dxa"/>
            <w:hideMark/>
          </w:tcPr>
          <w:p w14:paraId="565334C5" w14:textId="77777777" w:rsidR="00FE4823" w:rsidRPr="00CF5041" w:rsidRDefault="00FE4823" w:rsidP="00D93948">
            <w:pPr>
              <w:widowControl/>
              <w:spacing w:before="120" w:after="120"/>
              <w:jc w:val="both"/>
              <w:rPr>
                <w:color w:val="auto"/>
                <w:lang w:val="en-US" w:eastAsia="en-US"/>
              </w:rPr>
            </w:pPr>
            <w:r w:rsidRPr="00CF5041">
              <w:rPr>
                <w:color w:val="auto"/>
                <w:lang w:eastAsia="en-US"/>
              </w:rPr>
              <w:t>3. Tiền gửi không kỳ hạn tại ngân hàng hợp tác xã (trừ số dư </w:t>
            </w:r>
            <w:r w:rsidRPr="00CF5041">
              <w:rPr>
                <w:color w:val="auto"/>
                <w:lang w:val="pt-BR" w:eastAsia="en-US"/>
              </w:rPr>
              <w:t>tiền gửi của quỹ tín dụng nhân dân để đảm bảo khoản vay của quỹ tín dụng nhân dân tại NHHTX)</w:t>
            </w:r>
          </w:p>
        </w:tc>
        <w:tc>
          <w:tcPr>
            <w:tcW w:w="851" w:type="dxa"/>
            <w:hideMark/>
          </w:tcPr>
          <w:p w14:paraId="511C5803" w14:textId="77777777" w:rsidR="00FE4823" w:rsidRPr="00CF5041" w:rsidRDefault="00FE4823" w:rsidP="00D93948">
            <w:pPr>
              <w:widowControl/>
              <w:spacing w:before="120" w:after="120"/>
              <w:jc w:val="both"/>
              <w:rPr>
                <w:color w:val="auto"/>
                <w:lang w:val="en-US" w:eastAsia="en-US"/>
              </w:rPr>
            </w:pPr>
          </w:p>
        </w:tc>
        <w:tc>
          <w:tcPr>
            <w:tcW w:w="992" w:type="dxa"/>
            <w:hideMark/>
          </w:tcPr>
          <w:p w14:paraId="47693AE3" w14:textId="77777777" w:rsidR="00FE4823" w:rsidRPr="00CF5041" w:rsidRDefault="00FE4823" w:rsidP="00D93948">
            <w:pPr>
              <w:widowControl/>
              <w:spacing w:before="120" w:after="120"/>
              <w:jc w:val="both"/>
              <w:rPr>
                <w:color w:val="auto"/>
                <w:lang w:val="en-US" w:eastAsia="en-US"/>
              </w:rPr>
            </w:pPr>
            <w:r w:rsidRPr="00CF5041">
              <w:rPr>
                <w:color w:val="auto"/>
                <w:lang w:eastAsia="en-US"/>
              </w:rPr>
              <w:t>Không điền</w:t>
            </w:r>
          </w:p>
        </w:tc>
        <w:tc>
          <w:tcPr>
            <w:tcW w:w="851" w:type="dxa"/>
            <w:hideMark/>
          </w:tcPr>
          <w:p w14:paraId="2B050177" w14:textId="77777777" w:rsidR="00FE4823" w:rsidRPr="00CF5041" w:rsidRDefault="00FE4823" w:rsidP="00D93948">
            <w:pPr>
              <w:widowControl/>
              <w:spacing w:before="120" w:after="120"/>
              <w:jc w:val="both"/>
              <w:rPr>
                <w:color w:val="auto"/>
                <w:lang w:val="en-US" w:eastAsia="en-US"/>
              </w:rPr>
            </w:pPr>
            <w:r w:rsidRPr="00CF5041">
              <w:rPr>
                <w:color w:val="auto"/>
                <w:lang w:eastAsia="en-US"/>
              </w:rPr>
              <w:t>100%</w:t>
            </w:r>
          </w:p>
        </w:tc>
        <w:tc>
          <w:tcPr>
            <w:tcW w:w="992" w:type="dxa"/>
            <w:hideMark/>
          </w:tcPr>
          <w:p w14:paraId="7A15F464" w14:textId="77777777" w:rsidR="00FE4823" w:rsidRPr="00CF5041" w:rsidRDefault="00FE4823" w:rsidP="00D93948">
            <w:pPr>
              <w:widowControl/>
              <w:spacing w:before="120" w:after="120"/>
              <w:jc w:val="both"/>
              <w:rPr>
                <w:color w:val="auto"/>
                <w:lang w:val="en-US" w:eastAsia="en-US"/>
              </w:rPr>
            </w:pPr>
          </w:p>
        </w:tc>
        <w:tc>
          <w:tcPr>
            <w:tcW w:w="992" w:type="dxa"/>
            <w:hideMark/>
          </w:tcPr>
          <w:p w14:paraId="374D8914" w14:textId="77777777" w:rsidR="00FE4823" w:rsidRPr="00CF5041" w:rsidRDefault="00FE4823" w:rsidP="00D93948">
            <w:pPr>
              <w:widowControl/>
              <w:spacing w:before="120" w:after="120"/>
              <w:jc w:val="both"/>
              <w:rPr>
                <w:color w:val="auto"/>
                <w:lang w:val="en-US" w:eastAsia="en-US"/>
              </w:rPr>
            </w:pPr>
            <w:r w:rsidRPr="00CF5041">
              <w:rPr>
                <w:color w:val="auto"/>
                <w:lang w:eastAsia="en-US"/>
              </w:rPr>
              <w:t>Không điền</w:t>
            </w:r>
          </w:p>
        </w:tc>
        <w:tc>
          <w:tcPr>
            <w:tcW w:w="992" w:type="dxa"/>
            <w:hideMark/>
          </w:tcPr>
          <w:p w14:paraId="34909BB5" w14:textId="77777777" w:rsidR="00FE4823" w:rsidRPr="00CF5041" w:rsidRDefault="00FE4823" w:rsidP="00D93948">
            <w:pPr>
              <w:widowControl/>
              <w:spacing w:before="120" w:after="120"/>
              <w:jc w:val="both"/>
              <w:rPr>
                <w:color w:val="auto"/>
                <w:lang w:val="en-US" w:eastAsia="en-US"/>
              </w:rPr>
            </w:pPr>
          </w:p>
        </w:tc>
        <w:tc>
          <w:tcPr>
            <w:tcW w:w="1985" w:type="dxa"/>
            <w:hideMark/>
          </w:tcPr>
          <w:p w14:paraId="2AB2479F" w14:textId="77777777" w:rsidR="00FE4823" w:rsidRPr="00CF5041" w:rsidRDefault="00FE4823" w:rsidP="00D93948">
            <w:pPr>
              <w:widowControl/>
              <w:spacing w:before="120" w:after="120"/>
              <w:jc w:val="both"/>
              <w:rPr>
                <w:color w:val="auto"/>
                <w:lang w:val="en-US" w:eastAsia="en-US"/>
              </w:rPr>
            </w:pPr>
          </w:p>
        </w:tc>
      </w:tr>
      <w:tr w:rsidR="001672A5" w:rsidRPr="00CF5041" w14:paraId="31F4F040" w14:textId="77777777" w:rsidTr="00855670">
        <w:tc>
          <w:tcPr>
            <w:tcW w:w="2127" w:type="dxa"/>
            <w:hideMark/>
          </w:tcPr>
          <w:p w14:paraId="033C63A5" w14:textId="77777777" w:rsidR="00FE4823" w:rsidRPr="00CF5041" w:rsidRDefault="00FE4823" w:rsidP="00D93948">
            <w:pPr>
              <w:widowControl/>
              <w:spacing w:before="120" w:after="120"/>
              <w:jc w:val="both"/>
              <w:rPr>
                <w:color w:val="auto"/>
                <w:lang w:val="en-US" w:eastAsia="en-US"/>
              </w:rPr>
            </w:pPr>
            <w:r w:rsidRPr="00CF5041">
              <w:rPr>
                <w:color w:val="auto"/>
                <w:lang w:eastAsia="en-US"/>
              </w:rPr>
              <w:t>- Gốc</w:t>
            </w:r>
          </w:p>
        </w:tc>
        <w:tc>
          <w:tcPr>
            <w:tcW w:w="851" w:type="dxa"/>
            <w:hideMark/>
          </w:tcPr>
          <w:p w14:paraId="3EC753EF" w14:textId="77777777" w:rsidR="00FE4823" w:rsidRPr="00CF5041" w:rsidRDefault="00FE4823" w:rsidP="00D93948">
            <w:pPr>
              <w:widowControl/>
              <w:spacing w:before="120" w:after="120"/>
              <w:jc w:val="both"/>
              <w:rPr>
                <w:color w:val="auto"/>
                <w:lang w:val="en-US" w:eastAsia="en-US"/>
              </w:rPr>
            </w:pPr>
          </w:p>
        </w:tc>
        <w:tc>
          <w:tcPr>
            <w:tcW w:w="992" w:type="dxa"/>
            <w:hideMark/>
          </w:tcPr>
          <w:p w14:paraId="7FEBCAFE" w14:textId="77777777" w:rsidR="00FE4823" w:rsidRPr="00CF5041" w:rsidRDefault="00FE4823" w:rsidP="00D93948">
            <w:pPr>
              <w:widowControl/>
              <w:spacing w:before="120" w:after="120"/>
              <w:jc w:val="both"/>
              <w:rPr>
                <w:color w:val="auto"/>
                <w:lang w:val="en-US" w:eastAsia="en-US"/>
              </w:rPr>
            </w:pPr>
            <w:r w:rsidRPr="00CF5041">
              <w:rPr>
                <w:color w:val="auto"/>
                <w:lang w:eastAsia="en-US"/>
              </w:rPr>
              <w:t>Không điền</w:t>
            </w:r>
          </w:p>
        </w:tc>
        <w:tc>
          <w:tcPr>
            <w:tcW w:w="851" w:type="dxa"/>
            <w:hideMark/>
          </w:tcPr>
          <w:p w14:paraId="13D77AF2" w14:textId="77777777" w:rsidR="00FE4823" w:rsidRPr="00CF5041" w:rsidRDefault="00FE4823" w:rsidP="00D93948">
            <w:pPr>
              <w:widowControl/>
              <w:spacing w:before="120" w:after="120"/>
              <w:jc w:val="both"/>
              <w:rPr>
                <w:color w:val="auto"/>
                <w:lang w:val="en-US" w:eastAsia="en-US"/>
              </w:rPr>
            </w:pPr>
            <w:r w:rsidRPr="00CF5041">
              <w:rPr>
                <w:color w:val="auto"/>
                <w:lang w:eastAsia="en-US"/>
              </w:rPr>
              <w:t>100%</w:t>
            </w:r>
          </w:p>
        </w:tc>
        <w:tc>
          <w:tcPr>
            <w:tcW w:w="992" w:type="dxa"/>
            <w:hideMark/>
          </w:tcPr>
          <w:p w14:paraId="4C945561" w14:textId="77777777" w:rsidR="00FE4823" w:rsidRPr="00CF5041" w:rsidRDefault="00FE4823" w:rsidP="00D93948">
            <w:pPr>
              <w:widowControl/>
              <w:spacing w:before="120" w:after="120"/>
              <w:jc w:val="both"/>
              <w:rPr>
                <w:color w:val="auto"/>
                <w:lang w:val="en-US" w:eastAsia="en-US"/>
              </w:rPr>
            </w:pPr>
          </w:p>
        </w:tc>
        <w:tc>
          <w:tcPr>
            <w:tcW w:w="992" w:type="dxa"/>
            <w:hideMark/>
          </w:tcPr>
          <w:p w14:paraId="719C3E4E" w14:textId="77777777" w:rsidR="00FE4823" w:rsidRPr="00CF5041" w:rsidRDefault="00FE4823" w:rsidP="00D93948">
            <w:pPr>
              <w:widowControl/>
              <w:spacing w:before="120" w:after="120"/>
              <w:jc w:val="both"/>
              <w:rPr>
                <w:color w:val="auto"/>
                <w:lang w:val="en-US" w:eastAsia="en-US"/>
              </w:rPr>
            </w:pPr>
            <w:r w:rsidRPr="00CF5041">
              <w:rPr>
                <w:color w:val="auto"/>
                <w:lang w:eastAsia="en-US"/>
              </w:rPr>
              <w:t>Không điền</w:t>
            </w:r>
          </w:p>
        </w:tc>
        <w:tc>
          <w:tcPr>
            <w:tcW w:w="992" w:type="dxa"/>
            <w:hideMark/>
          </w:tcPr>
          <w:p w14:paraId="120F2EE6" w14:textId="77777777" w:rsidR="00FE4823" w:rsidRPr="00CF5041" w:rsidRDefault="00FE4823" w:rsidP="00D93948">
            <w:pPr>
              <w:widowControl/>
              <w:spacing w:before="120" w:after="120"/>
              <w:jc w:val="both"/>
              <w:rPr>
                <w:color w:val="auto"/>
                <w:lang w:val="en-US" w:eastAsia="en-US"/>
              </w:rPr>
            </w:pPr>
          </w:p>
        </w:tc>
        <w:tc>
          <w:tcPr>
            <w:tcW w:w="1985" w:type="dxa"/>
            <w:hideMark/>
          </w:tcPr>
          <w:p w14:paraId="6B86EB12" w14:textId="77777777" w:rsidR="00FE4823" w:rsidRPr="00CF5041" w:rsidRDefault="00FE4823" w:rsidP="00D93948">
            <w:pPr>
              <w:widowControl/>
              <w:spacing w:before="120" w:after="120"/>
              <w:jc w:val="both"/>
              <w:rPr>
                <w:color w:val="auto"/>
                <w:lang w:val="en-US" w:eastAsia="en-US"/>
              </w:rPr>
            </w:pPr>
            <w:r w:rsidRPr="00CF5041">
              <w:rPr>
                <w:color w:val="auto"/>
                <w:lang w:eastAsia="en-US"/>
              </w:rPr>
              <w:t>Ghi nhận theo tổng số dư tiền gửi vào ngân hàng hợp tác xã</w:t>
            </w:r>
          </w:p>
        </w:tc>
      </w:tr>
      <w:tr w:rsidR="001672A5" w:rsidRPr="00CF5041" w14:paraId="34BD99B9" w14:textId="77777777" w:rsidTr="00855670">
        <w:tc>
          <w:tcPr>
            <w:tcW w:w="2127" w:type="dxa"/>
            <w:hideMark/>
          </w:tcPr>
          <w:p w14:paraId="1CB19182" w14:textId="77777777" w:rsidR="00FE4823" w:rsidRPr="00CF5041" w:rsidRDefault="00FE4823" w:rsidP="00D93948">
            <w:pPr>
              <w:widowControl/>
              <w:spacing w:before="120" w:after="120"/>
              <w:jc w:val="both"/>
              <w:rPr>
                <w:color w:val="auto"/>
                <w:lang w:val="en-US" w:eastAsia="en-US"/>
              </w:rPr>
            </w:pPr>
            <w:r w:rsidRPr="00CF5041">
              <w:rPr>
                <w:color w:val="auto"/>
                <w:lang w:eastAsia="en-US"/>
              </w:rPr>
              <w:t>- Lãi</w:t>
            </w:r>
          </w:p>
        </w:tc>
        <w:tc>
          <w:tcPr>
            <w:tcW w:w="851" w:type="dxa"/>
            <w:hideMark/>
          </w:tcPr>
          <w:p w14:paraId="6327DBED" w14:textId="77777777" w:rsidR="00FE4823" w:rsidRPr="00CF5041" w:rsidRDefault="00FE4823" w:rsidP="00D93948">
            <w:pPr>
              <w:widowControl/>
              <w:spacing w:before="120" w:after="120"/>
              <w:jc w:val="both"/>
              <w:rPr>
                <w:color w:val="auto"/>
                <w:lang w:val="en-US" w:eastAsia="en-US"/>
              </w:rPr>
            </w:pPr>
          </w:p>
        </w:tc>
        <w:tc>
          <w:tcPr>
            <w:tcW w:w="992" w:type="dxa"/>
            <w:hideMark/>
          </w:tcPr>
          <w:p w14:paraId="0B2CF9AE" w14:textId="77777777" w:rsidR="00FE4823" w:rsidRPr="00CF5041" w:rsidRDefault="00FE4823" w:rsidP="00D93948">
            <w:pPr>
              <w:widowControl/>
              <w:spacing w:before="120" w:after="120"/>
              <w:jc w:val="both"/>
              <w:rPr>
                <w:color w:val="auto"/>
                <w:lang w:val="en-US" w:eastAsia="en-US"/>
              </w:rPr>
            </w:pPr>
            <w:r w:rsidRPr="00CF5041">
              <w:rPr>
                <w:color w:val="auto"/>
                <w:lang w:eastAsia="en-US"/>
              </w:rPr>
              <w:t>Không điền</w:t>
            </w:r>
          </w:p>
        </w:tc>
        <w:tc>
          <w:tcPr>
            <w:tcW w:w="851" w:type="dxa"/>
            <w:hideMark/>
          </w:tcPr>
          <w:p w14:paraId="57732EDF" w14:textId="77777777" w:rsidR="00FE4823" w:rsidRPr="00CF5041" w:rsidRDefault="00FE4823" w:rsidP="00D93948">
            <w:pPr>
              <w:widowControl/>
              <w:spacing w:before="120" w:after="120"/>
              <w:jc w:val="both"/>
              <w:rPr>
                <w:color w:val="auto"/>
                <w:lang w:val="en-US" w:eastAsia="en-US"/>
              </w:rPr>
            </w:pPr>
            <w:r w:rsidRPr="00CF5041">
              <w:rPr>
                <w:color w:val="auto"/>
                <w:lang w:eastAsia="en-US"/>
              </w:rPr>
              <w:t>100%</w:t>
            </w:r>
          </w:p>
        </w:tc>
        <w:tc>
          <w:tcPr>
            <w:tcW w:w="992" w:type="dxa"/>
            <w:hideMark/>
          </w:tcPr>
          <w:p w14:paraId="78DA16B9" w14:textId="77777777" w:rsidR="00FE4823" w:rsidRPr="00CF5041" w:rsidRDefault="00FE4823" w:rsidP="00D93948">
            <w:pPr>
              <w:widowControl/>
              <w:spacing w:before="120" w:after="120"/>
              <w:jc w:val="both"/>
              <w:rPr>
                <w:color w:val="auto"/>
                <w:lang w:val="en-US" w:eastAsia="en-US"/>
              </w:rPr>
            </w:pPr>
          </w:p>
        </w:tc>
        <w:tc>
          <w:tcPr>
            <w:tcW w:w="992" w:type="dxa"/>
            <w:hideMark/>
          </w:tcPr>
          <w:p w14:paraId="61A69EC2" w14:textId="77777777" w:rsidR="00FE4823" w:rsidRPr="00CF5041" w:rsidRDefault="00FE4823" w:rsidP="00D93948">
            <w:pPr>
              <w:widowControl/>
              <w:spacing w:before="120" w:after="120"/>
              <w:jc w:val="both"/>
              <w:rPr>
                <w:color w:val="auto"/>
                <w:lang w:val="en-US" w:eastAsia="en-US"/>
              </w:rPr>
            </w:pPr>
            <w:r w:rsidRPr="00CF5041">
              <w:rPr>
                <w:color w:val="auto"/>
                <w:lang w:eastAsia="en-US"/>
              </w:rPr>
              <w:t>Không điền</w:t>
            </w:r>
          </w:p>
        </w:tc>
        <w:tc>
          <w:tcPr>
            <w:tcW w:w="992" w:type="dxa"/>
            <w:hideMark/>
          </w:tcPr>
          <w:p w14:paraId="50255384" w14:textId="77777777" w:rsidR="00FE4823" w:rsidRPr="00CF5041" w:rsidRDefault="00FE4823" w:rsidP="00D93948">
            <w:pPr>
              <w:widowControl/>
              <w:spacing w:before="120" w:after="120"/>
              <w:jc w:val="both"/>
              <w:rPr>
                <w:color w:val="auto"/>
                <w:lang w:val="en-US" w:eastAsia="en-US"/>
              </w:rPr>
            </w:pPr>
          </w:p>
        </w:tc>
        <w:tc>
          <w:tcPr>
            <w:tcW w:w="1985" w:type="dxa"/>
            <w:hideMark/>
          </w:tcPr>
          <w:p w14:paraId="4301BD07" w14:textId="77777777" w:rsidR="00FE4823" w:rsidRPr="00CF5041" w:rsidRDefault="00FE4823" w:rsidP="00D93948">
            <w:pPr>
              <w:widowControl/>
              <w:spacing w:before="120" w:after="120"/>
              <w:jc w:val="both"/>
              <w:rPr>
                <w:color w:val="auto"/>
                <w:lang w:val="en-US" w:eastAsia="en-US"/>
              </w:rPr>
            </w:pPr>
          </w:p>
        </w:tc>
      </w:tr>
      <w:tr w:rsidR="001672A5" w:rsidRPr="00CF5041" w14:paraId="4985EF62" w14:textId="77777777" w:rsidTr="00855670">
        <w:tc>
          <w:tcPr>
            <w:tcW w:w="2127" w:type="dxa"/>
            <w:hideMark/>
          </w:tcPr>
          <w:p w14:paraId="68BF226D" w14:textId="77777777" w:rsidR="00FE4823" w:rsidRPr="00CF5041" w:rsidRDefault="00FE4823" w:rsidP="00D93948">
            <w:pPr>
              <w:widowControl/>
              <w:spacing w:before="120" w:after="120"/>
              <w:jc w:val="both"/>
              <w:rPr>
                <w:color w:val="auto"/>
                <w:lang w:val="en-US" w:eastAsia="en-US"/>
              </w:rPr>
            </w:pPr>
            <w:r w:rsidRPr="00CF5041">
              <w:rPr>
                <w:color w:val="auto"/>
                <w:lang w:eastAsia="en-US"/>
              </w:rPr>
              <w:t>4. Tiền gửi có kỳ hạn tại ngân hàng hợp tác xã (trừ số dư </w:t>
            </w:r>
            <w:r w:rsidRPr="00CF5041">
              <w:rPr>
                <w:color w:val="auto"/>
                <w:lang w:val="pt-BR" w:eastAsia="en-US"/>
              </w:rPr>
              <w:t xml:space="preserve">tiền gửi của quỹ </w:t>
            </w:r>
            <w:r w:rsidRPr="00CF5041">
              <w:rPr>
                <w:color w:val="auto"/>
                <w:lang w:val="pt-BR" w:eastAsia="en-US"/>
              </w:rPr>
              <w:lastRenderedPageBreak/>
              <w:t>tín dụng nhân dân để đảm bảo khoản vay của quỹ tín dụng nhân dân tại NHHTX)</w:t>
            </w:r>
          </w:p>
        </w:tc>
        <w:tc>
          <w:tcPr>
            <w:tcW w:w="851" w:type="dxa"/>
            <w:hideMark/>
          </w:tcPr>
          <w:p w14:paraId="07988FBC" w14:textId="77777777" w:rsidR="00FE4823" w:rsidRPr="00CF5041" w:rsidRDefault="00FE4823" w:rsidP="00D93948">
            <w:pPr>
              <w:widowControl/>
              <w:spacing w:before="120" w:after="120"/>
              <w:jc w:val="both"/>
              <w:rPr>
                <w:color w:val="auto"/>
                <w:lang w:val="en-US" w:eastAsia="en-US"/>
              </w:rPr>
            </w:pPr>
          </w:p>
        </w:tc>
        <w:tc>
          <w:tcPr>
            <w:tcW w:w="992" w:type="dxa"/>
            <w:hideMark/>
          </w:tcPr>
          <w:p w14:paraId="02CED480" w14:textId="77777777" w:rsidR="00FE4823" w:rsidRPr="00CF5041" w:rsidRDefault="00FE4823" w:rsidP="00D93948">
            <w:pPr>
              <w:widowControl/>
              <w:spacing w:before="120" w:after="120"/>
              <w:jc w:val="both"/>
              <w:rPr>
                <w:color w:val="auto"/>
                <w:lang w:val="en-US" w:eastAsia="en-US"/>
              </w:rPr>
            </w:pPr>
          </w:p>
        </w:tc>
        <w:tc>
          <w:tcPr>
            <w:tcW w:w="851" w:type="dxa"/>
            <w:hideMark/>
          </w:tcPr>
          <w:p w14:paraId="53BAE4A0" w14:textId="77777777" w:rsidR="00FE4823" w:rsidRPr="00CF5041" w:rsidRDefault="00FE4823" w:rsidP="00D93948">
            <w:pPr>
              <w:widowControl/>
              <w:spacing w:before="120" w:after="120"/>
              <w:jc w:val="both"/>
              <w:rPr>
                <w:color w:val="auto"/>
                <w:lang w:val="en-US" w:eastAsia="en-US"/>
              </w:rPr>
            </w:pPr>
            <w:r w:rsidRPr="00CF5041">
              <w:rPr>
                <w:color w:val="auto"/>
                <w:lang w:eastAsia="en-US"/>
              </w:rPr>
              <w:t>100%</w:t>
            </w:r>
          </w:p>
        </w:tc>
        <w:tc>
          <w:tcPr>
            <w:tcW w:w="992" w:type="dxa"/>
            <w:hideMark/>
          </w:tcPr>
          <w:p w14:paraId="43E1BBD3" w14:textId="77777777" w:rsidR="00FE4823" w:rsidRPr="00CF5041" w:rsidRDefault="00FE4823" w:rsidP="00D93948">
            <w:pPr>
              <w:widowControl/>
              <w:spacing w:before="120" w:after="120"/>
              <w:jc w:val="both"/>
              <w:rPr>
                <w:color w:val="auto"/>
                <w:lang w:val="en-US" w:eastAsia="en-US"/>
              </w:rPr>
            </w:pPr>
          </w:p>
        </w:tc>
        <w:tc>
          <w:tcPr>
            <w:tcW w:w="992" w:type="dxa"/>
            <w:hideMark/>
          </w:tcPr>
          <w:p w14:paraId="45EF5522" w14:textId="77777777" w:rsidR="00FE4823" w:rsidRPr="00CF5041" w:rsidRDefault="00FE4823" w:rsidP="00D93948">
            <w:pPr>
              <w:widowControl/>
              <w:spacing w:before="120" w:after="120"/>
              <w:jc w:val="both"/>
              <w:rPr>
                <w:color w:val="auto"/>
                <w:lang w:val="en-US" w:eastAsia="en-US"/>
              </w:rPr>
            </w:pPr>
          </w:p>
        </w:tc>
        <w:tc>
          <w:tcPr>
            <w:tcW w:w="992" w:type="dxa"/>
            <w:hideMark/>
          </w:tcPr>
          <w:p w14:paraId="09A1DE22" w14:textId="77777777" w:rsidR="00FE4823" w:rsidRPr="00CF5041" w:rsidRDefault="00FE4823" w:rsidP="00D93948">
            <w:pPr>
              <w:widowControl/>
              <w:spacing w:before="120" w:after="120"/>
              <w:jc w:val="both"/>
              <w:rPr>
                <w:color w:val="auto"/>
                <w:lang w:val="en-US" w:eastAsia="en-US"/>
              </w:rPr>
            </w:pPr>
          </w:p>
        </w:tc>
        <w:tc>
          <w:tcPr>
            <w:tcW w:w="1985" w:type="dxa"/>
            <w:hideMark/>
          </w:tcPr>
          <w:p w14:paraId="21D37D98" w14:textId="77777777" w:rsidR="00FE4823" w:rsidRPr="00CF5041" w:rsidRDefault="00FE4823" w:rsidP="00D93948">
            <w:pPr>
              <w:widowControl/>
              <w:spacing w:before="120" w:after="120"/>
              <w:jc w:val="both"/>
              <w:rPr>
                <w:color w:val="auto"/>
                <w:lang w:val="en-US" w:eastAsia="en-US"/>
              </w:rPr>
            </w:pPr>
            <w:r w:rsidRPr="00CF5041">
              <w:rPr>
                <w:color w:val="auto"/>
                <w:lang w:eastAsia="en-US"/>
              </w:rPr>
              <w:t>Dòng (4) = (4.1) + (4.2)</w:t>
            </w:r>
          </w:p>
        </w:tc>
      </w:tr>
      <w:tr w:rsidR="001672A5" w:rsidRPr="00CF5041" w14:paraId="1DC6CCC2" w14:textId="77777777" w:rsidTr="00855670">
        <w:tc>
          <w:tcPr>
            <w:tcW w:w="2127" w:type="dxa"/>
            <w:hideMark/>
          </w:tcPr>
          <w:p w14:paraId="323D612A" w14:textId="77777777" w:rsidR="00FE4823" w:rsidRPr="00CF5041" w:rsidRDefault="00FE4823" w:rsidP="00D93948">
            <w:pPr>
              <w:widowControl/>
              <w:spacing w:before="120" w:after="120"/>
              <w:jc w:val="both"/>
              <w:rPr>
                <w:color w:val="auto"/>
                <w:lang w:val="en-US" w:eastAsia="en-US"/>
              </w:rPr>
            </w:pPr>
            <w:r w:rsidRPr="00CF5041">
              <w:rPr>
                <w:color w:val="auto"/>
                <w:lang w:eastAsia="en-US"/>
              </w:rPr>
              <w:lastRenderedPageBreak/>
              <w:t>4.1. Gốc</w:t>
            </w:r>
          </w:p>
        </w:tc>
        <w:tc>
          <w:tcPr>
            <w:tcW w:w="851" w:type="dxa"/>
            <w:hideMark/>
          </w:tcPr>
          <w:p w14:paraId="77C54492" w14:textId="77777777" w:rsidR="00FE4823" w:rsidRPr="00CF5041" w:rsidRDefault="00FE4823" w:rsidP="00D93948">
            <w:pPr>
              <w:widowControl/>
              <w:spacing w:before="120" w:after="120"/>
              <w:jc w:val="both"/>
              <w:rPr>
                <w:color w:val="auto"/>
                <w:lang w:val="en-US" w:eastAsia="en-US"/>
              </w:rPr>
            </w:pPr>
          </w:p>
        </w:tc>
        <w:tc>
          <w:tcPr>
            <w:tcW w:w="992" w:type="dxa"/>
            <w:hideMark/>
          </w:tcPr>
          <w:p w14:paraId="65E49DB5" w14:textId="77777777" w:rsidR="00FE4823" w:rsidRPr="00CF5041" w:rsidRDefault="00FE4823" w:rsidP="00D93948">
            <w:pPr>
              <w:widowControl/>
              <w:spacing w:before="120" w:after="120"/>
              <w:jc w:val="both"/>
              <w:rPr>
                <w:color w:val="auto"/>
                <w:lang w:val="en-US" w:eastAsia="en-US"/>
              </w:rPr>
            </w:pPr>
            <w:r w:rsidRPr="00CF5041">
              <w:rPr>
                <w:color w:val="auto"/>
                <w:lang w:eastAsia="en-US"/>
              </w:rPr>
              <w:t>Không điền</w:t>
            </w:r>
          </w:p>
        </w:tc>
        <w:tc>
          <w:tcPr>
            <w:tcW w:w="851" w:type="dxa"/>
            <w:hideMark/>
          </w:tcPr>
          <w:p w14:paraId="0E830E96" w14:textId="77777777" w:rsidR="00FE4823" w:rsidRPr="00CF5041" w:rsidRDefault="00FE4823" w:rsidP="00D93948">
            <w:pPr>
              <w:widowControl/>
              <w:spacing w:before="120" w:after="120"/>
              <w:jc w:val="both"/>
              <w:rPr>
                <w:color w:val="auto"/>
                <w:lang w:val="en-US" w:eastAsia="en-US"/>
              </w:rPr>
            </w:pPr>
            <w:r w:rsidRPr="00CF5041">
              <w:rPr>
                <w:color w:val="auto"/>
                <w:lang w:eastAsia="en-US"/>
              </w:rPr>
              <w:t>100%</w:t>
            </w:r>
          </w:p>
        </w:tc>
        <w:tc>
          <w:tcPr>
            <w:tcW w:w="992" w:type="dxa"/>
            <w:hideMark/>
          </w:tcPr>
          <w:p w14:paraId="54D33E33" w14:textId="77777777" w:rsidR="00FE4823" w:rsidRPr="00CF5041" w:rsidRDefault="00FE4823" w:rsidP="00D93948">
            <w:pPr>
              <w:widowControl/>
              <w:spacing w:before="120" w:after="120"/>
              <w:jc w:val="both"/>
              <w:rPr>
                <w:color w:val="auto"/>
                <w:lang w:val="en-US" w:eastAsia="en-US"/>
              </w:rPr>
            </w:pPr>
          </w:p>
        </w:tc>
        <w:tc>
          <w:tcPr>
            <w:tcW w:w="992" w:type="dxa"/>
            <w:hideMark/>
          </w:tcPr>
          <w:p w14:paraId="4705FCB9" w14:textId="77777777" w:rsidR="00FE4823" w:rsidRPr="00CF5041" w:rsidRDefault="00FE4823" w:rsidP="00D93948">
            <w:pPr>
              <w:widowControl/>
              <w:spacing w:before="120" w:after="120"/>
              <w:jc w:val="both"/>
              <w:rPr>
                <w:color w:val="auto"/>
                <w:lang w:val="en-US" w:eastAsia="en-US"/>
              </w:rPr>
            </w:pPr>
            <w:r w:rsidRPr="00CF5041">
              <w:rPr>
                <w:color w:val="auto"/>
                <w:lang w:eastAsia="en-US"/>
              </w:rPr>
              <w:t>Không điền</w:t>
            </w:r>
          </w:p>
        </w:tc>
        <w:tc>
          <w:tcPr>
            <w:tcW w:w="992" w:type="dxa"/>
            <w:hideMark/>
          </w:tcPr>
          <w:p w14:paraId="4BBD2903" w14:textId="77777777" w:rsidR="00FE4823" w:rsidRPr="00CF5041" w:rsidRDefault="00FE4823" w:rsidP="00D93948">
            <w:pPr>
              <w:widowControl/>
              <w:spacing w:before="120" w:after="120"/>
              <w:jc w:val="both"/>
              <w:rPr>
                <w:color w:val="auto"/>
                <w:lang w:val="en-US" w:eastAsia="en-US"/>
              </w:rPr>
            </w:pPr>
          </w:p>
        </w:tc>
        <w:tc>
          <w:tcPr>
            <w:tcW w:w="1985" w:type="dxa"/>
            <w:hideMark/>
          </w:tcPr>
          <w:p w14:paraId="32DB2FD5" w14:textId="77777777" w:rsidR="00FE4823" w:rsidRPr="00CF5041" w:rsidRDefault="00FE4823" w:rsidP="00D93948">
            <w:pPr>
              <w:widowControl/>
              <w:spacing w:before="120" w:after="120"/>
              <w:jc w:val="both"/>
              <w:rPr>
                <w:color w:val="auto"/>
                <w:lang w:val="en-US" w:eastAsia="en-US"/>
              </w:rPr>
            </w:pPr>
            <w:r w:rsidRPr="00CF5041">
              <w:rPr>
                <w:color w:val="auto"/>
                <w:lang w:eastAsia="en-US"/>
              </w:rPr>
              <w:t>Ghi nhận theo tổng số dư tiền gửi tại NHHTX và được tính 100% theo số tiền gốc dưới mọi kỳ hạn</w:t>
            </w:r>
          </w:p>
        </w:tc>
      </w:tr>
      <w:tr w:rsidR="001672A5" w:rsidRPr="00CF5041" w14:paraId="46A1F348" w14:textId="77777777" w:rsidTr="00855670">
        <w:tc>
          <w:tcPr>
            <w:tcW w:w="2127" w:type="dxa"/>
            <w:hideMark/>
          </w:tcPr>
          <w:p w14:paraId="6EA9E1CD" w14:textId="77777777" w:rsidR="00FE4823" w:rsidRPr="00CF5041" w:rsidRDefault="00FE4823" w:rsidP="00D93948">
            <w:pPr>
              <w:widowControl/>
              <w:spacing w:before="120" w:after="120"/>
              <w:jc w:val="both"/>
              <w:rPr>
                <w:color w:val="auto"/>
                <w:lang w:val="en-US" w:eastAsia="en-US"/>
              </w:rPr>
            </w:pPr>
            <w:r w:rsidRPr="00CF5041">
              <w:rPr>
                <w:color w:val="auto"/>
                <w:lang w:eastAsia="en-US"/>
              </w:rPr>
              <w:t>4.2. Lãi</w:t>
            </w:r>
          </w:p>
        </w:tc>
        <w:tc>
          <w:tcPr>
            <w:tcW w:w="851" w:type="dxa"/>
            <w:hideMark/>
          </w:tcPr>
          <w:p w14:paraId="06485F93" w14:textId="77777777" w:rsidR="00FE4823" w:rsidRPr="00CF5041" w:rsidRDefault="00FE4823" w:rsidP="00D93948">
            <w:pPr>
              <w:widowControl/>
              <w:spacing w:before="120" w:after="120"/>
              <w:jc w:val="both"/>
              <w:rPr>
                <w:color w:val="auto"/>
                <w:lang w:val="en-US" w:eastAsia="en-US"/>
              </w:rPr>
            </w:pPr>
          </w:p>
        </w:tc>
        <w:tc>
          <w:tcPr>
            <w:tcW w:w="992" w:type="dxa"/>
            <w:hideMark/>
          </w:tcPr>
          <w:p w14:paraId="218745AC" w14:textId="77777777" w:rsidR="00FE4823" w:rsidRPr="00CF5041" w:rsidRDefault="00FE4823" w:rsidP="00D93948">
            <w:pPr>
              <w:widowControl/>
              <w:spacing w:before="120" w:after="120"/>
              <w:jc w:val="both"/>
              <w:rPr>
                <w:color w:val="auto"/>
                <w:lang w:val="en-US" w:eastAsia="en-US"/>
              </w:rPr>
            </w:pPr>
          </w:p>
        </w:tc>
        <w:tc>
          <w:tcPr>
            <w:tcW w:w="851" w:type="dxa"/>
            <w:hideMark/>
          </w:tcPr>
          <w:p w14:paraId="5D88A4F5" w14:textId="77777777" w:rsidR="00FE4823" w:rsidRPr="00CF5041" w:rsidRDefault="00FE4823" w:rsidP="00D93948">
            <w:pPr>
              <w:widowControl/>
              <w:spacing w:before="120" w:after="120"/>
              <w:jc w:val="both"/>
              <w:rPr>
                <w:color w:val="auto"/>
                <w:lang w:val="en-US" w:eastAsia="en-US"/>
              </w:rPr>
            </w:pPr>
            <w:r w:rsidRPr="00CF5041">
              <w:rPr>
                <w:color w:val="auto"/>
                <w:lang w:eastAsia="en-US"/>
              </w:rPr>
              <w:t>100%</w:t>
            </w:r>
          </w:p>
        </w:tc>
        <w:tc>
          <w:tcPr>
            <w:tcW w:w="992" w:type="dxa"/>
            <w:hideMark/>
          </w:tcPr>
          <w:p w14:paraId="5E2D4429" w14:textId="77777777" w:rsidR="00FE4823" w:rsidRPr="00CF5041" w:rsidRDefault="00FE4823" w:rsidP="00D93948">
            <w:pPr>
              <w:widowControl/>
              <w:spacing w:before="120" w:after="120"/>
              <w:jc w:val="both"/>
              <w:rPr>
                <w:color w:val="auto"/>
                <w:lang w:val="en-US" w:eastAsia="en-US"/>
              </w:rPr>
            </w:pPr>
          </w:p>
        </w:tc>
        <w:tc>
          <w:tcPr>
            <w:tcW w:w="992" w:type="dxa"/>
            <w:hideMark/>
          </w:tcPr>
          <w:p w14:paraId="099CCE16" w14:textId="77777777" w:rsidR="00FE4823" w:rsidRPr="00CF5041" w:rsidRDefault="00FE4823" w:rsidP="00D93948">
            <w:pPr>
              <w:widowControl/>
              <w:spacing w:before="120" w:after="120"/>
              <w:jc w:val="both"/>
              <w:rPr>
                <w:color w:val="auto"/>
                <w:lang w:val="en-US" w:eastAsia="en-US"/>
              </w:rPr>
            </w:pPr>
          </w:p>
        </w:tc>
        <w:tc>
          <w:tcPr>
            <w:tcW w:w="992" w:type="dxa"/>
            <w:hideMark/>
          </w:tcPr>
          <w:p w14:paraId="5F9AD8C3" w14:textId="77777777" w:rsidR="00FE4823" w:rsidRPr="00CF5041" w:rsidRDefault="00FE4823" w:rsidP="00D93948">
            <w:pPr>
              <w:widowControl/>
              <w:spacing w:before="120" w:after="120"/>
              <w:jc w:val="both"/>
              <w:rPr>
                <w:color w:val="auto"/>
                <w:lang w:val="en-US" w:eastAsia="en-US"/>
              </w:rPr>
            </w:pPr>
          </w:p>
        </w:tc>
        <w:tc>
          <w:tcPr>
            <w:tcW w:w="1985" w:type="dxa"/>
            <w:hideMark/>
          </w:tcPr>
          <w:p w14:paraId="527AA893" w14:textId="77777777" w:rsidR="00FE4823" w:rsidRPr="00CF5041" w:rsidRDefault="00FE4823" w:rsidP="00D93948">
            <w:pPr>
              <w:widowControl/>
              <w:spacing w:before="120" w:after="120"/>
              <w:jc w:val="both"/>
              <w:rPr>
                <w:color w:val="auto"/>
                <w:lang w:val="en-US" w:eastAsia="en-US"/>
              </w:rPr>
            </w:pPr>
            <w:r w:rsidRPr="00CF5041">
              <w:rPr>
                <w:color w:val="auto"/>
                <w:lang w:eastAsia="en-US"/>
              </w:rPr>
              <w:t>Tính theo kỳ hạn thực tế đến hạn của hợp đồng</w:t>
            </w:r>
          </w:p>
        </w:tc>
      </w:tr>
      <w:tr w:rsidR="001672A5" w:rsidRPr="00CF5041" w14:paraId="54E10FBA" w14:textId="77777777" w:rsidTr="00855670">
        <w:tc>
          <w:tcPr>
            <w:tcW w:w="2127" w:type="dxa"/>
            <w:hideMark/>
          </w:tcPr>
          <w:p w14:paraId="4DFEEFDD" w14:textId="726F02B5" w:rsidR="00FE4823" w:rsidRPr="00CF5041" w:rsidRDefault="00FE4823" w:rsidP="00D93948">
            <w:pPr>
              <w:widowControl/>
              <w:spacing w:before="120" w:after="120"/>
              <w:jc w:val="both"/>
              <w:rPr>
                <w:color w:val="auto"/>
                <w:lang w:val="en-US" w:eastAsia="en-US"/>
              </w:rPr>
            </w:pPr>
            <w:r w:rsidRPr="00CF5041">
              <w:rPr>
                <w:color w:val="auto"/>
                <w:lang w:eastAsia="en-US"/>
              </w:rPr>
              <w:t>5. Tiền gửi thanh toán tại ngân hàng thương mại, chi nhánh ngân hàng nước ngoài</w:t>
            </w:r>
            <w:r w:rsidR="00ED11CC" w:rsidRPr="00CF5041">
              <w:rPr>
                <w:color w:val="auto"/>
                <w:lang w:val="en-US" w:eastAsia="en-US"/>
              </w:rPr>
              <w:t>, trừ các khoản đã cam kết cho mục đích thanh toán cụ thể</w:t>
            </w:r>
          </w:p>
        </w:tc>
        <w:tc>
          <w:tcPr>
            <w:tcW w:w="851" w:type="dxa"/>
            <w:hideMark/>
          </w:tcPr>
          <w:p w14:paraId="4844E1E7" w14:textId="77777777" w:rsidR="00FE4823" w:rsidRPr="00CF5041" w:rsidRDefault="00FE4823" w:rsidP="00D93948">
            <w:pPr>
              <w:widowControl/>
              <w:spacing w:before="120" w:after="120"/>
              <w:jc w:val="both"/>
              <w:rPr>
                <w:color w:val="auto"/>
                <w:lang w:val="en-US" w:eastAsia="en-US"/>
              </w:rPr>
            </w:pPr>
          </w:p>
        </w:tc>
        <w:tc>
          <w:tcPr>
            <w:tcW w:w="992" w:type="dxa"/>
            <w:hideMark/>
          </w:tcPr>
          <w:p w14:paraId="159B34FC" w14:textId="77777777" w:rsidR="00FE4823" w:rsidRPr="00CF5041" w:rsidRDefault="00FE4823" w:rsidP="00D93948">
            <w:pPr>
              <w:widowControl/>
              <w:spacing w:before="120" w:after="120"/>
              <w:jc w:val="both"/>
              <w:rPr>
                <w:color w:val="auto"/>
                <w:lang w:val="en-US" w:eastAsia="en-US"/>
              </w:rPr>
            </w:pPr>
            <w:r w:rsidRPr="00CF5041">
              <w:rPr>
                <w:color w:val="auto"/>
                <w:lang w:eastAsia="en-US"/>
              </w:rPr>
              <w:t>Không điền</w:t>
            </w:r>
          </w:p>
        </w:tc>
        <w:tc>
          <w:tcPr>
            <w:tcW w:w="851" w:type="dxa"/>
            <w:hideMark/>
          </w:tcPr>
          <w:p w14:paraId="7E4C67C2" w14:textId="77777777" w:rsidR="00FE4823" w:rsidRPr="00CF5041" w:rsidRDefault="00FE4823" w:rsidP="00D93948">
            <w:pPr>
              <w:widowControl/>
              <w:spacing w:before="120" w:after="120"/>
              <w:jc w:val="both"/>
              <w:rPr>
                <w:color w:val="auto"/>
                <w:lang w:val="en-US" w:eastAsia="en-US"/>
              </w:rPr>
            </w:pPr>
            <w:r w:rsidRPr="00CF5041">
              <w:rPr>
                <w:color w:val="auto"/>
                <w:lang w:eastAsia="en-US"/>
              </w:rPr>
              <w:t>100%</w:t>
            </w:r>
          </w:p>
        </w:tc>
        <w:tc>
          <w:tcPr>
            <w:tcW w:w="992" w:type="dxa"/>
            <w:hideMark/>
          </w:tcPr>
          <w:p w14:paraId="543570DD" w14:textId="77777777" w:rsidR="00FE4823" w:rsidRPr="00CF5041" w:rsidRDefault="00FE4823" w:rsidP="00D93948">
            <w:pPr>
              <w:widowControl/>
              <w:spacing w:before="120" w:after="120"/>
              <w:jc w:val="both"/>
              <w:rPr>
                <w:color w:val="auto"/>
                <w:lang w:val="en-US" w:eastAsia="en-US"/>
              </w:rPr>
            </w:pPr>
          </w:p>
        </w:tc>
        <w:tc>
          <w:tcPr>
            <w:tcW w:w="992" w:type="dxa"/>
            <w:hideMark/>
          </w:tcPr>
          <w:p w14:paraId="2137C400" w14:textId="77777777" w:rsidR="00FE4823" w:rsidRPr="00CF5041" w:rsidRDefault="00FE4823" w:rsidP="00D93948">
            <w:pPr>
              <w:widowControl/>
              <w:spacing w:before="120" w:after="120"/>
              <w:jc w:val="both"/>
              <w:rPr>
                <w:color w:val="auto"/>
                <w:lang w:val="en-US" w:eastAsia="en-US"/>
              </w:rPr>
            </w:pPr>
            <w:r w:rsidRPr="00CF5041">
              <w:rPr>
                <w:color w:val="auto"/>
                <w:lang w:eastAsia="en-US"/>
              </w:rPr>
              <w:t>Không điền</w:t>
            </w:r>
          </w:p>
        </w:tc>
        <w:tc>
          <w:tcPr>
            <w:tcW w:w="992" w:type="dxa"/>
            <w:hideMark/>
          </w:tcPr>
          <w:p w14:paraId="7366F52F" w14:textId="77777777" w:rsidR="00FE4823" w:rsidRPr="00CF5041" w:rsidRDefault="00FE4823" w:rsidP="00D93948">
            <w:pPr>
              <w:widowControl/>
              <w:spacing w:before="120" w:after="120"/>
              <w:jc w:val="both"/>
              <w:rPr>
                <w:color w:val="auto"/>
                <w:lang w:val="en-US" w:eastAsia="en-US"/>
              </w:rPr>
            </w:pPr>
          </w:p>
        </w:tc>
        <w:tc>
          <w:tcPr>
            <w:tcW w:w="1985" w:type="dxa"/>
            <w:hideMark/>
          </w:tcPr>
          <w:p w14:paraId="4FD90D53" w14:textId="77777777" w:rsidR="00FE4823" w:rsidRPr="00CF5041" w:rsidRDefault="00FE4823" w:rsidP="00D93948">
            <w:pPr>
              <w:widowControl/>
              <w:spacing w:before="120" w:after="120"/>
              <w:jc w:val="both"/>
              <w:rPr>
                <w:color w:val="auto"/>
                <w:lang w:val="en-US" w:eastAsia="en-US"/>
              </w:rPr>
            </w:pPr>
            <w:r w:rsidRPr="00CF5041">
              <w:rPr>
                <w:color w:val="auto"/>
                <w:lang w:eastAsia="en-US"/>
              </w:rPr>
              <w:t>Số dư cuối ngày báo cáo</w:t>
            </w:r>
          </w:p>
        </w:tc>
      </w:tr>
      <w:tr w:rsidR="001672A5" w:rsidRPr="00CF5041" w14:paraId="77292342" w14:textId="77777777" w:rsidTr="00855670">
        <w:tc>
          <w:tcPr>
            <w:tcW w:w="2127" w:type="dxa"/>
            <w:hideMark/>
          </w:tcPr>
          <w:p w14:paraId="592545F5" w14:textId="77777777" w:rsidR="00FE4823" w:rsidRPr="00CF5041" w:rsidRDefault="00FE4823" w:rsidP="00D93948">
            <w:pPr>
              <w:widowControl/>
              <w:spacing w:before="120" w:after="120"/>
              <w:jc w:val="both"/>
              <w:rPr>
                <w:color w:val="auto"/>
                <w:lang w:val="en-US" w:eastAsia="en-US"/>
              </w:rPr>
            </w:pPr>
            <w:r w:rsidRPr="00CF5041">
              <w:rPr>
                <w:color w:val="auto"/>
                <w:lang w:eastAsia="en-US"/>
              </w:rPr>
              <w:t>6. Dư nợ đến hạn thanh toán của các khoản cho vay (trừ nợ xấu) có bảo đảm bằng tài sản</w:t>
            </w:r>
          </w:p>
        </w:tc>
        <w:tc>
          <w:tcPr>
            <w:tcW w:w="851" w:type="dxa"/>
            <w:hideMark/>
          </w:tcPr>
          <w:p w14:paraId="05F9BDB8" w14:textId="77777777" w:rsidR="00FE4823" w:rsidRPr="00CF5041" w:rsidRDefault="00FE4823" w:rsidP="00D93948">
            <w:pPr>
              <w:widowControl/>
              <w:spacing w:before="120" w:after="120"/>
              <w:jc w:val="both"/>
              <w:rPr>
                <w:color w:val="auto"/>
                <w:lang w:val="en-US" w:eastAsia="en-US"/>
              </w:rPr>
            </w:pPr>
          </w:p>
        </w:tc>
        <w:tc>
          <w:tcPr>
            <w:tcW w:w="992" w:type="dxa"/>
            <w:hideMark/>
          </w:tcPr>
          <w:p w14:paraId="58EFFD08" w14:textId="77777777" w:rsidR="00FE4823" w:rsidRPr="00CF5041" w:rsidRDefault="00FE4823" w:rsidP="00D93948">
            <w:pPr>
              <w:widowControl/>
              <w:spacing w:before="120" w:after="120"/>
              <w:jc w:val="both"/>
              <w:rPr>
                <w:color w:val="auto"/>
                <w:lang w:val="en-US" w:eastAsia="en-US"/>
              </w:rPr>
            </w:pPr>
          </w:p>
        </w:tc>
        <w:tc>
          <w:tcPr>
            <w:tcW w:w="851" w:type="dxa"/>
            <w:hideMark/>
          </w:tcPr>
          <w:p w14:paraId="09CAF6CC" w14:textId="77777777" w:rsidR="00FE4823" w:rsidRPr="00CF5041" w:rsidRDefault="00FE4823" w:rsidP="00D93948">
            <w:pPr>
              <w:widowControl/>
              <w:spacing w:before="120" w:after="120"/>
              <w:jc w:val="both"/>
              <w:rPr>
                <w:color w:val="auto"/>
                <w:lang w:val="en-US" w:eastAsia="en-US"/>
              </w:rPr>
            </w:pPr>
            <w:r w:rsidRPr="00CF5041">
              <w:rPr>
                <w:color w:val="auto"/>
                <w:lang w:eastAsia="en-US"/>
              </w:rPr>
              <w:t>80%</w:t>
            </w:r>
          </w:p>
        </w:tc>
        <w:tc>
          <w:tcPr>
            <w:tcW w:w="992" w:type="dxa"/>
            <w:hideMark/>
          </w:tcPr>
          <w:p w14:paraId="4A6AB03F" w14:textId="77777777" w:rsidR="00FE4823" w:rsidRPr="00CF5041" w:rsidRDefault="00FE4823" w:rsidP="00D93948">
            <w:pPr>
              <w:widowControl/>
              <w:spacing w:before="120" w:after="120"/>
              <w:jc w:val="both"/>
              <w:rPr>
                <w:color w:val="auto"/>
                <w:lang w:val="en-US" w:eastAsia="en-US"/>
              </w:rPr>
            </w:pPr>
          </w:p>
        </w:tc>
        <w:tc>
          <w:tcPr>
            <w:tcW w:w="992" w:type="dxa"/>
            <w:hideMark/>
          </w:tcPr>
          <w:p w14:paraId="79F84D4E" w14:textId="77777777" w:rsidR="00FE4823" w:rsidRPr="00CF5041" w:rsidRDefault="00FE4823" w:rsidP="00D93948">
            <w:pPr>
              <w:widowControl/>
              <w:spacing w:before="120" w:after="120"/>
              <w:jc w:val="both"/>
              <w:rPr>
                <w:color w:val="auto"/>
                <w:lang w:val="en-US" w:eastAsia="en-US"/>
              </w:rPr>
            </w:pPr>
          </w:p>
        </w:tc>
        <w:tc>
          <w:tcPr>
            <w:tcW w:w="992" w:type="dxa"/>
            <w:hideMark/>
          </w:tcPr>
          <w:p w14:paraId="45BAA32B" w14:textId="77777777" w:rsidR="00FE4823" w:rsidRPr="00CF5041" w:rsidRDefault="00FE4823" w:rsidP="00D93948">
            <w:pPr>
              <w:widowControl/>
              <w:spacing w:before="120" w:after="120"/>
              <w:jc w:val="both"/>
              <w:rPr>
                <w:color w:val="auto"/>
                <w:lang w:val="en-US" w:eastAsia="en-US"/>
              </w:rPr>
            </w:pPr>
          </w:p>
        </w:tc>
        <w:tc>
          <w:tcPr>
            <w:tcW w:w="1985" w:type="dxa"/>
            <w:hideMark/>
          </w:tcPr>
          <w:p w14:paraId="24128FF3" w14:textId="77777777" w:rsidR="00FE4823" w:rsidRPr="00CF5041" w:rsidRDefault="00FE4823" w:rsidP="00D93948">
            <w:pPr>
              <w:widowControl/>
              <w:spacing w:before="120" w:after="120"/>
              <w:jc w:val="both"/>
              <w:rPr>
                <w:color w:val="auto"/>
                <w:lang w:val="en-US" w:eastAsia="en-US"/>
              </w:rPr>
            </w:pPr>
            <w:r w:rsidRPr="00CF5041">
              <w:rPr>
                <w:color w:val="auto"/>
                <w:lang w:eastAsia="en-US"/>
              </w:rPr>
              <w:t>Theo kỳ hạn trên hợp đồng vay</w:t>
            </w:r>
          </w:p>
        </w:tc>
      </w:tr>
      <w:tr w:rsidR="001672A5" w:rsidRPr="00CF5041" w14:paraId="31FD3F4D" w14:textId="77777777" w:rsidTr="00855670">
        <w:tc>
          <w:tcPr>
            <w:tcW w:w="2127" w:type="dxa"/>
            <w:hideMark/>
          </w:tcPr>
          <w:p w14:paraId="003A8DD9" w14:textId="77777777" w:rsidR="00FE4823" w:rsidRPr="00CF5041" w:rsidRDefault="00FE4823" w:rsidP="00D93948">
            <w:pPr>
              <w:widowControl/>
              <w:spacing w:before="120" w:after="120"/>
              <w:jc w:val="both"/>
              <w:rPr>
                <w:color w:val="auto"/>
                <w:lang w:val="en-US" w:eastAsia="en-US"/>
              </w:rPr>
            </w:pPr>
            <w:r w:rsidRPr="00CF5041">
              <w:rPr>
                <w:color w:val="auto"/>
                <w:lang w:eastAsia="en-US"/>
              </w:rPr>
              <w:t>- Gốc</w:t>
            </w:r>
          </w:p>
        </w:tc>
        <w:tc>
          <w:tcPr>
            <w:tcW w:w="851" w:type="dxa"/>
            <w:hideMark/>
          </w:tcPr>
          <w:p w14:paraId="61605C7A" w14:textId="77777777" w:rsidR="00FE4823" w:rsidRPr="00CF5041" w:rsidRDefault="00FE4823" w:rsidP="00D93948">
            <w:pPr>
              <w:widowControl/>
              <w:spacing w:before="120" w:after="120"/>
              <w:jc w:val="both"/>
              <w:rPr>
                <w:color w:val="auto"/>
                <w:lang w:val="en-US" w:eastAsia="en-US"/>
              </w:rPr>
            </w:pPr>
          </w:p>
        </w:tc>
        <w:tc>
          <w:tcPr>
            <w:tcW w:w="992" w:type="dxa"/>
            <w:hideMark/>
          </w:tcPr>
          <w:p w14:paraId="48C89953" w14:textId="77777777" w:rsidR="00FE4823" w:rsidRPr="00CF5041" w:rsidRDefault="00FE4823" w:rsidP="00D93948">
            <w:pPr>
              <w:widowControl/>
              <w:spacing w:before="120" w:after="120"/>
              <w:jc w:val="both"/>
              <w:rPr>
                <w:color w:val="auto"/>
                <w:lang w:val="en-US" w:eastAsia="en-US"/>
              </w:rPr>
            </w:pPr>
          </w:p>
        </w:tc>
        <w:tc>
          <w:tcPr>
            <w:tcW w:w="851" w:type="dxa"/>
            <w:hideMark/>
          </w:tcPr>
          <w:p w14:paraId="52AEE7AF" w14:textId="77777777" w:rsidR="00FE4823" w:rsidRPr="00CF5041" w:rsidRDefault="00FE4823" w:rsidP="00D93948">
            <w:pPr>
              <w:widowControl/>
              <w:spacing w:before="120" w:after="120"/>
              <w:jc w:val="both"/>
              <w:rPr>
                <w:color w:val="auto"/>
                <w:lang w:val="en-US" w:eastAsia="en-US"/>
              </w:rPr>
            </w:pPr>
            <w:r w:rsidRPr="00CF5041">
              <w:rPr>
                <w:color w:val="auto"/>
                <w:lang w:eastAsia="en-US"/>
              </w:rPr>
              <w:t>80%</w:t>
            </w:r>
          </w:p>
        </w:tc>
        <w:tc>
          <w:tcPr>
            <w:tcW w:w="992" w:type="dxa"/>
            <w:hideMark/>
          </w:tcPr>
          <w:p w14:paraId="1AFAF8F2" w14:textId="77777777" w:rsidR="00FE4823" w:rsidRPr="00CF5041" w:rsidRDefault="00FE4823" w:rsidP="00D93948">
            <w:pPr>
              <w:widowControl/>
              <w:spacing w:before="120" w:after="120"/>
              <w:jc w:val="both"/>
              <w:rPr>
                <w:color w:val="auto"/>
                <w:lang w:val="en-US" w:eastAsia="en-US"/>
              </w:rPr>
            </w:pPr>
          </w:p>
        </w:tc>
        <w:tc>
          <w:tcPr>
            <w:tcW w:w="992" w:type="dxa"/>
            <w:hideMark/>
          </w:tcPr>
          <w:p w14:paraId="292D239F" w14:textId="77777777" w:rsidR="00FE4823" w:rsidRPr="00CF5041" w:rsidRDefault="00FE4823" w:rsidP="00D93948">
            <w:pPr>
              <w:widowControl/>
              <w:spacing w:before="120" w:after="120"/>
              <w:jc w:val="both"/>
              <w:rPr>
                <w:color w:val="auto"/>
                <w:lang w:val="en-US" w:eastAsia="en-US"/>
              </w:rPr>
            </w:pPr>
          </w:p>
        </w:tc>
        <w:tc>
          <w:tcPr>
            <w:tcW w:w="992" w:type="dxa"/>
            <w:hideMark/>
          </w:tcPr>
          <w:p w14:paraId="43BC5E15" w14:textId="77777777" w:rsidR="00FE4823" w:rsidRPr="00CF5041" w:rsidRDefault="00FE4823" w:rsidP="00D93948">
            <w:pPr>
              <w:widowControl/>
              <w:spacing w:before="120" w:after="120"/>
              <w:jc w:val="both"/>
              <w:rPr>
                <w:color w:val="auto"/>
                <w:lang w:val="en-US" w:eastAsia="en-US"/>
              </w:rPr>
            </w:pPr>
          </w:p>
        </w:tc>
        <w:tc>
          <w:tcPr>
            <w:tcW w:w="1985" w:type="dxa"/>
            <w:hideMark/>
          </w:tcPr>
          <w:p w14:paraId="2C7224DF" w14:textId="77777777" w:rsidR="00FE4823" w:rsidRPr="00CF5041" w:rsidRDefault="00FE4823" w:rsidP="00D93948">
            <w:pPr>
              <w:widowControl/>
              <w:spacing w:before="120" w:after="120"/>
              <w:jc w:val="both"/>
              <w:rPr>
                <w:color w:val="auto"/>
                <w:lang w:val="en-US" w:eastAsia="en-US"/>
              </w:rPr>
            </w:pPr>
          </w:p>
        </w:tc>
      </w:tr>
      <w:tr w:rsidR="001672A5" w:rsidRPr="00CF5041" w14:paraId="74EC43B7" w14:textId="77777777" w:rsidTr="00855670">
        <w:tc>
          <w:tcPr>
            <w:tcW w:w="2127" w:type="dxa"/>
            <w:hideMark/>
          </w:tcPr>
          <w:p w14:paraId="5B7240F7" w14:textId="77777777" w:rsidR="00FE4823" w:rsidRPr="00CF5041" w:rsidRDefault="00FE4823" w:rsidP="00D93948">
            <w:pPr>
              <w:widowControl/>
              <w:spacing w:before="120" w:after="120"/>
              <w:jc w:val="both"/>
              <w:rPr>
                <w:color w:val="auto"/>
                <w:lang w:val="en-US" w:eastAsia="en-US"/>
              </w:rPr>
            </w:pPr>
            <w:r w:rsidRPr="00CF5041">
              <w:rPr>
                <w:color w:val="auto"/>
                <w:lang w:eastAsia="en-US"/>
              </w:rPr>
              <w:t>- Lãi</w:t>
            </w:r>
          </w:p>
        </w:tc>
        <w:tc>
          <w:tcPr>
            <w:tcW w:w="851" w:type="dxa"/>
            <w:hideMark/>
          </w:tcPr>
          <w:p w14:paraId="49333552" w14:textId="77777777" w:rsidR="00FE4823" w:rsidRPr="00CF5041" w:rsidRDefault="00FE4823" w:rsidP="00D93948">
            <w:pPr>
              <w:widowControl/>
              <w:spacing w:before="120" w:after="120"/>
              <w:jc w:val="both"/>
              <w:rPr>
                <w:color w:val="auto"/>
                <w:lang w:val="en-US" w:eastAsia="en-US"/>
              </w:rPr>
            </w:pPr>
          </w:p>
        </w:tc>
        <w:tc>
          <w:tcPr>
            <w:tcW w:w="992" w:type="dxa"/>
            <w:hideMark/>
          </w:tcPr>
          <w:p w14:paraId="4C9172B7" w14:textId="77777777" w:rsidR="00FE4823" w:rsidRPr="00CF5041" w:rsidRDefault="00FE4823" w:rsidP="00D93948">
            <w:pPr>
              <w:widowControl/>
              <w:spacing w:before="120" w:after="120"/>
              <w:jc w:val="both"/>
              <w:rPr>
                <w:color w:val="auto"/>
                <w:lang w:val="en-US" w:eastAsia="en-US"/>
              </w:rPr>
            </w:pPr>
          </w:p>
        </w:tc>
        <w:tc>
          <w:tcPr>
            <w:tcW w:w="851" w:type="dxa"/>
            <w:hideMark/>
          </w:tcPr>
          <w:p w14:paraId="02EAADDA" w14:textId="77777777" w:rsidR="00FE4823" w:rsidRPr="00CF5041" w:rsidRDefault="00FE4823" w:rsidP="00D93948">
            <w:pPr>
              <w:widowControl/>
              <w:spacing w:before="120" w:after="120"/>
              <w:jc w:val="both"/>
              <w:rPr>
                <w:color w:val="auto"/>
                <w:lang w:val="en-US" w:eastAsia="en-US"/>
              </w:rPr>
            </w:pPr>
            <w:r w:rsidRPr="00CF5041">
              <w:rPr>
                <w:color w:val="auto"/>
                <w:lang w:eastAsia="en-US"/>
              </w:rPr>
              <w:t>80%</w:t>
            </w:r>
          </w:p>
        </w:tc>
        <w:tc>
          <w:tcPr>
            <w:tcW w:w="992" w:type="dxa"/>
            <w:hideMark/>
          </w:tcPr>
          <w:p w14:paraId="001C2FBC" w14:textId="77777777" w:rsidR="00FE4823" w:rsidRPr="00CF5041" w:rsidRDefault="00FE4823" w:rsidP="00D93948">
            <w:pPr>
              <w:widowControl/>
              <w:spacing w:before="120" w:after="120"/>
              <w:jc w:val="both"/>
              <w:rPr>
                <w:color w:val="auto"/>
                <w:lang w:val="en-US" w:eastAsia="en-US"/>
              </w:rPr>
            </w:pPr>
          </w:p>
        </w:tc>
        <w:tc>
          <w:tcPr>
            <w:tcW w:w="992" w:type="dxa"/>
            <w:hideMark/>
          </w:tcPr>
          <w:p w14:paraId="545FE0DE" w14:textId="77777777" w:rsidR="00FE4823" w:rsidRPr="00CF5041" w:rsidRDefault="00FE4823" w:rsidP="00D93948">
            <w:pPr>
              <w:widowControl/>
              <w:spacing w:before="120" w:after="120"/>
              <w:jc w:val="both"/>
              <w:rPr>
                <w:color w:val="auto"/>
                <w:lang w:val="en-US" w:eastAsia="en-US"/>
              </w:rPr>
            </w:pPr>
          </w:p>
        </w:tc>
        <w:tc>
          <w:tcPr>
            <w:tcW w:w="992" w:type="dxa"/>
            <w:hideMark/>
          </w:tcPr>
          <w:p w14:paraId="7D427D81" w14:textId="77777777" w:rsidR="00FE4823" w:rsidRPr="00CF5041" w:rsidRDefault="00FE4823" w:rsidP="00D93948">
            <w:pPr>
              <w:widowControl/>
              <w:spacing w:before="120" w:after="120"/>
              <w:jc w:val="both"/>
              <w:rPr>
                <w:color w:val="auto"/>
                <w:lang w:val="en-US" w:eastAsia="en-US"/>
              </w:rPr>
            </w:pPr>
          </w:p>
        </w:tc>
        <w:tc>
          <w:tcPr>
            <w:tcW w:w="1985" w:type="dxa"/>
            <w:hideMark/>
          </w:tcPr>
          <w:p w14:paraId="7AD5BE23" w14:textId="77777777" w:rsidR="00FE4823" w:rsidRPr="00CF5041" w:rsidRDefault="00FE4823" w:rsidP="00D93948">
            <w:pPr>
              <w:widowControl/>
              <w:spacing w:before="120" w:after="120"/>
              <w:jc w:val="both"/>
              <w:rPr>
                <w:color w:val="auto"/>
                <w:lang w:val="en-US" w:eastAsia="en-US"/>
              </w:rPr>
            </w:pPr>
          </w:p>
        </w:tc>
      </w:tr>
      <w:tr w:rsidR="001672A5" w:rsidRPr="00CF5041" w14:paraId="2D704E8A" w14:textId="77777777" w:rsidTr="00855670">
        <w:tc>
          <w:tcPr>
            <w:tcW w:w="2127" w:type="dxa"/>
            <w:hideMark/>
          </w:tcPr>
          <w:p w14:paraId="26EEBF30" w14:textId="77777777" w:rsidR="00FE4823" w:rsidRPr="00CF5041" w:rsidRDefault="00FE4823" w:rsidP="00D93948">
            <w:pPr>
              <w:widowControl/>
              <w:spacing w:before="120" w:after="120"/>
              <w:jc w:val="both"/>
              <w:rPr>
                <w:color w:val="auto"/>
                <w:lang w:val="en-US" w:eastAsia="en-US"/>
              </w:rPr>
            </w:pPr>
            <w:r w:rsidRPr="00CF5041">
              <w:rPr>
                <w:color w:val="auto"/>
                <w:lang w:eastAsia="en-US"/>
              </w:rPr>
              <w:t xml:space="preserve">7. Dư nợ đến hạn thanh toán của các khoản cho vay (trừ </w:t>
            </w:r>
            <w:r w:rsidRPr="00CF5041">
              <w:rPr>
                <w:color w:val="auto"/>
                <w:lang w:eastAsia="en-US"/>
              </w:rPr>
              <w:lastRenderedPageBreak/>
              <w:t>nợ xấu) không có bảo đảm bằng tài sản</w:t>
            </w:r>
          </w:p>
        </w:tc>
        <w:tc>
          <w:tcPr>
            <w:tcW w:w="851" w:type="dxa"/>
            <w:hideMark/>
          </w:tcPr>
          <w:p w14:paraId="30296A15" w14:textId="77777777" w:rsidR="00FE4823" w:rsidRPr="00CF5041" w:rsidRDefault="00FE4823" w:rsidP="00D93948">
            <w:pPr>
              <w:widowControl/>
              <w:spacing w:before="120" w:after="120"/>
              <w:jc w:val="both"/>
              <w:rPr>
                <w:color w:val="auto"/>
                <w:lang w:val="en-US" w:eastAsia="en-US"/>
              </w:rPr>
            </w:pPr>
          </w:p>
        </w:tc>
        <w:tc>
          <w:tcPr>
            <w:tcW w:w="992" w:type="dxa"/>
            <w:hideMark/>
          </w:tcPr>
          <w:p w14:paraId="3FD772B5" w14:textId="77777777" w:rsidR="00FE4823" w:rsidRPr="00CF5041" w:rsidRDefault="00FE4823" w:rsidP="00D93948">
            <w:pPr>
              <w:widowControl/>
              <w:spacing w:before="120" w:after="120"/>
              <w:jc w:val="both"/>
              <w:rPr>
                <w:color w:val="auto"/>
                <w:lang w:val="en-US" w:eastAsia="en-US"/>
              </w:rPr>
            </w:pPr>
          </w:p>
        </w:tc>
        <w:tc>
          <w:tcPr>
            <w:tcW w:w="851" w:type="dxa"/>
            <w:hideMark/>
          </w:tcPr>
          <w:p w14:paraId="475863BE" w14:textId="77777777" w:rsidR="00FE4823" w:rsidRPr="00CF5041" w:rsidRDefault="00FE4823" w:rsidP="00D93948">
            <w:pPr>
              <w:widowControl/>
              <w:spacing w:before="120" w:after="120"/>
              <w:jc w:val="both"/>
              <w:rPr>
                <w:color w:val="auto"/>
                <w:lang w:val="en-US" w:eastAsia="en-US"/>
              </w:rPr>
            </w:pPr>
            <w:r w:rsidRPr="00CF5041">
              <w:rPr>
                <w:color w:val="auto"/>
                <w:lang w:eastAsia="en-US"/>
              </w:rPr>
              <w:t>75%</w:t>
            </w:r>
          </w:p>
        </w:tc>
        <w:tc>
          <w:tcPr>
            <w:tcW w:w="992" w:type="dxa"/>
            <w:hideMark/>
          </w:tcPr>
          <w:p w14:paraId="24F74FA2" w14:textId="77777777" w:rsidR="00FE4823" w:rsidRPr="00CF5041" w:rsidRDefault="00FE4823" w:rsidP="00D93948">
            <w:pPr>
              <w:widowControl/>
              <w:spacing w:before="120" w:after="120"/>
              <w:jc w:val="both"/>
              <w:rPr>
                <w:color w:val="auto"/>
                <w:lang w:val="en-US" w:eastAsia="en-US"/>
              </w:rPr>
            </w:pPr>
          </w:p>
        </w:tc>
        <w:tc>
          <w:tcPr>
            <w:tcW w:w="992" w:type="dxa"/>
            <w:hideMark/>
          </w:tcPr>
          <w:p w14:paraId="3EB6CB00" w14:textId="77777777" w:rsidR="00FE4823" w:rsidRPr="00CF5041" w:rsidRDefault="00FE4823" w:rsidP="00D93948">
            <w:pPr>
              <w:widowControl/>
              <w:spacing w:before="120" w:after="120"/>
              <w:jc w:val="both"/>
              <w:rPr>
                <w:color w:val="auto"/>
                <w:lang w:val="en-US" w:eastAsia="en-US"/>
              </w:rPr>
            </w:pPr>
          </w:p>
        </w:tc>
        <w:tc>
          <w:tcPr>
            <w:tcW w:w="992" w:type="dxa"/>
            <w:hideMark/>
          </w:tcPr>
          <w:p w14:paraId="05968DFA" w14:textId="77777777" w:rsidR="00FE4823" w:rsidRPr="00CF5041" w:rsidRDefault="00FE4823" w:rsidP="00D93948">
            <w:pPr>
              <w:widowControl/>
              <w:spacing w:before="120" w:after="120"/>
              <w:jc w:val="both"/>
              <w:rPr>
                <w:color w:val="auto"/>
                <w:lang w:val="en-US" w:eastAsia="en-US"/>
              </w:rPr>
            </w:pPr>
          </w:p>
        </w:tc>
        <w:tc>
          <w:tcPr>
            <w:tcW w:w="1985" w:type="dxa"/>
            <w:hideMark/>
          </w:tcPr>
          <w:p w14:paraId="7BD17487" w14:textId="77777777" w:rsidR="00FE4823" w:rsidRPr="00CF5041" w:rsidRDefault="00FE4823" w:rsidP="00D93948">
            <w:pPr>
              <w:widowControl/>
              <w:spacing w:before="120" w:after="120"/>
              <w:jc w:val="both"/>
              <w:rPr>
                <w:color w:val="auto"/>
                <w:lang w:val="en-US" w:eastAsia="en-US"/>
              </w:rPr>
            </w:pPr>
            <w:r w:rsidRPr="00CF5041">
              <w:rPr>
                <w:color w:val="auto"/>
                <w:lang w:eastAsia="en-US"/>
              </w:rPr>
              <w:t>Theo kỳ hạn trên hợp đồng vay</w:t>
            </w:r>
          </w:p>
        </w:tc>
      </w:tr>
      <w:tr w:rsidR="001672A5" w:rsidRPr="00CF5041" w14:paraId="6808206B" w14:textId="77777777" w:rsidTr="00855670">
        <w:tc>
          <w:tcPr>
            <w:tcW w:w="2127" w:type="dxa"/>
            <w:hideMark/>
          </w:tcPr>
          <w:p w14:paraId="4881C266" w14:textId="77777777" w:rsidR="00FE4823" w:rsidRPr="00CF5041" w:rsidRDefault="00FE4823" w:rsidP="00D93948">
            <w:pPr>
              <w:widowControl/>
              <w:spacing w:before="120" w:after="120"/>
              <w:jc w:val="both"/>
              <w:rPr>
                <w:color w:val="auto"/>
                <w:lang w:val="en-US" w:eastAsia="en-US"/>
              </w:rPr>
            </w:pPr>
            <w:r w:rsidRPr="00CF5041">
              <w:rPr>
                <w:color w:val="auto"/>
                <w:lang w:eastAsia="en-US"/>
              </w:rPr>
              <w:lastRenderedPageBreak/>
              <w:t>- Gốc</w:t>
            </w:r>
          </w:p>
        </w:tc>
        <w:tc>
          <w:tcPr>
            <w:tcW w:w="851" w:type="dxa"/>
            <w:hideMark/>
          </w:tcPr>
          <w:p w14:paraId="350B9AB9" w14:textId="77777777" w:rsidR="00FE4823" w:rsidRPr="00CF5041" w:rsidRDefault="00FE4823" w:rsidP="00D93948">
            <w:pPr>
              <w:widowControl/>
              <w:spacing w:before="120" w:after="120"/>
              <w:jc w:val="both"/>
              <w:rPr>
                <w:color w:val="auto"/>
                <w:lang w:val="en-US" w:eastAsia="en-US"/>
              </w:rPr>
            </w:pPr>
          </w:p>
        </w:tc>
        <w:tc>
          <w:tcPr>
            <w:tcW w:w="992" w:type="dxa"/>
            <w:hideMark/>
          </w:tcPr>
          <w:p w14:paraId="193B729E" w14:textId="77777777" w:rsidR="00FE4823" w:rsidRPr="00CF5041" w:rsidRDefault="00FE4823" w:rsidP="00D93948">
            <w:pPr>
              <w:widowControl/>
              <w:spacing w:before="120" w:after="120"/>
              <w:jc w:val="both"/>
              <w:rPr>
                <w:color w:val="auto"/>
                <w:lang w:val="en-US" w:eastAsia="en-US"/>
              </w:rPr>
            </w:pPr>
          </w:p>
        </w:tc>
        <w:tc>
          <w:tcPr>
            <w:tcW w:w="851" w:type="dxa"/>
            <w:hideMark/>
          </w:tcPr>
          <w:p w14:paraId="18A8CED9" w14:textId="77777777" w:rsidR="00FE4823" w:rsidRPr="00CF5041" w:rsidRDefault="00FE4823" w:rsidP="00D93948">
            <w:pPr>
              <w:widowControl/>
              <w:spacing w:before="120" w:after="120"/>
              <w:jc w:val="both"/>
              <w:rPr>
                <w:color w:val="auto"/>
                <w:lang w:val="en-US" w:eastAsia="en-US"/>
              </w:rPr>
            </w:pPr>
            <w:r w:rsidRPr="00CF5041">
              <w:rPr>
                <w:color w:val="auto"/>
                <w:lang w:eastAsia="en-US"/>
              </w:rPr>
              <w:t>75%</w:t>
            </w:r>
          </w:p>
        </w:tc>
        <w:tc>
          <w:tcPr>
            <w:tcW w:w="992" w:type="dxa"/>
            <w:hideMark/>
          </w:tcPr>
          <w:p w14:paraId="1F141E32" w14:textId="77777777" w:rsidR="00FE4823" w:rsidRPr="00CF5041" w:rsidRDefault="00FE4823" w:rsidP="00D93948">
            <w:pPr>
              <w:widowControl/>
              <w:spacing w:before="120" w:after="120"/>
              <w:jc w:val="both"/>
              <w:rPr>
                <w:color w:val="auto"/>
                <w:lang w:val="en-US" w:eastAsia="en-US"/>
              </w:rPr>
            </w:pPr>
          </w:p>
        </w:tc>
        <w:tc>
          <w:tcPr>
            <w:tcW w:w="992" w:type="dxa"/>
            <w:hideMark/>
          </w:tcPr>
          <w:p w14:paraId="61D722F4" w14:textId="77777777" w:rsidR="00FE4823" w:rsidRPr="00CF5041" w:rsidRDefault="00FE4823" w:rsidP="00D93948">
            <w:pPr>
              <w:widowControl/>
              <w:spacing w:before="120" w:after="120"/>
              <w:jc w:val="both"/>
              <w:rPr>
                <w:color w:val="auto"/>
                <w:lang w:val="en-US" w:eastAsia="en-US"/>
              </w:rPr>
            </w:pPr>
          </w:p>
        </w:tc>
        <w:tc>
          <w:tcPr>
            <w:tcW w:w="992" w:type="dxa"/>
            <w:hideMark/>
          </w:tcPr>
          <w:p w14:paraId="1564CCBA" w14:textId="77777777" w:rsidR="00FE4823" w:rsidRPr="00CF5041" w:rsidRDefault="00FE4823" w:rsidP="00D93948">
            <w:pPr>
              <w:widowControl/>
              <w:spacing w:before="120" w:after="120"/>
              <w:jc w:val="both"/>
              <w:rPr>
                <w:color w:val="auto"/>
                <w:lang w:val="en-US" w:eastAsia="en-US"/>
              </w:rPr>
            </w:pPr>
          </w:p>
        </w:tc>
        <w:tc>
          <w:tcPr>
            <w:tcW w:w="1985" w:type="dxa"/>
            <w:hideMark/>
          </w:tcPr>
          <w:p w14:paraId="570EA621" w14:textId="77777777" w:rsidR="00FE4823" w:rsidRPr="00CF5041" w:rsidRDefault="00FE4823" w:rsidP="00D93948">
            <w:pPr>
              <w:widowControl/>
              <w:spacing w:before="120" w:after="120"/>
              <w:jc w:val="both"/>
              <w:rPr>
                <w:color w:val="auto"/>
                <w:lang w:val="en-US" w:eastAsia="en-US"/>
              </w:rPr>
            </w:pPr>
          </w:p>
        </w:tc>
      </w:tr>
      <w:tr w:rsidR="001672A5" w:rsidRPr="00CF5041" w14:paraId="4C131B07" w14:textId="77777777" w:rsidTr="00855670">
        <w:tc>
          <w:tcPr>
            <w:tcW w:w="2127" w:type="dxa"/>
            <w:hideMark/>
          </w:tcPr>
          <w:p w14:paraId="1AD0A04F" w14:textId="77777777" w:rsidR="00FE4823" w:rsidRPr="00CF5041" w:rsidRDefault="00FE4823" w:rsidP="00D93948">
            <w:pPr>
              <w:widowControl/>
              <w:spacing w:before="120" w:after="120"/>
              <w:jc w:val="both"/>
              <w:rPr>
                <w:color w:val="auto"/>
                <w:lang w:val="en-US" w:eastAsia="en-US"/>
              </w:rPr>
            </w:pPr>
            <w:r w:rsidRPr="00CF5041">
              <w:rPr>
                <w:color w:val="auto"/>
                <w:lang w:eastAsia="en-US"/>
              </w:rPr>
              <w:t>- Lãi</w:t>
            </w:r>
          </w:p>
        </w:tc>
        <w:tc>
          <w:tcPr>
            <w:tcW w:w="851" w:type="dxa"/>
            <w:hideMark/>
          </w:tcPr>
          <w:p w14:paraId="50A2BEB4" w14:textId="77777777" w:rsidR="00FE4823" w:rsidRPr="00CF5041" w:rsidRDefault="00FE4823" w:rsidP="00D93948">
            <w:pPr>
              <w:widowControl/>
              <w:spacing w:before="120" w:after="120"/>
              <w:jc w:val="both"/>
              <w:rPr>
                <w:color w:val="auto"/>
                <w:lang w:val="en-US" w:eastAsia="en-US"/>
              </w:rPr>
            </w:pPr>
          </w:p>
        </w:tc>
        <w:tc>
          <w:tcPr>
            <w:tcW w:w="992" w:type="dxa"/>
            <w:hideMark/>
          </w:tcPr>
          <w:p w14:paraId="0E7AEE96" w14:textId="77777777" w:rsidR="00FE4823" w:rsidRPr="00CF5041" w:rsidRDefault="00FE4823" w:rsidP="00D93948">
            <w:pPr>
              <w:widowControl/>
              <w:spacing w:before="120" w:after="120"/>
              <w:jc w:val="both"/>
              <w:rPr>
                <w:color w:val="auto"/>
                <w:lang w:val="en-US" w:eastAsia="en-US"/>
              </w:rPr>
            </w:pPr>
          </w:p>
        </w:tc>
        <w:tc>
          <w:tcPr>
            <w:tcW w:w="851" w:type="dxa"/>
            <w:hideMark/>
          </w:tcPr>
          <w:p w14:paraId="1D1FB940" w14:textId="77777777" w:rsidR="00FE4823" w:rsidRPr="00CF5041" w:rsidRDefault="00FE4823" w:rsidP="00D93948">
            <w:pPr>
              <w:widowControl/>
              <w:spacing w:before="120" w:after="120"/>
              <w:jc w:val="both"/>
              <w:rPr>
                <w:color w:val="auto"/>
                <w:lang w:val="en-US" w:eastAsia="en-US"/>
              </w:rPr>
            </w:pPr>
            <w:r w:rsidRPr="00CF5041">
              <w:rPr>
                <w:color w:val="auto"/>
                <w:lang w:eastAsia="en-US"/>
              </w:rPr>
              <w:t>75%</w:t>
            </w:r>
          </w:p>
        </w:tc>
        <w:tc>
          <w:tcPr>
            <w:tcW w:w="992" w:type="dxa"/>
            <w:hideMark/>
          </w:tcPr>
          <w:p w14:paraId="65128E09" w14:textId="77777777" w:rsidR="00FE4823" w:rsidRPr="00CF5041" w:rsidRDefault="00FE4823" w:rsidP="00D93948">
            <w:pPr>
              <w:widowControl/>
              <w:spacing w:before="120" w:after="120"/>
              <w:jc w:val="both"/>
              <w:rPr>
                <w:color w:val="auto"/>
                <w:lang w:val="en-US" w:eastAsia="en-US"/>
              </w:rPr>
            </w:pPr>
          </w:p>
        </w:tc>
        <w:tc>
          <w:tcPr>
            <w:tcW w:w="992" w:type="dxa"/>
            <w:hideMark/>
          </w:tcPr>
          <w:p w14:paraId="13DFDB8B" w14:textId="77777777" w:rsidR="00FE4823" w:rsidRPr="00CF5041" w:rsidRDefault="00FE4823" w:rsidP="00D93948">
            <w:pPr>
              <w:widowControl/>
              <w:spacing w:before="120" w:after="120"/>
              <w:jc w:val="both"/>
              <w:rPr>
                <w:color w:val="auto"/>
                <w:lang w:val="en-US" w:eastAsia="en-US"/>
              </w:rPr>
            </w:pPr>
          </w:p>
        </w:tc>
        <w:tc>
          <w:tcPr>
            <w:tcW w:w="992" w:type="dxa"/>
            <w:hideMark/>
          </w:tcPr>
          <w:p w14:paraId="0DF62908" w14:textId="77777777" w:rsidR="00FE4823" w:rsidRPr="00CF5041" w:rsidRDefault="00FE4823" w:rsidP="00D93948">
            <w:pPr>
              <w:widowControl/>
              <w:spacing w:before="120" w:after="120"/>
              <w:jc w:val="both"/>
              <w:rPr>
                <w:color w:val="auto"/>
                <w:lang w:val="en-US" w:eastAsia="en-US"/>
              </w:rPr>
            </w:pPr>
          </w:p>
        </w:tc>
        <w:tc>
          <w:tcPr>
            <w:tcW w:w="1985" w:type="dxa"/>
            <w:hideMark/>
          </w:tcPr>
          <w:p w14:paraId="3790E0F6" w14:textId="77777777" w:rsidR="00FE4823" w:rsidRPr="00CF5041" w:rsidRDefault="00FE4823" w:rsidP="00D93948">
            <w:pPr>
              <w:widowControl/>
              <w:spacing w:before="120" w:after="120"/>
              <w:jc w:val="both"/>
              <w:rPr>
                <w:color w:val="auto"/>
                <w:lang w:val="en-US" w:eastAsia="en-US"/>
              </w:rPr>
            </w:pPr>
          </w:p>
        </w:tc>
      </w:tr>
      <w:tr w:rsidR="001672A5" w:rsidRPr="00CF5041" w14:paraId="1F97E384" w14:textId="77777777" w:rsidTr="00855670">
        <w:tc>
          <w:tcPr>
            <w:tcW w:w="2127" w:type="dxa"/>
            <w:hideMark/>
          </w:tcPr>
          <w:p w14:paraId="1400B755" w14:textId="77777777" w:rsidR="00FE4823" w:rsidRPr="00CF5041" w:rsidRDefault="00FE4823" w:rsidP="00D93948">
            <w:pPr>
              <w:widowControl/>
              <w:spacing w:before="120" w:after="120"/>
              <w:jc w:val="both"/>
              <w:rPr>
                <w:color w:val="auto"/>
                <w:lang w:val="en-US" w:eastAsia="en-US"/>
              </w:rPr>
            </w:pPr>
            <w:r w:rsidRPr="00CF5041">
              <w:rPr>
                <w:color w:val="auto"/>
                <w:lang w:eastAsia="en-US"/>
              </w:rPr>
              <w:t>8. Dư nợ đến hạn của các khoản nợ khác phải thu</w:t>
            </w:r>
          </w:p>
        </w:tc>
        <w:tc>
          <w:tcPr>
            <w:tcW w:w="851" w:type="dxa"/>
            <w:hideMark/>
          </w:tcPr>
          <w:p w14:paraId="7A85FEE8" w14:textId="77777777" w:rsidR="00FE4823" w:rsidRPr="00CF5041" w:rsidRDefault="00FE4823" w:rsidP="00D93948">
            <w:pPr>
              <w:widowControl/>
              <w:spacing w:before="120" w:after="120"/>
              <w:jc w:val="both"/>
              <w:rPr>
                <w:color w:val="auto"/>
                <w:lang w:val="en-US" w:eastAsia="en-US"/>
              </w:rPr>
            </w:pPr>
          </w:p>
        </w:tc>
        <w:tc>
          <w:tcPr>
            <w:tcW w:w="992" w:type="dxa"/>
            <w:hideMark/>
          </w:tcPr>
          <w:p w14:paraId="019111FB" w14:textId="77777777" w:rsidR="00FE4823" w:rsidRPr="00CF5041" w:rsidRDefault="00FE4823" w:rsidP="00D93948">
            <w:pPr>
              <w:widowControl/>
              <w:spacing w:before="120" w:after="120"/>
              <w:jc w:val="both"/>
              <w:rPr>
                <w:color w:val="auto"/>
                <w:lang w:val="en-US" w:eastAsia="en-US"/>
              </w:rPr>
            </w:pPr>
          </w:p>
        </w:tc>
        <w:tc>
          <w:tcPr>
            <w:tcW w:w="851" w:type="dxa"/>
            <w:hideMark/>
          </w:tcPr>
          <w:p w14:paraId="356B7BDD" w14:textId="77777777" w:rsidR="00FE4823" w:rsidRPr="00CF5041" w:rsidRDefault="00FE4823" w:rsidP="00D93948">
            <w:pPr>
              <w:widowControl/>
              <w:spacing w:before="120" w:after="120"/>
              <w:jc w:val="both"/>
              <w:rPr>
                <w:color w:val="auto"/>
                <w:lang w:val="en-US" w:eastAsia="en-US"/>
              </w:rPr>
            </w:pPr>
            <w:r w:rsidRPr="00CF5041">
              <w:rPr>
                <w:color w:val="auto"/>
                <w:lang w:eastAsia="en-US"/>
              </w:rPr>
              <w:t>70%</w:t>
            </w:r>
          </w:p>
        </w:tc>
        <w:tc>
          <w:tcPr>
            <w:tcW w:w="992" w:type="dxa"/>
            <w:hideMark/>
          </w:tcPr>
          <w:p w14:paraId="777B912B" w14:textId="77777777" w:rsidR="00FE4823" w:rsidRPr="00CF5041" w:rsidRDefault="00FE4823" w:rsidP="00D93948">
            <w:pPr>
              <w:widowControl/>
              <w:spacing w:before="120" w:after="120"/>
              <w:jc w:val="both"/>
              <w:rPr>
                <w:color w:val="auto"/>
                <w:lang w:val="en-US" w:eastAsia="en-US"/>
              </w:rPr>
            </w:pPr>
          </w:p>
        </w:tc>
        <w:tc>
          <w:tcPr>
            <w:tcW w:w="992" w:type="dxa"/>
            <w:hideMark/>
          </w:tcPr>
          <w:p w14:paraId="5A7D19A7" w14:textId="77777777" w:rsidR="00FE4823" w:rsidRPr="00CF5041" w:rsidRDefault="00FE4823" w:rsidP="00D93948">
            <w:pPr>
              <w:widowControl/>
              <w:spacing w:before="120" w:after="120"/>
              <w:jc w:val="both"/>
              <w:rPr>
                <w:color w:val="auto"/>
                <w:lang w:val="en-US" w:eastAsia="en-US"/>
              </w:rPr>
            </w:pPr>
          </w:p>
        </w:tc>
        <w:tc>
          <w:tcPr>
            <w:tcW w:w="992" w:type="dxa"/>
            <w:hideMark/>
          </w:tcPr>
          <w:p w14:paraId="0C4DFF67" w14:textId="77777777" w:rsidR="00FE4823" w:rsidRPr="00CF5041" w:rsidRDefault="00FE4823" w:rsidP="00D93948">
            <w:pPr>
              <w:widowControl/>
              <w:spacing w:before="120" w:after="120"/>
              <w:jc w:val="both"/>
              <w:rPr>
                <w:color w:val="auto"/>
                <w:lang w:val="en-US" w:eastAsia="en-US"/>
              </w:rPr>
            </w:pPr>
          </w:p>
        </w:tc>
        <w:tc>
          <w:tcPr>
            <w:tcW w:w="1985" w:type="dxa"/>
            <w:hideMark/>
          </w:tcPr>
          <w:p w14:paraId="274BBCD4" w14:textId="52642E04" w:rsidR="00FE4823" w:rsidRPr="00CF5041" w:rsidRDefault="00FE4823" w:rsidP="00D93948">
            <w:pPr>
              <w:widowControl/>
              <w:spacing w:before="120" w:after="120"/>
              <w:jc w:val="both"/>
              <w:rPr>
                <w:color w:val="auto"/>
                <w:lang w:val="en-US" w:eastAsia="en-US"/>
              </w:rPr>
            </w:pPr>
            <w:r w:rsidRPr="00CF5041">
              <w:rPr>
                <w:color w:val="auto"/>
                <w:lang w:eastAsia="en-US"/>
              </w:rPr>
              <w:t>Lấy số tiền chắc chắn sẽ thu được phát sinh từ “Tài sản Có khác” theo hướng dẫn của Thống đốc Ngân hàng Nhà nước</w:t>
            </w:r>
            <w:r w:rsidR="00046752" w:rsidRPr="00CF5041">
              <w:rPr>
                <w:color w:val="auto"/>
                <w:lang w:val="en-US" w:eastAsia="en-US"/>
              </w:rPr>
              <w:t xml:space="preserve"> Việt Nam</w:t>
            </w:r>
            <w:r w:rsidRPr="00CF5041">
              <w:rPr>
                <w:color w:val="auto"/>
                <w:lang w:eastAsia="en-US"/>
              </w:rPr>
              <w:t xml:space="preserve"> về chế độ báo cáo tài chính đối với quỹ tín dụng nhân dân và các văn bản khác có liên quan, điền vào các cột thích hợp tương ứng với ngày phát sinh dòng tiền.</w:t>
            </w:r>
          </w:p>
        </w:tc>
      </w:tr>
      <w:tr w:rsidR="001672A5" w:rsidRPr="00CF5041" w14:paraId="03406D10" w14:textId="77777777" w:rsidTr="00855670">
        <w:tc>
          <w:tcPr>
            <w:tcW w:w="2127" w:type="dxa"/>
            <w:hideMark/>
          </w:tcPr>
          <w:p w14:paraId="20FFF1E8" w14:textId="77777777" w:rsidR="00FE4823" w:rsidRPr="00CF5041" w:rsidRDefault="00FE4823" w:rsidP="00D93948">
            <w:pPr>
              <w:widowControl/>
              <w:spacing w:before="120" w:after="120"/>
              <w:jc w:val="both"/>
              <w:rPr>
                <w:color w:val="auto"/>
                <w:lang w:val="en-US" w:eastAsia="en-US"/>
              </w:rPr>
            </w:pPr>
            <w:r w:rsidRPr="00CF5041">
              <w:rPr>
                <w:b/>
                <w:bCs/>
                <w:color w:val="auto"/>
                <w:lang w:eastAsia="en-US"/>
              </w:rPr>
              <w:t>II. Tài sản “Nợ” phải thanh toán</w:t>
            </w:r>
          </w:p>
          <w:p w14:paraId="15F0188A" w14:textId="77777777" w:rsidR="00FE4823" w:rsidRPr="00CF5041" w:rsidRDefault="00FE4823" w:rsidP="00D93948">
            <w:pPr>
              <w:widowControl/>
              <w:spacing w:before="120" w:after="120"/>
              <w:jc w:val="both"/>
              <w:rPr>
                <w:color w:val="auto"/>
                <w:lang w:val="en-US" w:eastAsia="en-US"/>
              </w:rPr>
            </w:pPr>
            <w:r w:rsidRPr="00CF5041">
              <w:rPr>
                <w:b/>
                <w:bCs/>
                <w:color w:val="auto"/>
                <w:lang w:eastAsia="en-US"/>
              </w:rPr>
              <w:t>(II=1+2+3+4)</w:t>
            </w:r>
          </w:p>
        </w:tc>
        <w:tc>
          <w:tcPr>
            <w:tcW w:w="851" w:type="dxa"/>
            <w:hideMark/>
          </w:tcPr>
          <w:p w14:paraId="36EA3602" w14:textId="77777777" w:rsidR="00FE4823" w:rsidRPr="00CF5041" w:rsidRDefault="00FE4823" w:rsidP="00D93948">
            <w:pPr>
              <w:widowControl/>
              <w:spacing w:before="120" w:after="120"/>
              <w:jc w:val="both"/>
              <w:rPr>
                <w:color w:val="auto"/>
                <w:lang w:val="en-US" w:eastAsia="en-US"/>
              </w:rPr>
            </w:pPr>
          </w:p>
        </w:tc>
        <w:tc>
          <w:tcPr>
            <w:tcW w:w="992" w:type="dxa"/>
            <w:hideMark/>
          </w:tcPr>
          <w:p w14:paraId="5226B654" w14:textId="77777777" w:rsidR="00FE4823" w:rsidRPr="00CF5041" w:rsidRDefault="00FE4823" w:rsidP="00D93948">
            <w:pPr>
              <w:widowControl/>
              <w:spacing w:before="120" w:after="120"/>
              <w:jc w:val="both"/>
              <w:rPr>
                <w:color w:val="auto"/>
                <w:lang w:val="en-US" w:eastAsia="en-US"/>
              </w:rPr>
            </w:pPr>
          </w:p>
        </w:tc>
        <w:tc>
          <w:tcPr>
            <w:tcW w:w="851" w:type="dxa"/>
            <w:hideMark/>
          </w:tcPr>
          <w:p w14:paraId="322D98EC" w14:textId="77777777" w:rsidR="00FE4823" w:rsidRPr="00CF5041" w:rsidRDefault="00FE4823" w:rsidP="00D93948">
            <w:pPr>
              <w:widowControl/>
              <w:spacing w:before="120" w:after="120"/>
              <w:jc w:val="both"/>
              <w:rPr>
                <w:color w:val="auto"/>
                <w:lang w:val="en-US" w:eastAsia="en-US"/>
              </w:rPr>
            </w:pPr>
          </w:p>
        </w:tc>
        <w:tc>
          <w:tcPr>
            <w:tcW w:w="992" w:type="dxa"/>
            <w:hideMark/>
          </w:tcPr>
          <w:p w14:paraId="1A505880" w14:textId="77777777" w:rsidR="00FE4823" w:rsidRPr="00CF5041" w:rsidRDefault="00FE4823" w:rsidP="00D93948">
            <w:pPr>
              <w:widowControl/>
              <w:spacing w:before="120" w:after="120"/>
              <w:jc w:val="both"/>
              <w:rPr>
                <w:color w:val="auto"/>
                <w:lang w:val="en-US" w:eastAsia="en-US"/>
              </w:rPr>
            </w:pPr>
          </w:p>
        </w:tc>
        <w:tc>
          <w:tcPr>
            <w:tcW w:w="992" w:type="dxa"/>
            <w:hideMark/>
          </w:tcPr>
          <w:p w14:paraId="175FD3E9" w14:textId="77777777" w:rsidR="00FE4823" w:rsidRPr="00CF5041" w:rsidRDefault="00FE4823" w:rsidP="00D93948">
            <w:pPr>
              <w:widowControl/>
              <w:spacing w:before="120" w:after="120"/>
              <w:jc w:val="both"/>
              <w:rPr>
                <w:color w:val="auto"/>
                <w:lang w:val="en-US" w:eastAsia="en-US"/>
              </w:rPr>
            </w:pPr>
          </w:p>
        </w:tc>
        <w:tc>
          <w:tcPr>
            <w:tcW w:w="992" w:type="dxa"/>
            <w:hideMark/>
          </w:tcPr>
          <w:p w14:paraId="525147F7" w14:textId="77777777" w:rsidR="00FE4823" w:rsidRPr="00CF5041" w:rsidRDefault="00FE4823" w:rsidP="00D93948">
            <w:pPr>
              <w:widowControl/>
              <w:spacing w:before="120" w:after="120"/>
              <w:jc w:val="both"/>
              <w:rPr>
                <w:color w:val="auto"/>
                <w:lang w:val="en-US" w:eastAsia="en-US"/>
              </w:rPr>
            </w:pPr>
          </w:p>
        </w:tc>
        <w:tc>
          <w:tcPr>
            <w:tcW w:w="1985" w:type="dxa"/>
            <w:hideMark/>
          </w:tcPr>
          <w:p w14:paraId="1342C306" w14:textId="77777777" w:rsidR="00FE4823" w:rsidRPr="00CF5041" w:rsidRDefault="00FE4823" w:rsidP="00D93948">
            <w:pPr>
              <w:widowControl/>
              <w:spacing w:before="120" w:after="120"/>
              <w:jc w:val="both"/>
              <w:rPr>
                <w:color w:val="auto"/>
                <w:lang w:val="en-US" w:eastAsia="en-US"/>
              </w:rPr>
            </w:pPr>
          </w:p>
        </w:tc>
      </w:tr>
      <w:tr w:rsidR="001672A5" w:rsidRPr="00CF5041" w14:paraId="255D2F4F" w14:textId="77777777" w:rsidTr="00855670">
        <w:tc>
          <w:tcPr>
            <w:tcW w:w="2127" w:type="dxa"/>
            <w:hideMark/>
          </w:tcPr>
          <w:p w14:paraId="59A4B4E9" w14:textId="77777777" w:rsidR="00FE4823" w:rsidRPr="00CF5041" w:rsidRDefault="00FE4823" w:rsidP="00D93948">
            <w:pPr>
              <w:widowControl/>
              <w:spacing w:before="120" w:after="120"/>
              <w:jc w:val="both"/>
              <w:rPr>
                <w:color w:val="auto"/>
                <w:lang w:val="en-US" w:eastAsia="en-US"/>
              </w:rPr>
            </w:pPr>
            <w:r w:rsidRPr="00CF5041">
              <w:rPr>
                <w:color w:val="auto"/>
                <w:lang w:eastAsia="en-US"/>
              </w:rPr>
              <w:t>1. Tiền gửi có kỳ hạn của khách hàng đến hạn thanh toán</w:t>
            </w:r>
          </w:p>
        </w:tc>
        <w:tc>
          <w:tcPr>
            <w:tcW w:w="851" w:type="dxa"/>
            <w:hideMark/>
          </w:tcPr>
          <w:p w14:paraId="1EBD2E08" w14:textId="77777777" w:rsidR="00FE4823" w:rsidRPr="00CF5041" w:rsidRDefault="00FE4823" w:rsidP="00D93948">
            <w:pPr>
              <w:widowControl/>
              <w:spacing w:before="120" w:after="120"/>
              <w:jc w:val="both"/>
              <w:rPr>
                <w:color w:val="auto"/>
                <w:lang w:val="en-US" w:eastAsia="en-US"/>
              </w:rPr>
            </w:pPr>
          </w:p>
        </w:tc>
        <w:tc>
          <w:tcPr>
            <w:tcW w:w="992" w:type="dxa"/>
            <w:hideMark/>
          </w:tcPr>
          <w:p w14:paraId="5A9BBC26" w14:textId="77777777" w:rsidR="00FE4823" w:rsidRPr="00CF5041" w:rsidRDefault="00FE4823" w:rsidP="00D93948">
            <w:pPr>
              <w:widowControl/>
              <w:spacing w:before="120" w:after="120"/>
              <w:jc w:val="both"/>
              <w:rPr>
                <w:color w:val="auto"/>
                <w:lang w:val="en-US" w:eastAsia="en-US"/>
              </w:rPr>
            </w:pPr>
          </w:p>
        </w:tc>
        <w:tc>
          <w:tcPr>
            <w:tcW w:w="851" w:type="dxa"/>
            <w:hideMark/>
          </w:tcPr>
          <w:p w14:paraId="238DF671" w14:textId="77777777" w:rsidR="00FE4823" w:rsidRPr="00CF5041" w:rsidRDefault="00FE4823" w:rsidP="00D93948">
            <w:pPr>
              <w:widowControl/>
              <w:spacing w:before="120" w:after="120"/>
              <w:jc w:val="both"/>
              <w:rPr>
                <w:color w:val="auto"/>
                <w:lang w:val="en-US" w:eastAsia="en-US"/>
              </w:rPr>
            </w:pPr>
            <w:r w:rsidRPr="00CF5041">
              <w:rPr>
                <w:color w:val="auto"/>
                <w:lang w:eastAsia="en-US"/>
              </w:rPr>
              <w:t>100%</w:t>
            </w:r>
          </w:p>
        </w:tc>
        <w:tc>
          <w:tcPr>
            <w:tcW w:w="992" w:type="dxa"/>
            <w:hideMark/>
          </w:tcPr>
          <w:p w14:paraId="18341177" w14:textId="77777777" w:rsidR="00FE4823" w:rsidRPr="00CF5041" w:rsidRDefault="00FE4823" w:rsidP="00D93948">
            <w:pPr>
              <w:widowControl/>
              <w:spacing w:before="120" w:after="120"/>
              <w:jc w:val="both"/>
              <w:rPr>
                <w:color w:val="auto"/>
                <w:lang w:val="en-US" w:eastAsia="en-US"/>
              </w:rPr>
            </w:pPr>
          </w:p>
        </w:tc>
        <w:tc>
          <w:tcPr>
            <w:tcW w:w="992" w:type="dxa"/>
            <w:hideMark/>
          </w:tcPr>
          <w:p w14:paraId="208EAF7D" w14:textId="77777777" w:rsidR="00FE4823" w:rsidRPr="00CF5041" w:rsidRDefault="00FE4823" w:rsidP="00D93948">
            <w:pPr>
              <w:widowControl/>
              <w:spacing w:before="120" w:after="120"/>
              <w:jc w:val="both"/>
              <w:rPr>
                <w:color w:val="auto"/>
                <w:lang w:val="en-US" w:eastAsia="en-US"/>
              </w:rPr>
            </w:pPr>
          </w:p>
        </w:tc>
        <w:tc>
          <w:tcPr>
            <w:tcW w:w="992" w:type="dxa"/>
            <w:hideMark/>
          </w:tcPr>
          <w:p w14:paraId="1CEF1D2A" w14:textId="77777777" w:rsidR="00FE4823" w:rsidRPr="00CF5041" w:rsidRDefault="00FE4823" w:rsidP="00D93948">
            <w:pPr>
              <w:widowControl/>
              <w:spacing w:before="120" w:after="120"/>
              <w:jc w:val="both"/>
              <w:rPr>
                <w:color w:val="auto"/>
                <w:lang w:val="en-US" w:eastAsia="en-US"/>
              </w:rPr>
            </w:pPr>
          </w:p>
        </w:tc>
        <w:tc>
          <w:tcPr>
            <w:tcW w:w="1985" w:type="dxa"/>
            <w:hideMark/>
          </w:tcPr>
          <w:p w14:paraId="1C3E8411" w14:textId="77777777" w:rsidR="00FE4823" w:rsidRPr="00CF5041" w:rsidRDefault="00FE4823" w:rsidP="00D93948">
            <w:pPr>
              <w:widowControl/>
              <w:spacing w:before="120" w:after="120"/>
              <w:jc w:val="both"/>
              <w:rPr>
                <w:color w:val="auto"/>
                <w:lang w:val="en-US" w:eastAsia="en-US"/>
              </w:rPr>
            </w:pPr>
            <w:r w:rsidRPr="00CF5041">
              <w:rPr>
                <w:color w:val="auto"/>
                <w:lang w:eastAsia="en-US"/>
              </w:rPr>
              <w:t>Theo kỳ hạn trên hợp đồng tiền gửi</w:t>
            </w:r>
          </w:p>
        </w:tc>
      </w:tr>
      <w:tr w:rsidR="001672A5" w:rsidRPr="00CF5041" w14:paraId="1A8E9DED" w14:textId="77777777" w:rsidTr="00855670">
        <w:tc>
          <w:tcPr>
            <w:tcW w:w="2127" w:type="dxa"/>
            <w:hideMark/>
          </w:tcPr>
          <w:p w14:paraId="02ECA6D8" w14:textId="77777777" w:rsidR="00FE4823" w:rsidRPr="00CF5041" w:rsidRDefault="00FE4823" w:rsidP="00D93948">
            <w:pPr>
              <w:widowControl/>
              <w:spacing w:before="120" w:after="120"/>
              <w:jc w:val="both"/>
              <w:rPr>
                <w:color w:val="auto"/>
                <w:lang w:val="en-US" w:eastAsia="en-US"/>
              </w:rPr>
            </w:pPr>
            <w:r w:rsidRPr="00CF5041">
              <w:rPr>
                <w:color w:val="auto"/>
                <w:lang w:eastAsia="en-US"/>
              </w:rPr>
              <w:t>- Gốc</w:t>
            </w:r>
          </w:p>
        </w:tc>
        <w:tc>
          <w:tcPr>
            <w:tcW w:w="851" w:type="dxa"/>
            <w:hideMark/>
          </w:tcPr>
          <w:p w14:paraId="4BC96856" w14:textId="77777777" w:rsidR="00FE4823" w:rsidRPr="00CF5041" w:rsidRDefault="00FE4823" w:rsidP="00D93948">
            <w:pPr>
              <w:widowControl/>
              <w:spacing w:before="120" w:after="120"/>
              <w:jc w:val="both"/>
              <w:rPr>
                <w:color w:val="auto"/>
                <w:lang w:val="en-US" w:eastAsia="en-US"/>
              </w:rPr>
            </w:pPr>
          </w:p>
        </w:tc>
        <w:tc>
          <w:tcPr>
            <w:tcW w:w="992" w:type="dxa"/>
            <w:hideMark/>
          </w:tcPr>
          <w:p w14:paraId="08B48A1C" w14:textId="77777777" w:rsidR="00FE4823" w:rsidRPr="00CF5041" w:rsidRDefault="00FE4823" w:rsidP="00D93948">
            <w:pPr>
              <w:widowControl/>
              <w:spacing w:before="120" w:after="120"/>
              <w:jc w:val="both"/>
              <w:rPr>
                <w:color w:val="auto"/>
                <w:lang w:val="en-US" w:eastAsia="en-US"/>
              </w:rPr>
            </w:pPr>
          </w:p>
        </w:tc>
        <w:tc>
          <w:tcPr>
            <w:tcW w:w="851" w:type="dxa"/>
            <w:hideMark/>
          </w:tcPr>
          <w:p w14:paraId="1122F6A4" w14:textId="77777777" w:rsidR="00FE4823" w:rsidRPr="00CF5041" w:rsidRDefault="00FE4823" w:rsidP="00D93948">
            <w:pPr>
              <w:widowControl/>
              <w:spacing w:before="120" w:after="120"/>
              <w:jc w:val="both"/>
              <w:rPr>
                <w:color w:val="auto"/>
                <w:lang w:val="en-US" w:eastAsia="en-US"/>
              </w:rPr>
            </w:pPr>
            <w:r w:rsidRPr="00CF5041">
              <w:rPr>
                <w:color w:val="auto"/>
                <w:lang w:eastAsia="en-US"/>
              </w:rPr>
              <w:t>100%</w:t>
            </w:r>
          </w:p>
        </w:tc>
        <w:tc>
          <w:tcPr>
            <w:tcW w:w="992" w:type="dxa"/>
            <w:hideMark/>
          </w:tcPr>
          <w:p w14:paraId="055CBA56" w14:textId="77777777" w:rsidR="00FE4823" w:rsidRPr="00CF5041" w:rsidRDefault="00FE4823" w:rsidP="00D93948">
            <w:pPr>
              <w:widowControl/>
              <w:spacing w:before="120" w:after="120"/>
              <w:jc w:val="both"/>
              <w:rPr>
                <w:color w:val="auto"/>
                <w:lang w:val="en-US" w:eastAsia="en-US"/>
              </w:rPr>
            </w:pPr>
          </w:p>
        </w:tc>
        <w:tc>
          <w:tcPr>
            <w:tcW w:w="992" w:type="dxa"/>
            <w:hideMark/>
          </w:tcPr>
          <w:p w14:paraId="51653707" w14:textId="77777777" w:rsidR="00FE4823" w:rsidRPr="00CF5041" w:rsidRDefault="00FE4823" w:rsidP="00D93948">
            <w:pPr>
              <w:widowControl/>
              <w:spacing w:before="120" w:after="120"/>
              <w:jc w:val="both"/>
              <w:rPr>
                <w:color w:val="auto"/>
                <w:lang w:val="en-US" w:eastAsia="en-US"/>
              </w:rPr>
            </w:pPr>
          </w:p>
        </w:tc>
        <w:tc>
          <w:tcPr>
            <w:tcW w:w="992" w:type="dxa"/>
            <w:hideMark/>
          </w:tcPr>
          <w:p w14:paraId="32FCF3D1" w14:textId="77777777" w:rsidR="00FE4823" w:rsidRPr="00CF5041" w:rsidRDefault="00FE4823" w:rsidP="00D93948">
            <w:pPr>
              <w:widowControl/>
              <w:spacing w:before="120" w:after="120"/>
              <w:jc w:val="both"/>
              <w:rPr>
                <w:color w:val="auto"/>
                <w:lang w:val="en-US" w:eastAsia="en-US"/>
              </w:rPr>
            </w:pPr>
          </w:p>
        </w:tc>
        <w:tc>
          <w:tcPr>
            <w:tcW w:w="1985" w:type="dxa"/>
            <w:hideMark/>
          </w:tcPr>
          <w:p w14:paraId="2D225E76" w14:textId="77777777" w:rsidR="00FE4823" w:rsidRPr="00CF5041" w:rsidRDefault="00FE4823" w:rsidP="00D93948">
            <w:pPr>
              <w:widowControl/>
              <w:spacing w:before="120" w:after="120"/>
              <w:jc w:val="both"/>
              <w:rPr>
                <w:color w:val="auto"/>
                <w:lang w:val="en-US" w:eastAsia="en-US"/>
              </w:rPr>
            </w:pPr>
          </w:p>
        </w:tc>
      </w:tr>
      <w:tr w:rsidR="001672A5" w:rsidRPr="00CF5041" w14:paraId="1DD7EADE" w14:textId="77777777" w:rsidTr="00855670">
        <w:tc>
          <w:tcPr>
            <w:tcW w:w="2127" w:type="dxa"/>
            <w:hideMark/>
          </w:tcPr>
          <w:p w14:paraId="6C4D4464" w14:textId="77777777" w:rsidR="00FE4823" w:rsidRPr="00CF5041" w:rsidRDefault="00FE4823" w:rsidP="00D93948">
            <w:pPr>
              <w:widowControl/>
              <w:spacing w:before="120" w:after="120"/>
              <w:jc w:val="both"/>
              <w:rPr>
                <w:color w:val="auto"/>
                <w:lang w:val="en-US" w:eastAsia="en-US"/>
              </w:rPr>
            </w:pPr>
            <w:r w:rsidRPr="00CF5041">
              <w:rPr>
                <w:color w:val="auto"/>
                <w:lang w:eastAsia="en-US"/>
              </w:rPr>
              <w:t>- Lãi</w:t>
            </w:r>
          </w:p>
        </w:tc>
        <w:tc>
          <w:tcPr>
            <w:tcW w:w="851" w:type="dxa"/>
            <w:hideMark/>
          </w:tcPr>
          <w:p w14:paraId="6B45B27A" w14:textId="77777777" w:rsidR="00FE4823" w:rsidRPr="00CF5041" w:rsidRDefault="00FE4823" w:rsidP="00D93948">
            <w:pPr>
              <w:widowControl/>
              <w:spacing w:before="120" w:after="120"/>
              <w:jc w:val="both"/>
              <w:rPr>
                <w:color w:val="auto"/>
                <w:lang w:val="en-US" w:eastAsia="en-US"/>
              </w:rPr>
            </w:pPr>
          </w:p>
        </w:tc>
        <w:tc>
          <w:tcPr>
            <w:tcW w:w="992" w:type="dxa"/>
            <w:hideMark/>
          </w:tcPr>
          <w:p w14:paraId="6BDCDFCA" w14:textId="77777777" w:rsidR="00FE4823" w:rsidRPr="00CF5041" w:rsidRDefault="00FE4823" w:rsidP="00D93948">
            <w:pPr>
              <w:widowControl/>
              <w:spacing w:before="120" w:after="120"/>
              <w:jc w:val="both"/>
              <w:rPr>
                <w:color w:val="auto"/>
                <w:lang w:val="en-US" w:eastAsia="en-US"/>
              </w:rPr>
            </w:pPr>
          </w:p>
        </w:tc>
        <w:tc>
          <w:tcPr>
            <w:tcW w:w="851" w:type="dxa"/>
            <w:hideMark/>
          </w:tcPr>
          <w:p w14:paraId="138230C3" w14:textId="77777777" w:rsidR="00FE4823" w:rsidRPr="00CF5041" w:rsidRDefault="00FE4823" w:rsidP="00D93948">
            <w:pPr>
              <w:widowControl/>
              <w:spacing w:before="120" w:after="120"/>
              <w:jc w:val="both"/>
              <w:rPr>
                <w:color w:val="auto"/>
                <w:lang w:val="en-US" w:eastAsia="en-US"/>
              </w:rPr>
            </w:pPr>
            <w:r w:rsidRPr="00CF5041">
              <w:rPr>
                <w:color w:val="auto"/>
                <w:lang w:eastAsia="en-US"/>
              </w:rPr>
              <w:t>100%</w:t>
            </w:r>
          </w:p>
        </w:tc>
        <w:tc>
          <w:tcPr>
            <w:tcW w:w="992" w:type="dxa"/>
            <w:hideMark/>
          </w:tcPr>
          <w:p w14:paraId="04955D5E" w14:textId="77777777" w:rsidR="00FE4823" w:rsidRPr="00CF5041" w:rsidRDefault="00FE4823" w:rsidP="00D93948">
            <w:pPr>
              <w:widowControl/>
              <w:spacing w:before="120" w:after="120"/>
              <w:jc w:val="both"/>
              <w:rPr>
                <w:color w:val="auto"/>
                <w:lang w:val="en-US" w:eastAsia="en-US"/>
              </w:rPr>
            </w:pPr>
          </w:p>
        </w:tc>
        <w:tc>
          <w:tcPr>
            <w:tcW w:w="992" w:type="dxa"/>
            <w:hideMark/>
          </w:tcPr>
          <w:p w14:paraId="712B9F49" w14:textId="77777777" w:rsidR="00FE4823" w:rsidRPr="00CF5041" w:rsidRDefault="00FE4823" w:rsidP="00D93948">
            <w:pPr>
              <w:widowControl/>
              <w:spacing w:before="120" w:after="120"/>
              <w:jc w:val="both"/>
              <w:rPr>
                <w:color w:val="auto"/>
                <w:lang w:val="en-US" w:eastAsia="en-US"/>
              </w:rPr>
            </w:pPr>
          </w:p>
        </w:tc>
        <w:tc>
          <w:tcPr>
            <w:tcW w:w="992" w:type="dxa"/>
            <w:hideMark/>
          </w:tcPr>
          <w:p w14:paraId="318A9FF1" w14:textId="77777777" w:rsidR="00FE4823" w:rsidRPr="00CF5041" w:rsidRDefault="00FE4823" w:rsidP="00D93948">
            <w:pPr>
              <w:widowControl/>
              <w:spacing w:before="120" w:after="120"/>
              <w:jc w:val="both"/>
              <w:rPr>
                <w:color w:val="auto"/>
                <w:lang w:val="en-US" w:eastAsia="en-US"/>
              </w:rPr>
            </w:pPr>
          </w:p>
        </w:tc>
        <w:tc>
          <w:tcPr>
            <w:tcW w:w="1985" w:type="dxa"/>
            <w:hideMark/>
          </w:tcPr>
          <w:p w14:paraId="2E26B419" w14:textId="77777777" w:rsidR="00FE4823" w:rsidRPr="00CF5041" w:rsidRDefault="00FE4823" w:rsidP="00D93948">
            <w:pPr>
              <w:widowControl/>
              <w:spacing w:before="120" w:after="120"/>
              <w:jc w:val="both"/>
              <w:rPr>
                <w:color w:val="auto"/>
                <w:lang w:val="en-US" w:eastAsia="en-US"/>
              </w:rPr>
            </w:pPr>
          </w:p>
        </w:tc>
      </w:tr>
      <w:tr w:rsidR="001672A5" w:rsidRPr="00CF5041" w14:paraId="57F97556" w14:textId="77777777" w:rsidTr="00855670">
        <w:tc>
          <w:tcPr>
            <w:tcW w:w="2127" w:type="dxa"/>
            <w:hideMark/>
          </w:tcPr>
          <w:p w14:paraId="7F59FA92" w14:textId="77777777" w:rsidR="00FE4823" w:rsidRPr="00CF5041" w:rsidRDefault="00FE4823" w:rsidP="00D93948">
            <w:pPr>
              <w:widowControl/>
              <w:spacing w:before="120" w:after="120"/>
              <w:jc w:val="both"/>
              <w:rPr>
                <w:color w:val="auto"/>
                <w:lang w:val="en-US" w:eastAsia="en-US"/>
              </w:rPr>
            </w:pPr>
            <w:r w:rsidRPr="00CF5041">
              <w:rPr>
                <w:color w:val="auto"/>
                <w:lang w:eastAsia="en-US"/>
              </w:rPr>
              <w:lastRenderedPageBreak/>
              <w:t>2. Tiền gửi không kỳ hạn của khách hàng</w:t>
            </w:r>
          </w:p>
        </w:tc>
        <w:tc>
          <w:tcPr>
            <w:tcW w:w="851" w:type="dxa"/>
            <w:hideMark/>
          </w:tcPr>
          <w:p w14:paraId="39EEAE86" w14:textId="77777777" w:rsidR="00FE4823" w:rsidRPr="00CF5041" w:rsidRDefault="00FE4823" w:rsidP="00D93948">
            <w:pPr>
              <w:widowControl/>
              <w:spacing w:before="120" w:after="120"/>
              <w:jc w:val="both"/>
              <w:rPr>
                <w:color w:val="auto"/>
                <w:lang w:val="en-US" w:eastAsia="en-US"/>
              </w:rPr>
            </w:pPr>
          </w:p>
        </w:tc>
        <w:tc>
          <w:tcPr>
            <w:tcW w:w="992" w:type="dxa"/>
            <w:hideMark/>
          </w:tcPr>
          <w:p w14:paraId="14AA0B59" w14:textId="77777777" w:rsidR="00FE4823" w:rsidRPr="00CF5041" w:rsidRDefault="00FE4823" w:rsidP="00D93948">
            <w:pPr>
              <w:widowControl/>
              <w:spacing w:before="120" w:after="120"/>
              <w:jc w:val="both"/>
              <w:rPr>
                <w:color w:val="auto"/>
                <w:lang w:val="en-US" w:eastAsia="en-US"/>
              </w:rPr>
            </w:pPr>
            <w:r w:rsidRPr="00CF5041">
              <w:rPr>
                <w:color w:val="auto"/>
                <w:lang w:eastAsia="en-US"/>
              </w:rPr>
              <w:t>Không điền</w:t>
            </w:r>
          </w:p>
        </w:tc>
        <w:tc>
          <w:tcPr>
            <w:tcW w:w="851" w:type="dxa"/>
            <w:hideMark/>
          </w:tcPr>
          <w:p w14:paraId="5A81FF71" w14:textId="77777777" w:rsidR="00FE4823" w:rsidRPr="00CF5041" w:rsidRDefault="00FE4823" w:rsidP="00D93948">
            <w:pPr>
              <w:widowControl/>
              <w:spacing w:before="120" w:after="120"/>
              <w:jc w:val="both"/>
              <w:rPr>
                <w:color w:val="auto"/>
                <w:lang w:val="en-US" w:eastAsia="en-US"/>
              </w:rPr>
            </w:pPr>
            <w:r w:rsidRPr="00CF5041">
              <w:rPr>
                <w:color w:val="auto"/>
                <w:lang w:eastAsia="en-US"/>
              </w:rPr>
              <w:t>15%</w:t>
            </w:r>
          </w:p>
        </w:tc>
        <w:tc>
          <w:tcPr>
            <w:tcW w:w="992" w:type="dxa"/>
            <w:hideMark/>
          </w:tcPr>
          <w:p w14:paraId="48316F09" w14:textId="77777777" w:rsidR="00FE4823" w:rsidRPr="00CF5041" w:rsidRDefault="00FE4823" w:rsidP="00D93948">
            <w:pPr>
              <w:widowControl/>
              <w:spacing w:before="120" w:after="120"/>
              <w:jc w:val="both"/>
              <w:rPr>
                <w:color w:val="auto"/>
                <w:lang w:val="en-US" w:eastAsia="en-US"/>
              </w:rPr>
            </w:pPr>
          </w:p>
        </w:tc>
        <w:tc>
          <w:tcPr>
            <w:tcW w:w="992" w:type="dxa"/>
            <w:hideMark/>
          </w:tcPr>
          <w:p w14:paraId="2B7D9612" w14:textId="77777777" w:rsidR="00FE4823" w:rsidRPr="00CF5041" w:rsidRDefault="00FE4823" w:rsidP="00D93948">
            <w:pPr>
              <w:widowControl/>
              <w:spacing w:before="120" w:after="120"/>
              <w:jc w:val="both"/>
              <w:rPr>
                <w:color w:val="auto"/>
                <w:lang w:val="en-US" w:eastAsia="en-US"/>
              </w:rPr>
            </w:pPr>
            <w:r w:rsidRPr="00CF5041">
              <w:rPr>
                <w:color w:val="auto"/>
                <w:lang w:eastAsia="en-US"/>
              </w:rPr>
              <w:t>Không điền</w:t>
            </w:r>
          </w:p>
        </w:tc>
        <w:tc>
          <w:tcPr>
            <w:tcW w:w="992" w:type="dxa"/>
            <w:hideMark/>
          </w:tcPr>
          <w:p w14:paraId="0BF2F64D" w14:textId="77777777" w:rsidR="00FE4823" w:rsidRPr="00CF5041" w:rsidRDefault="00FE4823" w:rsidP="00D93948">
            <w:pPr>
              <w:widowControl/>
              <w:spacing w:before="120" w:after="120"/>
              <w:jc w:val="both"/>
              <w:rPr>
                <w:color w:val="auto"/>
                <w:lang w:val="en-US" w:eastAsia="en-US"/>
              </w:rPr>
            </w:pPr>
          </w:p>
        </w:tc>
        <w:tc>
          <w:tcPr>
            <w:tcW w:w="1985" w:type="dxa"/>
            <w:hideMark/>
          </w:tcPr>
          <w:p w14:paraId="02DF9F93" w14:textId="77777777" w:rsidR="00FE4823" w:rsidRPr="00CF5041" w:rsidRDefault="00FE4823" w:rsidP="00D93948">
            <w:pPr>
              <w:widowControl/>
              <w:spacing w:before="120" w:after="120"/>
              <w:jc w:val="both"/>
              <w:rPr>
                <w:color w:val="auto"/>
                <w:lang w:val="en-US" w:eastAsia="en-US"/>
              </w:rPr>
            </w:pPr>
            <w:r w:rsidRPr="00CF5041">
              <w:rPr>
                <w:color w:val="auto"/>
                <w:lang w:eastAsia="en-US"/>
              </w:rPr>
              <w:t>Số dư bình quân trong thời gian 30 ngày liền kề trước kể từ ngày hôm trước</w:t>
            </w:r>
          </w:p>
        </w:tc>
      </w:tr>
      <w:tr w:rsidR="001672A5" w:rsidRPr="00CF5041" w14:paraId="189188AB" w14:textId="77777777" w:rsidTr="00855670">
        <w:tc>
          <w:tcPr>
            <w:tcW w:w="2127" w:type="dxa"/>
            <w:hideMark/>
          </w:tcPr>
          <w:p w14:paraId="18174129" w14:textId="77777777" w:rsidR="00FE4823" w:rsidRPr="00CF5041" w:rsidRDefault="00FE4823" w:rsidP="00D93948">
            <w:pPr>
              <w:widowControl/>
              <w:spacing w:before="120" w:after="120"/>
              <w:jc w:val="both"/>
              <w:rPr>
                <w:color w:val="auto"/>
                <w:lang w:val="en-US" w:eastAsia="en-US"/>
              </w:rPr>
            </w:pPr>
            <w:r w:rsidRPr="00CF5041">
              <w:rPr>
                <w:color w:val="auto"/>
                <w:lang w:eastAsia="en-US"/>
              </w:rPr>
              <w:t>- Gốc</w:t>
            </w:r>
          </w:p>
        </w:tc>
        <w:tc>
          <w:tcPr>
            <w:tcW w:w="851" w:type="dxa"/>
            <w:hideMark/>
          </w:tcPr>
          <w:p w14:paraId="4F2B6F00" w14:textId="77777777" w:rsidR="00FE4823" w:rsidRPr="00CF5041" w:rsidRDefault="00FE4823" w:rsidP="00D93948">
            <w:pPr>
              <w:widowControl/>
              <w:spacing w:before="120" w:after="120"/>
              <w:jc w:val="both"/>
              <w:rPr>
                <w:color w:val="auto"/>
                <w:lang w:val="en-US" w:eastAsia="en-US"/>
              </w:rPr>
            </w:pPr>
          </w:p>
        </w:tc>
        <w:tc>
          <w:tcPr>
            <w:tcW w:w="992" w:type="dxa"/>
            <w:hideMark/>
          </w:tcPr>
          <w:p w14:paraId="504E3A2D" w14:textId="77777777" w:rsidR="00FE4823" w:rsidRPr="00CF5041" w:rsidRDefault="00FE4823" w:rsidP="00D93948">
            <w:pPr>
              <w:widowControl/>
              <w:spacing w:before="120" w:after="120"/>
              <w:jc w:val="both"/>
              <w:rPr>
                <w:color w:val="auto"/>
                <w:lang w:val="en-US" w:eastAsia="en-US"/>
              </w:rPr>
            </w:pPr>
            <w:r w:rsidRPr="00CF5041">
              <w:rPr>
                <w:color w:val="auto"/>
                <w:lang w:eastAsia="en-US"/>
              </w:rPr>
              <w:t>Không điền</w:t>
            </w:r>
          </w:p>
        </w:tc>
        <w:tc>
          <w:tcPr>
            <w:tcW w:w="851" w:type="dxa"/>
            <w:hideMark/>
          </w:tcPr>
          <w:p w14:paraId="641AAEC1" w14:textId="77777777" w:rsidR="00FE4823" w:rsidRPr="00CF5041" w:rsidRDefault="00FE4823" w:rsidP="00D93948">
            <w:pPr>
              <w:widowControl/>
              <w:spacing w:before="120" w:after="120"/>
              <w:jc w:val="both"/>
              <w:rPr>
                <w:color w:val="auto"/>
                <w:lang w:val="en-US" w:eastAsia="en-US"/>
              </w:rPr>
            </w:pPr>
            <w:r w:rsidRPr="00CF5041">
              <w:rPr>
                <w:color w:val="auto"/>
                <w:lang w:eastAsia="en-US"/>
              </w:rPr>
              <w:t>15%</w:t>
            </w:r>
          </w:p>
        </w:tc>
        <w:tc>
          <w:tcPr>
            <w:tcW w:w="992" w:type="dxa"/>
            <w:hideMark/>
          </w:tcPr>
          <w:p w14:paraId="6EAF1D38" w14:textId="77777777" w:rsidR="00FE4823" w:rsidRPr="00CF5041" w:rsidRDefault="00FE4823" w:rsidP="00D93948">
            <w:pPr>
              <w:widowControl/>
              <w:spacing w:before="120" w:after="120"/>
              <w:jc w:val="both"/>
              <w:rPr>
                <w:color w:val="auto"/>
                <w:lang w:val="en-US" w:eastAsia="en-US"/>
              </w:rPr>
            </w:pPr>
          </w:p>
        </w:tc>
        <w:tc>
          <w:tcPr>
            <w:tcW w:w="992" w:type="dxa"/>
            <w:hideMark/>
          </w:tcPr>
          <w:p w14:paraId="4F00D7E4" w14:textId="77777777" w:rsidR="00FE4823" w:rsidRPr="00CF5041" w:rsidRDefault="00FE4823" w:rsidP="00D93948">
            <w:pPr>
              <w:widowControl/>
              <w:spacing w:before="120" w:after="120"/>
              <w:jc w:val="both"/>
              <w:rPr>
                <w:color w:val="auto"/>
                <w:lang w:val="en-US" w:eastAsia="en-US"/>
              </w:rPr>
            </w:pPr>
            <w:r w:rsidRPr="00CF5041">
              <w:rPr>
                <w:color w:val="auto"/>
                <w:lang w:eastAsia="en-US"/>
              </w:rPr>
              <w:t>Không điền</w:t>
            </w:r>
          </w:p>
        </w:tc>
        <w:tc>
          <w:tcPr>
            <w:tcW w:w="992" w:type="dxa"/>
            <w:hideMark/>
          </w:tcPr>
          <w:p w14:paraId="6E672B0E" w14:textId="77777777" w:rsidR="00FE4823" w:rsidRPr="00CF5041" w:rsidRDefault="00FE4823" w:rsidP="00D93948">
            <w:pPr>
              <w:widowControl/>
              <w:spacing w:before="120" w:after="120"/>
              <w:jc w:val="both"/>
              <w:rPr>
                <w:color w:val="auto"/>
                <w:lang w:val="en-US" w:eastAsia="en-US"/>
              </w:rPr>
            </w:pPr>
          </w:p>
        </w:tc>
        <w:tc>
          <w:tcPr>
            <w:tcW w:w="1985" w:type="dxa"/>
            <w:hideMark/>
          </w:tcPr>
          <w:p w14:paraId="06EBA124" w14:textId="77777777" w:rsidR="00FE4823" w:rsidRPr="00CF5041" w:rsidRDefault="00FE4823" w:rsidP="00D93948">
            <w:pPr>
              <w:widowControl/>
              <w:spacing w:before="120" w:after="120"/>
              <w:jc w:val="both"/>
              <w:rPr>
                <w:color w:val="auto"/>
                <w:lang w:val="en-US" w:eastAsia="en-US"/>
              </w:rPr>
            </w:pPr>
          </w:p>
        </w:tc>
      </w:tr>
      <w:tr w:rsidR="001672A5" w:rsidRPr="00CF5041" w14:paraId="3BED493E" w14:textId="77777777" w:rsidTr="00855670">
        <w:tc>
          <w:tcPr>
            <w:tcW w:w="2127" w:type="dxa"/>
            <w:hideMark/>
          </w:tcPr>
          <w:p w14:paraId="2234D081" w14:textId="77777777" w:rsidR="00FE4823" w:rsidRPr="00CF5041" w:rsidRDefault="00FE4823" w:rsidP="00D93948">
            <w:pPr>
              <w:widowControl/>
              <w:spacing w:before="120" w:after="120"/>
              <w:jc w:val="both"/>
              <w:rPr>
                <w:color w:val="auto"/>
                <w:lang w:val="en-US" w:eastAsia="en-US"/>
              </w:rPr>
            </w:pPr>
            <w:r w:rsidRPr="00CF5041">
              <w:rPr>
                <w:color w:val="auto"/>
                <w:lang w:eastAsia="en-US"/>
              </w:rPr>
              <w:t>- Lãi</w:t>
            </w:r>
          </w:p>
        </w:tc>
        <w:tc>
          <w:tcPr>
            <w:tcW w:w="851" w:type="dxa"/>
            <w:hideMark/>
          </w:tcPr>
          <w:p w14:paraId="5F2FAA2C" w14:textId="77777777" w:rsidR="00FE4823" w:rsidRPr="00CF5041" w:rsidRDefault="00FE4823" w:rsidP="00D93948">
            <w:pPr>
              <w:widowControl/>
              <w:spacing w:before="120" w:after="120"/>
              <w:jc w:val="both"/>
              <w:rPr>
                <w:color w:val="auto"/>
                <w:lang w:val="en-US" w:eastAsia="en-US"/>
              </w:rPr>
            </w:pPr>
          </w:p>
        </w:tc>
        <w:tc>
          <w:tcPr>
            <w:tcW w:w="992" w:type="dxa"/>
            <w:hideMark/>
          </w:tcPr>
          <w:p w14:paraId="42A0347F" w14:textId="77777777" w:rsidR="00FE4823" w:rsidRPr="00CF5041" w:rsidRDefault="00FE4823" w:rsidP="00D93948">
            <w:pPr>
              <w:widowControl/>
              <w:spacing w:before="120" w:after="120"/>
              <w:jc w:val="both"/>
              <w:rPr>
                <w:color w:val="auto"/>
                <w:lang w:val="en-US" w:eastAsia="en-US"/>
              </w:rPr>
            </w:pPr>
            <w:r w:rsidRPr="00CF5041">
              <w:rPr>
                <w:color w:val="auto"/>
                <w:lang w:eastAsia="en-US"/>
              </w:rPr>
              <w:t>Không điền</w:t>
            </w:r>
          </w:p>
        </w:tc>
        <w:tc>
          <w:tcPr>
            <w:tcW w:w="851" w:type="dxa"/>
            <w:hideMark/>
          </w:tcPr>
          <w:p w14:paraId="170AD62A" w14:textId="77777777" w:rsidR="00FE4823" w:rsidRPr="00CF5041" w:rsidRDefault="00FE4823" w:rsidP="00D93948">
            <w:pPr>
              <w:widowControl/>
              <w:spacing w:before="120" w:after="120"/>
              <w:jc w:val="both"/>
              <w:rPr>
                <w:color w:val="auto"/>
                <w:lang w:val="en-US" w:eastAsia="en-US"/>
              </w:rPr>
            </w:pPr>
            <w:r w:rsidRPr="00CF5041">
              <w:rPr>
                <w:color w:val="auto"/>
                <w:lang w:eastAsia="en-US"/>
              </w:rPr>
              <w:t>15%</w:t>
            </w:r>
          </w:p>
        </w:tc>
        <w:tc>
          <w:tcPr>
            <w:tcW w:w="992" w:type="dxa"/>
            <w:hideMark/>
          </w:tcPr>
          <w:p w14:paraId="15C6BD90" w14:textId="77777777" w:rsidR="00FE4823" w:rsidRPr="00CF5041" w:rsidRDefault="00FE4823" w:rsidP="00D93948">
            <w:pPr>
              <w:widowControl/>
              <w:spacing w:before="120" w:after="120"/>
              <w:jc w:val="both"/>
              <w:rPr>
                <w:color w:val="auto"/>
                <w:lang w:val="en-US" w:eastAsia="en-US"/>
              </w:rPr>
            </w:pPr>
          </w:p>
        </w:tc>
        <w:tc>
          <w:tcPr>
            <w:tcW w:w="992" w:type="dxa"/>
            <w:hideMark/>
          </w:tcPr>
          <w:p w14:paraId="0462E88D" w14:textId="77777777" w:rsidR="00FE4823" w:rsidRPr="00CF5041" w:rsidRDefault="00FE4823" w:rsidP="00D93948">
            <w:pPr>
              <w:widowControl/>
              <w:spacing w:before="120" w:after="120"/>
              <w:jc w:val="both"/>
              <w:rPr>
                <w:color w:val="auto"/>
                <w:lang w:val="en-US" w:eastAsia="en-US"/>
              </w:rPr>
            </w:pPr>
            <w:r w:rsidRPr="00CF5041">
              <w:rPr>
                <w:color w:val="auto"/>
                <w:lang w:eastAsia="en-US"/>
              </w:rPr>
              <w:t>Không điền</w:t>
            </w:r>
          </w:p>
        </w:tc>
        <w:tc>
          <w:tcPr>
            <w:tcW w:w="992" w:type="dxa"/>
            <w:hideMark/>
          </w:tcPr>
          <w:p w14:paraId="61801547" w14:textId="77777777" w:rsidR="00FE4823" w:rsidRPr="00CF5041" w:rsidRDefault="00FE4823" w:rsidP="00D93948">
            <w:pPr>
              <w:widowControl/>
              <w:spacing w:before="120" w:after="120"/>
              <w:jc w:val="both"/>
              <w:rPr>
                <w:color w:val="auto"/>
                <w:lang w:val="en-US" w:eastAsia="en-US"/>
              </w:rPr>
            </w:pPr>
          </w:p>
        </w:tc>
        <w:tc>
          <w:tcPr>
            <w:tcW w:w="1985" w:type="dxa"/>
            <w:hideMark/>
          </w:tcPr>
          <w:p w14:paraId="09BD3D82" w14:textId="77777777" w:rsidR="00FE4823" w:rsidRPr="00CF5041" w:rsidRDefault="00FE4823" w:rsidP="00D93948">
            <w:pPr>
              <w:widowControl/>
              <w:spacing w:before="120" w:after="120"/>
              <w:jc w:val="both"/>
              <w:rPr>
                <w:color w:val="auto"/>
                <w:lang w:val="en-US" w:eastAsia="en-US"/>
              </w:rPr>
            </w:pPr>
          </w:p>
        </w:tc>
      </w:tr>
      <w:tr w:rsidR="001672A5" w:rsidRPr="00CF5041" w14:paraId="3C822E38" w14:textId="77777777" w:rsidTr="00855670">
        <w:tc>
          <w:tcPr>
            <w:tcW w:w="2127" w:type="dxa"/>
            <w:hideMark/>
          </w:tcPr>
          <w:p w14:paraId="191F9F06" w14:textId="77777777" w:rsidR="00FE4823" w:rsidRPr="00CF5041" w:rsidRDefault="00FE4823" w:rsidP="00D93948">
            <w:pPr>
              <w:widowControl/>
              <w:spacing w:before="120" w:after="120"/>
              <w:jc w:val="both"/>
              <w:rPr>
                <w:color w:val="auto"/>
                <w:lang w:val="en-US" w:eastAsia="en-US"/>
              </w:rPr>
            </w:pPr>
            <w:r w:rsidRPr="00CF5041">
              <w:rPr>
                <w:color w:val="auto"/>
                <w:lang w:eastAsia="en-US"/>
              </w:rPr>
              <w:t>3. Các khoản vay từ tổ chức tín dụng khác, tổ chức tài chính khác đến hạn thanh toán (trừ dư nợ vay của NHHTX được đảm bảo bằng tiền gửi của QTDND tại NHHTX)</w:t>
            </w:r>
          </w:p>
        </w:tc>
        <w:tc>
          <w:tcPr>
            <w:tcW w:w="851" w:type="dxa"/>
            <w:hideMark/>
          </w:tcPr>
          <w:p w14:paraId="6D24784D" w14:textId="77777777" w:rsidR="00FE4823" w:rsidRPr="00CF5041" w:rsidRDefault="00FE4823" w:rsidP="00D93948">
            <w:pPr>
              <w:widowControl/>
              <w:spacing w:before="120" w:after="120"/>
              <w:jc w:val="both"/>
              <w:rPr>
                <w:color w:val="auto"/>
                <w:lang w:val="en-US" w:eastAsia="en-US"/>
              </w:rPr>
            </w:pPr>
          </w:p>
        </w:tc>
        <w:tc>
          <w:tcPr>
            <w:tcW w:w="992" w:type="dxa"/>
            <w:hideMark/>
          </w:tcPr>
          <w:p w14:paraId="2B281AFC" w14:textId="77777777" w:rsidR="00FE4823" w:rsidRPr="00CF5041" w:rsidRDefault="00FE4823" w:rsidP="00D93948">
            <w:pPr>
              <w:widowControl/>
              <w:spacing w:before="120" w:after="120"/>
              <w:jc w:val="both"/>
              <w:rPr>
                <w:color w:val="auto"/>
                <w:lang w:val="en-US" w:eastAsia="en-US"/>
              </w:rPr>
            </w:pPr>
          </w:p>
        </w:tc>
        <w:tc>
          <w:tcPr>
            <w:tcW w:w="851" w:type="dxa"/>
            <w:hideMark/>
          </w:tcPr>
          <w:p w14:paraId="3C9FF683" w14:textId="77777777" w:rsidR="00FE4823" w:rsidRPr="00CF5041" w:rsidRDefault="00FE4823" w:rsidP="00D93948">
            <w:pPr>
              <w:widowControl/>
              <w:spacing w:before="120" w:after="120"/>
              <w:jc w:val="both"/>
              <w:rPr>
                <w:color w:val="auto"/>
                <w:lang w:val="en-US" w:eastAsia="en-US"/>
              </w:rPr>
            </w:pPr>
            <w:r w:rsidRPr="00CF5041">
              <w:rPr>
                <w:color w:val="auto"/>
                <w:lang w:eastAsia="en-US"/>
              </w:rPr>
              <w:t>100%</w:t>
            </w:r>
          </w:p>
        </w:tc>
        <w:tc>
          <w:tcPr>
            <w:tcW w:w="992" w:type="dxa"/>
            <w:hideMark/>
          </w:tcPr>
          <w:p w14:paraId="5FC0C592" w14:textId="77777777" w:rsidR="00FE4823" w:rsidRPr="00CF5041" w:rsidRDefault="00FE4823" w:rsidP="00D93948">
            <w:pPr>
              <w:widowControl/>
              <w:spacing w:before="120" w:after="120"/>
              <w:jc w:val="both"/>
              <w:rPr>
                <w:color w:val="auto"/>
                <w:lang w:val="en-US" w:eastAsia="en-US"/>
              </w:rPr>
            </w:pPr>
          </w:p>
        </w:tc>
        <w:tc>
          <w:tcPr>
            <w:tcW w:w="992" w:type="dxa"/>
            <w:hideMark/>
          </w:tcPr>
          <w:p w14:paraId="016864E9" w14:textId="77777777" w:rsidR="00FE4823" w:rsidRPr="00CF5041" w:rsidRDefault="00FE4823" w:rsidP="00D93948">
            <w:pPr>
              <w:widowControl/>
              <w:spacing w:before="120" w:after="120"/>
              <w:jc w:val="both"/>
              <w:rPr>
                <w:color w:val="auto"/>
                <w:lang w:val="en-US" w:eastAsia="en-US"/>
              </w:rPr>
            </w:pPr>
          </w:p>
        </w:tc>
        <w:tc>
          <w:tcPr>
            <w:tcW w:w="992" w:type="dxa"/>
            <w:hideMark/>
          </w:tcPr>
          <w:p w14:paraId="1CF3DD38" w14:textId="77777777" w:rsidR="00FE4823" w:rsidRPr="00CF5041" w:rsidRDefault="00FE4823" w:rsidP="00D93948">
            <w:pPr>
              <w:widowControl/>
              <w:spacing w:before="120" w:after="120"/>
              <w:jc w:val="both"/>
              <w:rPr>
                <w:color w:val="auto"/>
                <w:lang w:val="en-US" w:eastAsia="en-US"/>
              </w:rPr>
            </w:pPr>
          </w:p>
        </w:tc>
        <w:tc>
          <w:tcPr>
            <w:tcW w:w="1985" w:type="dxa"/>
            <w:hideMark/>
          </w:tcPr>
          <w:p w14:paraId="527A6504" w14:textId="77777777" w:rsidR="00FE4823" w:rsidRPr="00CF5041" w:rsidRDefault="00FE4823" w:rsidP="00D93948">
            <w:pPr>
              <w:widowControl/>
              <w:spacing w:before="120" w:after="120"/>
              <w:jc w:val="both"/>
              <w:rPr>
                <w:color w:val="auto"/>
                <w:lang w:val="en-US" w:eastAsia="en-US"/>
              </w:rPr>
            </w:pPr>
            <w:r w:rsidRPr="00CF5041">
              <w:rPr>
                <w:color w:val="auto"/>
                <w:lang w:eastAsia="en-US"/>
              </w:rPr>
              <w:t>Theo kỳ hạn trên hợp đồng vay</w:t>
            </w:r>
          </w:p>
        </w:tc>
      </w:tr>
      <w:tr w:rsidR="001672A5" w:rsidRPr="00CF5041" w14:paraId="3CC48301" w14:textId="77777777" w:rsidTr="00855670">
        <w:tc>
          <w:tcPr>
            <w:tcW w:w="2127" w:type="dxa"/>
            <w:hideMark/>
          </w:tcPr>
          <w:p w14:paraId="693401BE" w14:textId="77777777" w:rsidR="00FE4823" w:rsidRPr="00CF5041" w:rsidRDefault="00FE4823" w:rsidP="00D93948">
            <w:pPr>
              <w:widowControl/>
              <w:spacing w:before="120" w:after="120"/>
              <w:jc w:val="both"/>
              <w:rPr>
                <w:color w:val="auto"/>
                <w:lang w:val="en-US" w:eastAsia="en-US"/>
              </w:rPr>
            </w:pPr>
            <w:r w:rsidRPr="00CF5041">
              <w:rPr>
                <w:color w:val="auto"/>
                <w:lang w:eastAsia="en-US"/>
              </w:rPr>
              <w:t>- Gốc</w:t>
            </w:r>
          </w:p>
        </w:tc>
        <w:tc>
          <w:tcPr>
            <w:tcW w:w="851" w:type="dxa"/>
            <w:hideMark/>
          </w:tcPr>
          <w:p w14:paraId="0B33C957" w14:textId="77777777" w:rsidR="00FE4823" w:rsidRPr="00CF5041" w:rsidRDefault="00FE4823" w:rsidP="00D93948">
            <w:pPr>
              <w:widowControl/>
              <w:spacing w:before="120" w:after="120"/>
              <w:jc w:val="both"/>
              <w:rPr>
                <w:color w:val="auto"/>
                <w:lang w:val="en-US" w:eastAsia="en-US"/>
              </w:rPr>
            </w:pPr>
          </w:p>
        </w:tc>
        <w:tc>
          <w:tcPr>
            <w:tcW w:w="992" w:type="dxa"/>
            <w:hideMark/>
          </w:tcPr>
          <w:p w14:paraId="5CBFD6FC" w14:textId="77777777" w:rsidR="00FE4823" w:rsidRPr="00CF5041" w:rsidRDefault="00FE4823" w:rsidP="00D93948">
            <w:pPr>
              <w:widowControl/>
              <w:spacing w:before="120" w:after="120"/>
              <w:jc w:val="both"/>
              <w:rPr>
                <w:color w:val="auto"/>
                <w:lang w:val="en-US" w:eastAsia="en-US"/>
              </w:rPr>
            </w:pPr>
          </w:p>
        </w:tc>
        <w:tc>
          <w:tcPr>
            <w:tcW w:w="851" w:type="dxa"/>
            <w:hideMark/>
          </w:tcPr>
          <w:p w14:paraId="46A76D38" w14:textId="77777777" w:rsidR="00FE4823" w:rsidRPr="00CF5041" w:rsidRDefault="00FE4823" w:rsidP="00D93948">
            <w:pPr>
              <w:widowControl/>
              <w:spacing w:before="120" w:after="120"/>
              <w:jc w:val="both"/>
              <w:rPr>
                <w:color w:val="auto"/>
                <w:lang w:val="en-US" w:eastAsia="en-US"/>
              </w:rPr>
            </w:pPr>
            <w:r w:rsidRPr="00CF5041">
              <w:rPr>
                <w:color w:val="auto"/>
                <w:lang w:eastAsia="en-US"/>
              </w:rPr>
              <w:t>100%</w:t>
            </w:r>
          </w:p>
        </w:tc>
        <w:tc>
          <w:tcPr>
            <w:tcW w:w="992" w:type="dxa"/>
            <w:hideMark/>
          </w:tcPr>
          <w:p w14:paraId="2015D7DC" w14:textId="77777777" w:rsidR="00FE4823" w:rsidRPr="00CF5041" w:rsidRDefault="00FE4823" w:rsidP="00D93948">
            <w:pPr>
              <w:widowControl/>
              <w:spacing w:before="120" w:after="120"/>
              <w:jc w:val="both"/>
              <w:rPr>
                <w:color w:val="auto"/>
                <w:lang w:val="en-US" w:eastAsia="en-US"/>
              </w:rPr>
            </w:pPr>
          </w:p>
        </w:tc>
        <w:tc>
          <w:tcPr>
            <w:tcW w:w="992" w:type="dxa"/>
            <w:hideMark/>
          </w:tcPr>
          <w:p w14:paraId="0106D696" w14:textId="77777777" w:rsidR="00FE4823" w:rsidRPr="00CF5041" w:rsidRDefault="00FE4823" w:rsidP="00D93948">
            <w:pPr>
              <w:widowControl/>
              <w:spacing w:before="120" w:after="120"/>
              <w:jc w:val="both"/>
              <w:rPr>
                <w:color w:val="auto"/>
                <w:lang w:val="en-US" w:eastAsia="en-US"/>
              </w:rPr>
            </w:pPr>
          </w:p>
        </w:tc>
        <w:tc>
          <w:tcPr>
            <w:tcW w:w="992" w:type="dxa"/>
            <w:hideMark/>
          </w:tcPr>
          <w:p w14:paraId="7E62ECCA" w14:textId="77777777" w:rsidR="00FE4823" w:rsidRPr="00CF5041" w:rsidRDefault="00FE4823" w:rsidP="00D93948">
            <w:pPr>
              <w:widowControl/>
              <w:spacing w:before="120" w:after="120"/>
              <w:jc w:val="both"/>
              <w:rPr>
                <w:color w:val="auto"/>
                <w:lang w:val="en-US" w:eastAsia="en-US"/>
              </w:rPr>
            </w:pPr>
          </w:p>
        </w:tc>
        <w:tc>
          <w:tcPr>
            <w:tcW w:w="1985" w:type="dxa"/>
            <w:hideMark/>
          </w:tcPr>
          <w:p w14:paraId="3422F958" w14:textId="77777777" w:rsidR="00FE4823" w:rsidRPr="00CF5041" w:rsidRDefault="00FE4823" w:rsidP="00D93948">
            <w:pPr>
              <w:widowControl/>
              <w:spacing w:before="120" w:after="120"/>
              <w:jc w:val="both"/>
              <w:rPr>
                <w:color w:val="auto"/>
                <w:lang w:val="en-US" w:eastAsia="en-US"/>
              </w:rPr>
            </w:pPr>
          </w:p>
        </w:tc>
      </w:tr>
      <w:tr w:rsidR="001672A5" w:rsidRPr="00CF5041" w14:paraId="0CA7D608" w14:textId="77777777" w:rsidTr="00855670">
        <w:tc>
          <w:tcPr>
            <w:tcW w:w="2127" w:type="dxa"/>
            <w:hideMark/>
          </w:tcPr>
          <w:p w14:paraId="59E295A1" w14:textId="77777777" w:rsidR="00FE4823" w:rsidRPr="00CF5041" w:rsidRDefault="00FE4823" w:rsidP="00D93948">
            <w:pPr>
              <w:widowControl/>
              <w:spacing w:before="120" w:after="120"/>
              <w:jc w:val="both"/>
              <w:rPr>
                <w:color w:val="auto"/>
                <w:lang w:val="en-US" w:eastAsia="en-US"/>
              </w:rPr>
            </w:pPr>
            <w:r w:rsidRPr="00CF5041">
              <w:rPr>
                <w:color w:val="auto"/>
                <w:lang w:eastAsia="en-US"/>
              </w:rPr>
              <w:t>- Lãi</w:t>
            </w:r>
          </w:p>
        </w:tc>
        <w:tc>
          <w:tcPr>
            <w:tcW w:w="851" w:type="dxa"/>
            <w:hideMark/>
          </w:tcPr>
          <w:p w14:paraId="64931A47" w14:textId="77777777" w:rsidR="00FE4823" w:rsidRPr="00CF5041" w:rsidRDefault="00FE4823" w:rsidP="00D93948">
            <w:pPr>
              <w:widowControl/>
              <w:spacing w:before="120" w:after="120"/>
              <w:jc w:val="both"/>
              <w:rPr>
                <w:color w:val="auto"/>
                <w:lang w:val="en-US" w:eastAsia="en-US"/>
              </w:rPr>
            </w:pPr>
          </w:p>
        </w:tc>
        <w:tc>
          <w:tcPr>
            <w:tcW w:w="992" w:type="dxa"/>
            <w:hideMark/>
          </w:tcPr>
          <w:p w14:paraId="7A63F8FF" w14:textId="77777777" w:rsidR="00FE4823" w:rsidRPr="00CF5041" w:rsidRDefault="00FE4823" w:rsidP="00D93948">
            <w:pPr>
              <w:widowControl/>
              <w:spacing w:before="120" w:after="120"/>
              <w:jc w:val="both"/>
              <w:rPr>
                <w:color w:val="auto"/>
                <w:lang w:val="en-US" w:eastAsia="en-US"/>
              </w:rPr>
            </w:pPr>
          </w:p>
        </w:tc>
        <w:tc>
          <w:tcPr>
            <w:tcW w:w="851" w:type="dxa"/>
            <w:hideMark/>
          </w:tcPr>
          <w:p w14:paraId="68543B5B" w14:textId="77777777" w:rsidR="00FE4823" w:rsidRPr="00CF5041" w:rsidRDefault="00FE4823" w:rsidP="00D93948">
            <w:pPr>
              <w:widowControl/>
              <w:spacing w:before="120" w:after="120"/>
              <w:jc w:val="both"/>
              <w:rPr>
                <w:color w:val="auto"/>
                <w:lang w:val="en-US" w:eastAsia="en-US"/>
              </w:rPr>
            </w:pPr>
            <w:r w:rsidRPr="00CF5041">
              <w:rPr>
                <w:color w:val="auto"/>
                <w:lang w:eastAsia="en-US"/>
              </w:rPr>
              <w:t>100%</w:t>
            </w:r>
          </w:p>
        </w:tc>
        <w:tc>
          <w:tcPr>
            <w:tcW w:w="992" w:type="dxa"/>
            <w:hideMark/>
          </w:tcPr>
          <w:p w14:paraId="0276017B" w14:textId="77777777" w:rsidR="00FE4823" w:rsidRPr="00CF5041" w:rsidRDefault="00FE4823" w:rsidP="00D93948">
            <w:pPr>
              <w:widowControl/>
              <w:spacing w:before="120" w:after="120"/>
              <w:jc w:val="both"/>
              <w:rPr>
                <w:color w:val="auto"/>
                <w:lang w:val="en-US" w:eastAsia="en-US"/>
              </w:rPr>
            </w:pPr>
          </w:p>
        </w:tc>
        <w:tc>
          <w:tcPr>
            <w:tcW w:w="992" w:type="dxa"/>
            <w:hideMark/>
          </w:tcPr>
          <w:p w14:paraId="042382FC" w14:textId="77777777" w:rsidR="00FE4823" w:rsidRPr="00CF5041" w:rsidRDefault="00FE4823" w:rsidP="00D93948">
            <w:pPr>
              <w:widowControl/>
              <w:spacing w:before="120" w:after="120"/>
              <w:jc w:val="both"/>
              <w:rPr>
                <w:color w:val="auto"/>
                <w:lang w:val="en-US" w:eastAsia="en-US"/>
              </w:rPr>
            </w:pPr>
          </w:p>
        </w:tc>
        <w:tc>
          <w:tcPr>
            <w:tcW w:w="992" w:type="dxa"/>
            <w:hideMark/>
          </w:tcPr>
          <w:p w14:paraId="6164B2F9" w14:textId="77777777" w:rsidR="00FE4823" w:rsidRPr="00CF5041" w:rsidRDefault="00FE4823" w:rsidP="00D93948">
            <w:pPr>
              <w:widowControl/>
              <w:spacing w:before="120" w:after="120"/>
              <w:jc w:val="both"/>
              <w:rPr>
                <w:color w:val="auto"/>
                <w:lang w:val="en-US" w:eastAsia="en-US"/>
              </w:rPr>
            </w:pPr>
          </w:p>
        </w:tc>
        <w:tc>
          <w:tcPr>
            <w:tcW w:w="1985" w:type="dxa"/>
            <w:hideMark/>
          </w:tcPr>
          <w:p w14:paraId="6F32D87B" w14:textId="77777777" w:rsidR="00FE4823" w:rsidRPr="00CF5041" w:rsidRDefault="00FE4823" w:rsidP="00D93948">
            <w:pPr>
              <w:widowControl/>
              <w:spacing w:before="120" w:after="120"/>
              <w:jc w:val="both"/>
              <w:rPr>
                <w:color w:val="auto"/>
                <w:lang w:val="en-US" w:eastAsia="en-US"/>
              </w:rPr>
            </w:pPr>
          </w:p>
        </w:tc>
      </w:tr>
      <w:tr w:rsidR="001672A5" w:rsidRPr="00CF5041" w14:paraId="15D43964" w14:textId="77777777" w:rsidTr="00855670">
        <w:tc>
          <w:tcPr>
            <w:tcW w:w="2127" w:type="dxa"/>
            <w:hideMark/>
          </w:tcPr>
          <w:p w14:paraId="1DCAA163" w14:textId="77777777" w:rsidR="00FE4823" w:rsidRPr="00CF5041" w:rsidRDefault="00FE4823" w:rsidP="00D93948">
            <w:pPr>
              <w:widowControl/>
              <w:spacing w:before="120" w:after="120"/>
              <w:jc w:val="both"/>
              <w:rPr>
                <w:color w:val="auto"/>
                <w:lang w:val="en-US" w:eastAsia="en-US"/>
              </w:rPr>
            </w:pPr>
            <w:r w:rsidRPr="00CF5041">
              <w:rPr>
                <w:color w:val="auto"/>
                <w:lang w:eastAsia="en-US"/>
              </w:rPr>
              <w:t>4. Các khoản nợ khác đến hạn thanh toán</w:t>
            </w:r>
          </w:p>
        </w:tc>
        <w:tc>
          <w:tcPr>
            <w:tcW w:w="851" w:type="dxa"/>
            <w:hideMark/>
          </w:tcPr>
          <w:p w14:paraId="019E1A73" w14:textId="77777777" w:rsidR="00FE4823" w:rsidRPr="00CF5041" w:rsidRDefault="00FE4823" w:rsidP="00D93948">
            <w:pPr>
              <w:widowControl/>
              <w:spacing w:before="120" w:after="120"/>
              <w:jc w:val="both"/>
              <w:rPr>
                <w:color w:val="auto"/>
                <w:lang w:val="en-US" w:eastAsia="en-US"/>
              </w:rPr>
            </w:pPr>
          </w:p>
        </w:tc>
        <w:tc>
          <w:tcPr>
            <w:tcW w:w="992" w:type="dxa"/>
            <w:hideMark/>
          </w:tcPr>
          <w:p w14:paraId="29696C32" w14:textId="77777777" w:rsidR="00FE4823" w:rsidRPr="00CF5041" w:rsidRDefault="00FE4823" w:rsidP="00D93948">
            <w:pPr>
              <w:widowControl/>
              <w:spacing w:before="120" w:after="120"/>
              <w:jc w:val="both"/>
              <w:rPr>
                <w:color w:val="auto"/>
                <w:lang w:val="en-US" w:eastAsia="en-US"/>
              </w:rPr>
            </w:pPr>
          </w:p>
        </w:tc>
        <w:tc>
          <w:tcPr>
            <w:tcW w:w="851" w:type="dxa"/>
            <w:hideMark/>
          </w:tcPr>
          <w:p w14:paraId="4C687967" w14:textId="77777777" w:rsidR="00FE4823" w:rsidRPr="00CF5041" w:rsidRDefault="00FE4823" w:rsidP="00D93948">
            <w:pPr>
              <w:widowControl/>
              <w:spacing w:before="120" w:after="120"/>
              <w:jc w:val="both"/>
              <w:rPr>
                <w:color w:val="auto"/>
                <w:lang w:val="en-US" w:eastAsia="en-US"/>
              </w:rPr>
            </w:pPr>
            <w:r w:rsidRPr="00CF5041">
              <w:rPr>
                <w:color w:val="auto"/>
                <w:lang w:eastAsia="en-US"/>
              </w:rPr>
              <w:t>100%</w:t>
            </w:r>
          </w:p>
        </w:tc>
        <w:tc>
          <w:tcPr>
            <w:tcW w:w="992" w:type="dxa"/>
            <w:hideMark/>
          </w:tcPr>
          <w:p w14:paraId="5F065572" w14:textId="77777777" w:rsidR="00FE4823" w:rsidRPr="00CF5041" w:rsidRDefault="00FE4823" w:rsidP="00D93948">
            <w:pPr>
              <w:widowControl/>
              <w:spacing w:before="120" w:after="120"/>
              <w:jc w:val="both"/>
              <w:rPr>
                <w:color w:val="auto"/>
                <w:lang w:val="en-US" w:eastAsia="en-US"/>
              </w:rPr>
            </w:pPr>
          </w:p>
        </w:tc>
        <w:tc>
          <w:tcPr>
            <w:tcW w:w="992" w:type="dxa"/>
            <w:hideMark/>
          </w:tcPr>
          <w:p w14:paraId="1108E3AA" w14:textId="77777777" w:rsidR="00FE4823" w:rsidRPr="00CF5041" w:rsidRDefault="00FE4823" w:rsidP="00D93948">
            <w:pPr>
              <w:widowControl/>
              <w:spacing w:before="120" w:after="120"/>
              <w:jc w:val="both"/>
              <w:rPr>
                <w:color w:val="auto"/>
                <w:lang w:val="en-US" w:eastAsia="en-US"/>
              </w:rPr>
            </w:pPr>
          </w:p>
        </w:tc>
        <w:tc>
          <w:tcPr>
            <w:tcW w:w="992" w:type="dxa"/>
            <w:hideMark/>
          </w:tcPr>
          <w:p w14:paraId="1D129DCB" w14:textId="77777777" w:rsidR="00FE4823" w:rsidRPr="00CF5041" w:rsidRDefault="00FE4823" w:rsidP="00D93948">
            <w:pPr>
              <w:widowControl/>
              <w:spacing w:before="120" w:after="120"/>
              <w:jc w:val="both"/>
              <w:rPr>
                <w:color w:val="auto"/>
                <w:lang w:val="en-US" w:eastAsia="en-US"/>
              </w:rPr>
            </w:pPr>
          </w:p>
        </w:tc>
        <w:tc>
          <w:tcPr>
            <w:tcW w:w="1985" w:type="dxa"/>
            <w:hideMark/>
          </w:tcPr>
          <w:p w14:paraId="6E3C2E97" w14:textId="65453838" w:rsidR="00FE4823" w:rsidRPr="00CF5041" w:rsidRDefault="00FE4823">
            <w:pPr>
              <w:widowControl/>
              <w:spacing w:before="120" w:after="120"/>
              <w:jc w:val="both"/>
              <w:rPr>
                <w:color w:val="auto"/>
                <w:lang w:val="en-US" w:eastAsia="en-US"/>
              </w:rPr>
            </w:pPr>
            <w:r w:rsidRPr="00CF5041">
              <w:rPr>
                <w:color w:val="auto"/>
                <w:lang w:eastAsia="en-US"/>
              </w:rPr>
              <w:t>Lấy số tiền phát sinh từ việc thực hiện nghĩa vụ của “Các khoản nợ khác” theo hướng dẫn</w:t>
            </w:r>
            <w:r w:rsidR="00DC6AFA" w:rsidRPr="00CF5041">
              <w:rPr>
                <w:color w:val="auto"/>
                <w:lang w:val="en-US" w:eastAsia="en-US"/>
              </w:rPr>
              <w:t xml:space="preserve"> </w:t>
            </w:r>
            <w:r w:rsidRPr="00CF5041">
              <w:rPr>
                <w:color w:val="auto"/>
                <w:lang w:eastAsia="en-US"/>
              </w:rPr>
              <w:t>của Ngân hàng Nhà nước</w:t>
            </w:r>
            <w:r w:rsidR="00D5022D" w:rsidRPr="00CF5041">
              <w:rPr>
                <w:color w:val="auto"/>
                <w:lang w:val="en-US" w:eastAsia="en-US"/>
              </w:rPr>
              <w:t xml:space="preserve"> Việt Nam</w:t>
            </w:r>
            <w:r w:rsidRPr="00CF5041">
              <w:rPr>
                <w:color w:val="auto"/>
                <w:lang w:eastAsia="en-US"/>
              </w:rPr>
              <w:t xml:space="preserve"> về chế độ báo cáo tài chính đối với quỹ tín dụng nhân dân</w:t>
            </w:r>
            <w:r w:rsidR="00653D81">
              <w:rPr>
                <w:color w:val="auto"/>
                <w:lang w:val="en-US" w:eastAsia="en-US"/>
              </w:rPr>
              <w:t xml:space="preserve"> </w:t>
            </w:r>
            <w:r w:rsidRPr="00CF5041">
              <w:rPr>
                <w:color w:val="auto"/>
                <w:lang w:eastAsia="en-US"/>
              </w:rPr>
              <w:t xml:space="preserve">và các văn bản </w:t>
            </w:r>
            <w:r w:rsidRPr="00CF5041">
              <w:rPr>
                <w:color w:val="auto"/>
                <w:lang w:eastAsia="en-US"/>
              </w:rPr>
              <w:lastRenderedPageBreak/>
              <w:t>khác có liên quan, điền vào các cột thích hợp.</w:t>
            </w:r>
          </w:p>
        </w:tc>
      </w:tr>
      <w:tr w:rsidR="001672A5" w:rsidRPr="00CF5041" w14:paraId="6763BE86" w14:textId="77777777" w:rsidTr="00855670">
        <w:tc>
          <w:tcPr>
            <w:tcW w:w="4821" w:type="dxa"/>
            <w:gridSpan w:val="4"/>
            <w:hideMark/>
          </w:tcPr>
          <w:p w14:paraId="09AA5F6A" w14:textId="54C56F3E" w:rsidR="00FE4823" w:rsidRPr="00CF5041" w:rsidRDefault="00FE4823">
            <w:pPr>
              <w:widowControl/>
              <w:spacing w:before="120" w:after="120"/>
              <w:jc w:val="both"/>
              <w:rPr>
                <w:color w:val="auto"/>
                <w:lang w:val="en-US" w:eastAsia="en-US"/>
              </w:rPr>
            </w:pPr>
            <w:r w:rsidRPr="00CF5041">
              <w:rPr>
                <w:b/>
                <w:bCs/>
                <w:color w:val="auto"/>
                <w:lang w:eastAsia="en-US"/>
              </w:rPr>
              <w:lastRenderedPageBreak/>
              <w:t>Tài sản “Có” có thể thanh toán ngay của ngày tiếp theo/Tài sản “Nợ” phải thanh toán của ngày tiếp theo</w:t>
            </w:r>
          </w:p>
        </w:tc>
        <w:tc>
          <w:tcPr>
            <w:tcW w:w="992" w:type="dxa"/>
            <w:hideMark/>
          </w:tcPr>
          <w:p w14:paraId="681B0DD1" w14:textId="77777777" w:rsidR="00FE4823" w:rsidRPr="00CF5041" w:rsidRDefault="00FE4823" w:rsidP="00D93948">
            <w:pPr>
              <w:widowControl/>
              <w:spacing w:before="120" w:after="120"/>
              <w:jc w:val="both"/>
              <w:rPr>
                <w:color w:val="auto"/>
                <w:lang w:val="en-US" w:eastAsia="en-US"/>
              </w:rPr>
            </w:pPr>
          </w:p>
        </w:tc>
        <w:tc>
          <w:tcPr>
            <w:tcW w:w="992" w:type="dxa"/>
            <w:hideMark/>
          </w:tcPr>
          <w:p w14:paraId="70EE007C" w14:textId="77777777" w:rsidR="00FE4823" w:rsidRPr="00CF5041" w:rsidRDefault="00FE4823" w:rsidP="00D93948">
            <w:pPr>
              <w:widowControl/>
              <w:spacing w:before="120" w:after="120"/>
              <w:jc w:val="both"/>
              <w:rPr>
                <w:color w:val="auto"/>
                <w:lang w:val="en-US" w:eastAsia="en-US"/>
              </w:rPr>
            </w:pPr>
          </w:p>
        </w:tc>
        <w:tc>
          <w:tcPr>
            <w:tcW w:w="992" w:type="dxa"/>
            <w:hideMark/>
          </w:tcPr>
          <w:p w14:paraId="75959505" w14:textId="77777777" w:rsidR="00FE4823" w:rsidRPr="00CF5041" w:rsidRDefault="00FE4823" w:rsidP="00D93948">
            <w:pPr>
              <w:widowControl/>
              <w:spacing w:before="120" w:after="120"/>
              <w:jc w:val="both"/>
              <w:rPr>
                <w:color w:val="auto"/>
                <w:lang w:val="en-US" w:eastAsia="en-US"/>
              </w:rPr>
            </w:pPr>
          </w:p>
        </w:tc>
        <w:tc>
          <w:tcPr>
            <w:tcW w:w="1985" w:type="dxa"/>
            <w:hideMark/>
          </w:tcPr>
          <w:p w14:paraId="0682EA50" w14:textId="77777777" w:rsidR="00FE4823" w:rsidRPr="00CF5041" w:rsidRDefault="00FE4823" w:rsidP="00D93948">
            <w:pPr>
              <w:widowControl/>
              <w:spacing w:before="120" w:after="120"/>
              <w:jc w:val="both"/>
              <w:rPr>
                <w:color w:val="auto"/>
                <w:lang w:val="en-US" w:eastAsia="en-US"/>
              </w:rPr>
            </w:pPr>
          </w:p>
        </w:tc>
      </w:tr>
      <w:tr w:rsidR="001672A5" w:rsidRPr="001672A5" w14:paraId="5DDF4A66" w14:textId="77777777" w:rsidTr="00855670">
        <w:tc>
          <w:tcPr>
            <w:tcW w:w="4821" w:type="dxa"/>
            <w:gridSpan w:val="4"/>
            <w:hideMark/>
          </w:tcPr>
          <w:p w14:paraId="7891151C" w14:textId="62ADCBD4" w:rsidR="00FE4823" w:rsidRPr="001672A5" w:rsidRDefault="00FE4823">
            <w:pPr>
              <w:widowControl/>
              <w:spacing w:before="120" w:after="120"/>
              <w:jc w:val="both"/>
              <w:rPr>
                <w:color w:val="auto"/>
                <w:lang w:val="en-US" w:eastAsia="en-US"/>
              </w:rPr>
            </w:pPr>
            <w:r w:rsidRPr="00CF5041">
              <w:rPr>
                <w:b/>
                <w:bCs/>
                <w:color w:val="auto"/>
                <w:lang w:eastAsia="en-US"/>
              </w:rPr>
              <w:t>Tài sản “Có” có thể thanh toán ngay trong khoảng thời gian 7 ngày tiếp theo/Tài sản “Nợ” phải thanh toán trong khoảng thời gian 7 ngày tiếp theo</w:t>
            </w:r>
          </w:p>
        </w:tc>
        <w:tc>
          <w:tcPr>
            <w:tcW w:w="992" w:type="dxa"/>
            <w:hideMark/>
          </w:tcPr>
          <w:p w14:paraId="70E3CBBB" w14:textId="77777777" w:rsidR="00FE4823" w:rsidRPr="001672A5" w:rsidRDefault="00FE4823" w:rsidP="00D93948">
            <w:pPr>
              <w:widowControl/>
              <w:spacing w:before="120" w:after="120"/>
              <w:jc w:val="both"/>
              <w:rPr>
                <w:color w:val="auto"/>
                <w:lang w:val="en-US" w:eastAsia="en-US"/>
              </w:rPr>
            </w:pPr>
          </w:p>
        </w:tc>
        <w:tc>
          <w:tcPr>
            <w:tcW w:w="992" w:type="dxa"/>
            <w:hideMark/>
          </w:tcPr>
          <w:p w14:paraId="6E0BA8CF" w14:textId="77777777" w:rsidR="00FE4823" w:rsidRPr="001672A5" w:rsidRDefault="00FE4823" w:rsidP="00D93948">
            <w:pPr>
              <w:widowControl/>
              <w:spacing w:before="120" w:after="120"/>
              <w:jc w:val="both"/>
              <w:rPr>
                <w:color w:val="auto"/>
                <w:lang w:val="en-US" w:eastAsia="en-US"/>
              </w:rPr>
            </w:pPr>
          </w:p>
        </w:tc>
        <w:tc>
          <w:tcPr>
            <w:tcW w:w="992" w:type="dxa"/>
            <w:hideMark/>
          </w:tcPr>
          <w:p w14:paraId="50581259" w14:textId="77777777" w:rsidR="00FE4823" w:rsidRPr="001672A5" w:rsidRDefault="00FE4823" w:rsidP="00D93948">
            <w:pPr>
              <w:widowControl/>
              <w:spacing w:before="120" w:after="120"/>
              <w:jc w:val="both"/>
              <w:rPr>
                <w:color w:val="auto"/>
                <w:lang w:val="en-US" w:eastAsia="en-US"/>
              </w:rPr>
            </w:pPr>
          </w:p>
        </w:tc>
        <w:tc>
          <w:tcPr>
            <w:tcW w:w="1985" w:type="dxa"/>
            <w:hideMark/>
          </w:tcPr>
          <w:p w14:paraId="5DC4B1A1" w14:textId="77777777" w:rsidR="00FE4823" w:rsidRPr="001672A5" w:rsidRDefault="00FE4823" w:rsidP="00D93948">
            <w:pPr>
              <w:widowControl/>
              <w:spacing w:before="120" w:after="120"/>
              <w:jc w:val="both"/>
              <w:rPr>
                <w:color w:val="auto"/>
                <w:lang w:val="en-US" w:eastAsia="en-US"/>
              </w:rPr>
            </w:pPr>
          </w:p>
        </w:tc>
      </w:tr>
    </w:tbl>
    <w:p w14:paraId="76F03165" w14:textId="77777777" w:rsidR="00FE4823" w:rsidRPr="001672A5" w:rsidRDefault="00FE4823" w:rsidP="00FE4823">
      <w:pPr>
        <w:shd w:val="clear" w:color="auto" w:fill="FFFFFF"/>
        <w:spacing w:before="120"/>
        <w:jc w:val="center"/>
        <w:rPr>
          <w:rFonts w:ascii="Times New Roman" w:eastAsia="Times New Roman" w:hAnsi="Times New Roman" w:cs="Times New Roman"/>
          <w:iCs/>
          <w:color w:val="auto"/>
          <w:sz w:val="28"/>
          <w:szCs w:val="28"/>
        </w:rPr>
      </w:pPr>
    </w:p>
    <w:p w14:paraId="77A3D764" w14:textId="77777777" w:rsidR="00FE4823" w:rsidRPr="001672A5" w:rsidRDefault="00FE4823" w:rsidP="00FE4823">
      <w:pPr>
        <w:shd w:val="clear" w:color="auto" w:fill="FFFFFF"/>
        <w:spacing w:before="120"/>
        <w:jc w:val="center"/>
        <w:rPr>
          <w:rFonts w:ascii="Times New Roman" w:eastAsia="Times New Roman" w:hAnsi="Times New Roman" w:cs="Times New Roman"/>
          <w:iCs/>
          <w:color w:val="auto"/>
          <w:sz w:val="28"/>
          <w:szCs w:val="28"/>
        </w:rPr>
      </w:pPr>
    </w:p>
    <w:p w14:paraId="638B0027" w14:textId="77777777" w:rsidR="00FE4823" w:rsidRPr="001672A5" w:rsidRDefault="00FE4823" w:rsidP="00FE4823">
      <w:pPr>
        <w:shd w:val="clear" w:color="auto" w:fill="FFFFFF"/>
        <w:spacing w:before="120"/>
        <w:jc w:val="center"/>
        <w:rPr>
          <w:rFonts w:ascii="Times New Roman" w:eastAsia="Times New Roman" w:hAnsi="Times New Roman" w:cs="Times New Roman"/>
          <w:iCs/>
          <w:color w:val="auto"/>
          <w:sz w:val="28"/>
          <w:szCs w:val="28"/>
        </w:rPr>
      </w:pPr>
    </w:p>
    <w:p w14:paraId="6691B680" w14:textId="77777777" w:rsidR="00FE4823" w:rsidRPr="001672A5" w:rsidRDefault="00FE4823" w:rsidP="00FE4823">
      <w:pPr>
        <w:shd w:val="clear" w:color="auto" w:fill="FFFFFF"/>
        <w:spacing w:before="120"/>
        <w:jc w:val="center"/>
        <w:rPr>
          <w:rFonts w:ascii="Times New Roman" w:eastAsia="Times New Roman" w:hAnsi="Times New Roman" w:cs="Times New Roman"/>
          <w:iCs/>
          <w:color w:val="auto"/>
          <w:sz w:val="28"/>
          <w:szCs w:val="28"/>
        </w:rPr>
      </w:pPr>
    </w:p>
    <w:bookmarkEnd w:id="9"/>
    <w:bookmarkEnd w:id="15"/>
    <w:p w14:paraId="7F1340A3" w14:textId="77777777" w:rsidR="00FE4823" w:rsidRPr="001672A5" w:rsidRDefault="00FE4823" w:rsidP="00FE4823">
      <w:pPr>
        <w:shd w:val="clear" w:color="auto" w:fill="FFFFFF"/>
        <w:spacing w:before="120"/>
        <w:jc w:val="center"/>
        <w:rPr>
          <w:rFonts w:ascii="Times New Roman" w:eastAsia="Times New Roman" w:hAnsi="Times New Roman" w:cs="Times New Roman"/>
          <w:iCs/>
          <w:color w:val="auto"/>
          <w:sz w:val="28"/>
          <w:szCs w:val="28"/>
        </w:rPr>
      </w:pPr>
    </w:p>
    <w:sectPr w:rsidR="00FE4823" w:rsidRPr="001672A5" w:rsidSect="00105A8F">
      <w:pgSz w:w="11906" w:h="16838" w:code="9"/>
      <w:pgMar w:top="1134" w:right="1134" w:bottom="1134" w:left="1701" w:header="720" w:footer="39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3ABE6" w14:textId="77777777" w:rsidR="00041783" w:rsidRDefault="00041783" w:rsidP="004B7C8B">
      <w:r>
        <w:separator/>
      </w:r>
    </w:p>
  </w:endnote>
  <w:endnote w:type="continuationSeparator" w:id="0">
    <w:p w14:paraId="4CDE1DB2" w14:textId="77777777" w:rsidR="00041783" w:rsidRDefault="00041783" w:rsidP="004B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Vrinda">
    <w:altName w:val="Courier New"/>
    <w:panose1 w:val="00000400000000000000"/>
    <w:charset w:val="01"/>
    <w:family w:val="roman"/>
    <w:notTrueType/>
    <w:pitch w:val="variable"/>
  </w:font>
  <w:font w:name="Times New Roman Bold">
    <w:altName w:val="Times New Roman"/>
    <w:panose1 w:val="02020803070505020304"/>
    <w:charset w:val="00"/>
    <w:family w:val="roman"/>
    <w:notTrueType/>
    <w:pitch w:val="default"/>
  </w:font>
  <w:font w:name="CordiaUPC">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C1C83" w14:textId="77777777" w:rsidR="00041783" w:rsidRDefault="00041783" w:rsidP="004B7C8B">
      <w:r>
        <w:separator/>
      </w:r>
    </w:p>
  </w:footnote>
  <w:footnote w:type="continuationSeparator" w:id="0">
    <w:p w14:paraId="10181186" w14:textId="77777777" w:rsidR="00041783" w:rsidRDefault="00041783" w:rsidP="004B7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435951"/>
      <w:docPartObj>
        <w:docPartGallery w:val="Page Numbers (Top of Page)"/>
        <w:docPartUnique/>
      </w:docPartObj>
    </w:sdtPr>
    <w:sdtEndPr>
      <w:rPr>
        <w:rFonts w:ascii="Times New Roman" w:hAnsi="Times New Roman" w:cs="Times New Roman"/>
        <w:noProof/>
        <w:sz w:val="26"/>
        <w:szCs w:val="26"/>
      </w:rPr>
    </w:sdtEndPr>
    <w:sdtContent>
      <w:p w14:paraId="283B3EE1" w14:textId="64C012F2" w:rsidR="0098409D" w:rsidRPr="00402E01" w:rsidRDefault="0098409D">
        <w:pPr>
          <w:pStyle w:val="Header"/>
          <w:jc w:val="center"/>
          <w:rPr>
            <w:rFonts w:ascii="Times New Roman" w:hAnsi="Times New Roman" w:cs="Times New Roman"/>
            <w:sz w:val="26"/>
            <w:szCs w:val="26"/>
          </w:rPr>
        </w:pPr>
        <w:r w:rsidRPr="00402E01">
          <w:rPr>
            <w:rFonts w:ascii="Times New Roman" w:hAnsi="Times New Roman" w:cs="Times New Roman"/>
            <w:sz w:val="26"/>
            <w:szCs w:val="26"/>
          </w:rPr>
          <w:fldChar w:fldCharType="begin"/>
        </w:r>
        <w:r w:rsidRPr="00402E01">
          <w:rPr>
            <w:rFonts w:ascii="Times New Roman" w:hAnsi="Times New Roman" w:cs="Times New Roman"/>
            <w:sz w:val="26"/>
            <w:szCs w:val="26"/>
          </w:rPr>
          <w:instrText xml:space="preserve"> PAGE   \* MERGEFORMAT </w:instrText>
        </w:r>
        <w:r w:rsidRPr="00402E01">
          <w:rPr>
            <w:rFonts w:ascii="Times New Roman" w:hAnsi="Times New Roman" w:cs="Times New Roman"/>
            <w:sz w:val="26"/>
            <w:szCs w:val="26"/>
          </w:rPr>
          <w:fldChar w:fldCharType="separate"/>
        </w:r>
        <w:r w:rsidR="001419DB">
          <w:rPr>
            <w:rFonts w:ascii="Times New Roman" w:hAnsi="Times New Roman" w:cs="Times New Roman"/>
            <w:noProof/>
            <w:sz w:val="26"/>
            <w:szCs w:val="26"/>
          </w:rPr>
          <w:t>12</w:t>
        </w:r>
        <w:r w:rsidRPr="00402E01">
          <w:rPr>
            <w:rFonts w:ascii="Times New Roman" w:hAnsi="Times New Roman" w:cs="Times New Roman"/>
            <w:noProof/>
            <w:sz w:val="26"/>
            <w:szCs w:val="2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16283" w14:textId="44FD6F62" w:rsidR="0098409D" w:rsidRPr="00105A8F" w:rsidRDefault="0098409D">
    <w:pPr>
      <w:pStyle w:val="Header"/>
      <w:jc w:val="center"/>
      <w:rPr>
        <w:rFonts w:ascii="Times New Roman" w:hAnsi="Times New Roman" w:cs="Times New Roman"/>
      </w:rPr>
    </w:pPr>
    <w:r w:rsidRPr="00105A8F">
      <w:rPr>
        <w:rFonts w:ascii="Times New Roman" w:hAnsi="Times New Roman" w:cs="Times New Roman"/>
      </w:rPr>
      <w:fldChar w:fldCharType="begin"/>
    </w:r>
    <w:r w:rsidRPr="00105A8F">
      <w:rPr>
        <w:rFonts w:ascii="Times New Roman" w:hAnsi="Times New Roman" w:cs="Times New Roman"/>
      </w:rPr>
      <w:instrText xml:space="preserve"> PAGE   \* MERGEFORMAT </w:instrText>
    </w:r>
    <w:r w:rsidRPr="00105A8F">
      <w:rPr>
        <w:rFonts w:ascii="Times New Roman" w:hAnsi="Times New Roman" w:cs="Times New Roman"/>
      </w:rPr>
      <w:fldChar w:fldCharType="separate"/>
    </w:r>
    <w:r w:rsidR="001419DB">
      <w:rPr>
        <w:rFonts w:ascii="Times New Roman" w:hAnsi="Times New Roman" w:cs="Times New Roman"/>
        <w:noProof/>
      </w:rPr>
      <w:t>5</w:t>
    </w:r>
    <w:r w:rsidRPr="00105A8F">
      <w:rPr>
        <w:rFonts w:ascii="Times New Roman" w:hAnsi="Times New Roman" w:cs="Times New Roman"/>
        <w:noProof/>
      </w:rPr>
      <w:fldChar w:fldCharType="end"/>
    </w:r>
  </w:p>
  <w:p w14:paraId="527D0432" w14:textId="77777777" w:rsidR="0098409D" w:rsidRDefault="009840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2B450" w14:textId="77777777" w:rsidR="0098409D" w:rsidRDefault="00984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3">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5">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7">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8">
    <w:nsid w:val="00000011"/>
    <w:multiLevelType w:val="multilevel"/>
    <w:tmpl w:val="00000010"/>
    <w:lvl w:ilvl="0">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2">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3">
    <w:nsid w:val="0000001B"/>
    <w:multiLevelType w:val="multilevel"/>
    <w:tmpl w:val="0000001A"/>
    <w:lvl w:ilvl="0">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4">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5">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6">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7">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8">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9">
    <w:nsid w:val="00000027"/>
    <w:multiLevelType w:val="multilevel"/>
    <w:tmpl w:val="00000026"/>
    <w:lvl w:ilvl="0">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1">
    <w:nsid w:val="0000002B"/>
    <w:multiLevelType w:val="multilevel"/>
    <w:tmpl w:val="0000002A"/>
    <w:lvl w:ilvl="0">
      <w:start w:val="17"/>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7"/>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7"/>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7"/>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7"/>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7"/>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7"/>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7"/>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7"/>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2">
    <w:nsid w:val="0000002D"/>
    <w:multiLevelType w:val="multilevel"/>
    <w:tmpl w:val="0000002C"/>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3">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4">
    <w:nsid w:val="00000031"/>
    <w:multiLevelType w:val="multilevel"/>
    <w:tmpl w:val="00000030"/>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5">
    <w:nsid w:val="00000033"/>
    <w:multiLevelType w:val="multilevel"/>
    <w:tmpl w:val="00000032"/>
    <w:lvl w:ilvl="0">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6">
    <w:nsid w:val="00000035"/>
    <w:multiLevelType w:val="multilevel"/>
    <w:tmpl w:val="00000034"/>
    <w:lvl w:ilvl="0">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7">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8">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9">
    <w:nsid w:val="0000003B"/>
    <w:multiLevelType w:val="multilevel"/>
    <w:tmpl w:val="0000003A"/>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30">
    <w:nsid w:val="285F6FB3"/>
    <w:multiLevelType w:val="hybridMultilevel"/>
    <w:tmpl w:val="6D40996A"/>
    <w:lvl w:ilvl="0" w:tplc="754410C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A30C72"/>
    <w:multiLevelType w:val="hybridMultilevel"/>
    <w:tmpl w:val="5BE03E5E"/>
    <w:lvl w:ilvl="0" w:tplc="321CAD14">
      <w:start w:val="1"/>
      <w:numFmt w:val="bullet"/>
      <w:lvlText w:val="-"/>
      <w:lvlJc w:val="left"/>
      <w:pPr>
        <w:ind w:left="720" w:hanging="360"/>
      </w:pPr>
      <w:rPr>
        <w:rFonts w:ascii="Courier New" w:eastAsia="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0CA58E0"/>
    <w:multiLevelType w:val="hybridMultilevel"/>
    <w:tmpl w:val="73EEE1A8"/>
    <w:lvl w:ilvl="0" w:tplc="9BDE30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A596236"/>
    <w:multiLevelType w:val="hybridMultilevel"/>
    <w:tmpl w:val="1CECEB8E"/>
    <w:lvl w:ilvl="0" w:tplc="788053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C3D2FF7"/>
    <w:multiLevelType w:val="hybridMultilevel"/>
    <w:tmpl w:val="8A123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B844612"/>
    <w:multiLevelType w:val="hybridMultilevel"/>
    <w:tmpl w:val="792C1ED2"/>
    <w:lvl w:ilvl="0" w:tplc="A47469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4"/>
  </w:num>
  <w:num w:numId="32">
    <w:abstractNumId w:val="35"/>
  </w:num>
  <w:num w:numId="33">
    <w:abstractNumId w:val="31"/>
  </w:num>
  <w:num w:numId="34">
    <w:abstractNumId w:val="32"/>
  </w:num>
  <w:num w:numId="35">
    <w:abstractNumId w:val="33"/>
  </w:num>
  <w:num w:numId="36">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F80"/>
    <w:rsid w:val="00001151"/>
    <w:rsid w:val="00002375"/>
    <w:rsid w:val="00003A3B"/>
    <w:rsid w:val="00003FAA"/>
    <w:rsid w:val="00005819"/>
    <w:rsid w:val="000068B4"/>
    <w:rsid w:val="00006971"/>
    <w:rsid w:val="000073A4"/>
    <w:rsid w:val="000077B6"/>
    <w:rsid w:val="00010108"/>
    <w:rsid w:val="00011D62"/>
    <w:rsid w:val="0001308A"/>
    <w:rsid w:val="0001330A"/>
    <w:rsid w:val="00013663"/>
    <w:rsid w:val="000136EC"/>
    <w:rsid w:val="00015C1B"/>
    <w:rsid w:val="00015F56"/>
    <w:rsid w:val="00016871"/>
    <w:rsid w:val="00017D91"/>
    <w:rsid w:val="0002277B"/>
    <w:rsid w:val="000228E2"/>
    <w:rsid w:val="000237EC"/>
    <w:rsid w:val="00023FB8"/>
    <w:rsid w:val="000245F0"/>
    <w:rsid w:val="00024BAC"/>
    <w:rsid w:val="00024CE3"/>
    <w:rsid w:val="00025241"/>
    <w:rsid w:val="00025E08"/>
    <w:rsid w:val="000268F7"/>
    <w:rsid w:val="00027499"/>
    <w:rsid w:val="00027550"/>
    <w:rsid w:val="00027B56"/>
    <w:rsid w:val="00027DB3"/>
    <w:rsid w:val="0003159C"/>
    <w:rsid w:val="00032E0A"/>
    <w:rsid w:val="0003334E"/>
    <w:rsid w:val="00033D78"/>
    <w:rsid w:val="00035552"/>
    <w:rsid w:val="00035B5D"/>
    <w:rsid w:val="00037642"/>
    <w:rsid w:val="00037C55"/>
    <w:rsid w:val="00037CFE"/>
    <w:rsid w:val="00037F78"/>
    <w:rsid w:val="000402B6"/>
    <w:rsid w:val="00041783"/>
    <w:rsid w:val="0004180C"/>
    <w:rsid w:val="00043BAE"/>
    <w:rsid w:val="00044168"/>
    <w:rsid w:val="0004452F"/>
    <w:rsid w:val="000451F1"/>
    <w:rsid w:val="000458B4"/>
    <w:rsid w:val="00046136"/>
    <w:rsid w:val="00046752"/>
    <w:rsid w:val="00047979"/>
    <w:rsid w:val="00050E04"/>
    <w:rsid w:val="00052557"/>
    <w:rsid w:val="00053081"/>
    <w:rsid w:val="00053ADE"/>
    <w:rsid w:val="00054E40"/>
    <w:rsid w:val="00055400"/>
    <w:rsid w:val="00055A28"/>
    <w:rsid w:val="00055FC8"/>
    <w:rsid w:val="00056BD9"/>
    <w:rsid w:val="0005728A"/>
    <w:rsid w:val="000604AA"/>
    <w:rsid w:val="00066863"/>
    <w:rsid w:val="00067351"/>
    <w:rsid w:val="00071B2E"/>
    <w:rsid w:val="00071F91"/>
    <w:rsid w:val="00072BBB"/>
    <w:rsid w:val="00072C9B"/>
    <w:rsid w:val="000739D4"/>
    <w:rsid w:val="00073E3A"/>
    <w:rsid w:val="000744C6"/>
    <w:rsid w:val="00074832"/>
    <w:rsid w:val="0007501E"/>
    <w:rsid w:val="00076F37"/>
    <w:rsid w:val="000775F0"/>
    <w:rsid w:val="000803CB"/>
    <w:rsid w:val="000807A4"/>
    <w:rsid w:val="00080968"/>
    <w:rsid w:val="00080EC5"/>
    <w:rsid w:val="00082D84"/>
    <w:rsid w:val="00082E53"/>
    <w:rsid w:val="00083E59"/>
    <w:rsid w:val="00083F64"/>
    <w:rsid w:val="00084229"/>
    <w:rsid w:val="00084796"/>
    <w:rsid w:val="0008560D"/>
    <w:rsid w:val="0008628E"/>
    <w:rsid w:val="00087A93"/>
    <w:rsid w:val="00087F7E"/>
    <w:rsid w:val="000902F4"/>
    <w:rsid w:val="0009060B"/>
    <w:rsid w:val="000911C9"/>
    <w:rsid w:val="000924AC"/>
    <w:rsid w:val="000926BE"/>
    <w:rsid w:val="0009418D"/>
    <w:rsid w:val="000965A9"/>
    <w:rsid w:val="000A25E9"/>
    <w:rsid w:val="000A2888"/>
    <w:rsid w:val="000A4923"/>
    <w:rsid w:val="000A4E3C"/>
    <w:rsid w:val="000A558D"/>
    <w:rsid w:val="000A77F7"/>
    <w:rsid w:val="000B070A"/>
    <w:rsid w:val="000B0BB8"/>
    <w:rsid w:val="000B125C"/>
    <w:rsid w:val="000B17C3"/>
    <w:rsid w:val="000B22DC"/>
    <w:rsid w:val="000B32D2"/>
    <w:rsid w:val="000B47B1"/>
    <w:rsid w:val="000B4D39"/>
    <w:rsid w:val="000C020A"/>
    <w:rsid w:val="000C1CC1"/>
    <w:rsid w:val="000C4BBF"/>
    <w:rsid w:val="000C6351"/>
    <w:rsid w:val="000C70F5"/>
    <w:rsid w:val="000D00CE"/>
    <w:rsid w:val="000D0358"/>
    <w:rsid w:val="000D0ADE"/>
    <w:rsid w:val="000D0F4F"/>
    <w:rsid w:val="000D118A"/>
    <w:rsid w:val="000D15AD"/>
    <w:rsid w:val="000D17BD"/>
    <w:rsid w:val="000D43DB"/>
    <w:rsid w:val="000D45B1"/>
    <w:rsid w:val="000D45E1"/>
    <w:rsid w:val="000D4832"/>
    <w:rsid w:val="000D5119"/>
    <w:rsid w:val="000D51A2"/>
    <w:rsid w:val="000E1FEC"/>
    <w:rsid w:val="000E37AC"/>
    <w:rsid w:val="000E45B6"/>
    <w:rsid w:val="000E55FA"/>
    <w:rsid w:val="000E563A"/>
    <w:rsid w:val="000E5687"/>
    <w:rsid w:val="000F4457"/>
    <w:rsid w:val="000F52C6"/>
    <w:rsid w:val="000F6F51"/>
    <w:rsid w:val="000F73A0"/>
    <w:rsid w:val="000F7A84"/>
    <w:rsid w:val="00100228"/>
    <w:rsid w:val="00101460"/>
    <w:rsid w:val="00101C48"/>
    <w:rsid w:val="00101C61"/>
    <w:rsid w:val="00101E0F"/>
    <w:rsid w:val="0010255D"/>
    <w:rsid w:val="001027D1"/>
    <w:rsid w:val="00102DEA"/>
    <w:rsid w:val="00102E77"/>
    <w:rsid w:val="00103C28"/>
    <w:rsid w:val="00103E67"/>
    <w:rsid w:val="00104C2E"/>
    <w:rsid w:val="00105A8F"/>
    <w:rsid w:val="001062A3"/>
    <w:rsid w:val="00106D51"/>
    <w:rsid w:val="0010748C"/>
    <w:rsid w:val="00107574"/>
    <w:rsid w:val="001077DA"/>
    <w:rsid w:val="00107C1E"/>
    <w:rsid w:val="001140E4"/>
    <w:rsid w:val="001154CC"/>
    <w:rsid w:val="00116895"/>
    <w:rsid w:val="00123236"/>
    <w:rsid w:val="00123E80"/>
    <w:rsid w:val="00124828"/>
    <w:rsid w:val="00125B9C"/>
    <w:rsid w:val="0012609E"/>
    <w:rsid w:val="00126FE4"/>
    <w:rsid w:val="001272D5"/>
    <w:rsid w:val="00127705"/>
    <w:rsid w:val="001278C9"/>
    <w:rsid w:val="001327D7"/>
    <w:rsid w:val="00132819"/>
    <w:rsid w:val="001329EA"/>
    <w:rsid w:val="00132CDF"/>
    <w:rsid w:val="0013302D"/>
    <w:rsid w:val="00134B60"/>
    <w:rsid w:val="00135A82"/>
    <w:rsid w:val="00135CF8"/>
    <w:rsid w:val="001363C8"/>
    <w:rsid w:val="00137792"/>
    <w:rsid w:val="00137B33"/>
    <w:rsid w:val="00140819"/>
    <w:rsid w:val="00140E27"/>
    <w:rsid w:val="001414A5"/>
    <w:rsid w:val="001419DB"/>
    <w:rsid w:val="001421D3"/>
    <w:rsid w:val="001431C0"/>
    <w:rsid w:val="001434D6"/>
    <w:rsid w:val="00144674"/>
    <w:rsid w:val="00144A38"/>
    <w:rsid w:val="00147E45"/>
    <w:rsid w:val="001501FE"/>
    <w:rsid w:val="00151121"/>
    <w:rsid w:val="00151E0A"/>
    <w:rsid w:val="001536CF"/>
    <w:rsid w:val="00154081"/>
    <w:rsid w:val="001545E6"/>
    <w:rsid w:val="00154B29"/>
    <w:rsid w:val="001553B2"/>
    <w:rsid w:val="0015704A"/>
    <w:rsid w:val="001602EA"/>
    <w:rsid w:val="001605AE"/>
    <w:rsid w:val="00160B41"/>
    <w:rsid w:val="001614C4"/>
    <w:rsid w:val="00161C23"/>
    <w:rsid w:val="00162FAB"/>
    <w:rsid w:val="00164469"/>
    <w:rsid w:val="00164EAA"/>
    <w:rsid w:val="00164F97"/>
    <w:rsid w:val="001660FC"/>
    <w:rsid w:val="0016638E"/>
    <w:rsid w:val="0016644E"/>
    <w:rsid w:val="00166D3E"/>
    <w:rsid w:val="001672A5"/>
    <w:rsid w:val="00167BD7"/>
    <w:rsid w:val="00172691"/>
    <w:rsid w:val="001726E2"/>
    <w:rsid w:val="001739E1"/>
    <w:rsid w:val="00173E1D"/>
    <w:rsid w:val="00174AFA"/>
    <w:rsid w:val="00174FD4"/>
    <w:rsid w:val="001754A9"/>
    <w:rsid w:val="00175814"/>
    <w:rsid w:val="001759FC"/>
    <w:rsid w:val="001777FB"/>
    <w:rsid w:val="00177853"/>
    <w:rsid w:val="00177B1E"/>
    <w:rsid w:val="00181A46"/>
    <w:rsid w:val="001826F2"/>
    <w:rsid w:val="001827EF"/>
    <w:rsid w:val="00182D29"/>
    <w:rsid w:val="00182F73"/>
    <w:rsid w:val="001831DB"/>
    <w:rsid w:val="00184737"/>
    <w:rsid w:val="00184D94"/>
    <w:rsid w:val="00184E10"/>
    <w:rsid w:val="00185EBE"/>
    <w:rsid w:val="00186CFC"/>
    <w:rsid w:val="00186D99"/>
    <w:rsid w:val="00187428"/>
    <w:rsid w:val="00187A6D"/>
    <w:rsid w:val="00187A84"/>
    <w:rsid w:val="00191006"/>
    <w:rsid w:val="001919CB"/>
    <w:rsid w:val="00191A74"/>
    <w:rsid w:val="00191EF0"/>
    <w:rsid w:val="0019246D"/>
    <w:rsid w:val="00195632"/>
    <w:rsid w:val="001961E8"/>
    <w:rsid w:val="00196806"/>
    <w:rsid w:val="001978E2"/>
    <w:rsid w:val="00197D04"/>
    <w:rsid w:val="001A0132"/>
    <w:rsid w:val="001A1268"/>
    <w:rsid w:val="001A190A"/>
    <w:rsid w:val="001A1ECD"/>
    <w:rsid w:val="001A2D8E"/>
    <w:rsid w:val="001A48A4"/>
    <w:rsid w:val="001A491B"/>
    <w:rsid w:val="001A52BB"/>
    <w:rsid w:val="001A62A3"/>
    <w:rsid w:val="001A66D1"/>
    <w:rsid w:val="001A788B"/>
    <w:rsid w:val="001B0B1F"/>
    <w:rsid w:val="001B4044"/>
    <w:rsid w:val="001B4C41"/>
    <w:rsid w:val="001B4FD0"/>
    <w:rsid w:val="001C154E"/>
    <w:rsid w:val="001C25CD"/>
    <w:rsid w:val="001C28CB"/>
    <w:rsid w:val="001C4F75"/>
    <w:rsid w:val="001C4FAA"/>
    <w:rsid w:val="001C591F"/>
    <w:rsid w:val="001C614B"/>
    <w:rsid w:val="001C677B"/>
    <w:rsid w:val="001C7BFC"/>
    <w:rsid w:val="001D043A"/>
    <w:rsid w:val="001D1DBE"/>
    <w:rsid w:val="001D416F"/>
    <w:rsid w:val="001D5A46"/>
    <w:rsid w:val="001D5AC7"/>
    <w:rsid w:val="001D6B7C"/>
    <w:rsid w:val="001D710F"/>
    <w:rsid w:val="001D7708"/>
    <w:rsid w:val="001D7877"/>
    <w:rsid w:val="001D7CE6"/>
    <w:rsid w:val="001E11E7"/>
    <w:rsid w:val="001E204C"/>
    <w:rsid w:val="001E2D81"/>
    <w:rsid w:val="001E2FC2"/>
    <w:rsid w:val="001E300A"/>
    <w:rsid w:val="001E310A"/>
    <w:rsid w:val="001E474E"/>
    <w:rsid w:val="001E49B1"/>
    <w:rsid w:val="001E4DC8"/>
    <w:rsid w:val="001F2C5B"/>
    <w:rsid w:val="001F333E"/>
    <w:rsid w:val="001F3EA5"/>
    <w:rsid w:val="001F5758"/>
    <w:rsid w:val="001F5DAA"/>
    <w:rsid w:val="001F7264"/>
    <w:rsid w:val="001F7395"/>
    <w:rsid w:val="001F73F9"/>
    <w:rsid w:val="001F78FA"/>
    <w:rsid w:val="001F7AAE"/>
    <w:rsid w:val="00200951"/>
    <w:rsid w:val="00200C9A"/>
    <w:rsid w:val="00200EE4"/>
    <w:rsid w:val="00201AB0"/>
    <w:rsid w:val="002029E7"/>
    <w:rsid w:val="002043DC"/>
    <w:rsid w:val="0020465D"/>
    <w:rsid w:val="00205B55"/>
    <w:rsid w:val="00205DD5"/>
    <w:rsid w:val="002072F7"/>
    <w:rsid w:val="00207B3D"/>
    <w:rsid w:val="00211C11"/>
    <w:rsid w:val="002128D7"/>
    <w:rsid w:val="00212BD0"/>
    <w:rsid w:val="002137A6"/>
    <w:rsid w:val="00215259"/>
    <w:rsid w:val="00215390"/>
    <w:rsid w:val="0021570E"/>
    <w:rsid w:val="002157DF"/>
    <w:rsid w:val="002162A8"/>
    <w:rsid w:val="00216BA7"/>
    <w:rsid w:val="00220376"/>
    <w:rsid w:val="0022059D"/>
    <w:rsid w:val="00220611"/>
    <w:rsid w:val="0022076A"/>
    <w:rsid w:val="002208E3"/>
    <w:rsid w:val="00221A49"/>
    <w:rsid w:val="00222B0C"/>
    <w:rsid w:val="00223D71"/>
    <w:rsid w:val="0022427B"/>
    <w:rsid w:val="00224623"/>
    <w:rsid w:val="002251CE"/>
    <w:rsid w:val="00225317"/>
    <w:rsid w:val="002254F6"/>
    <w:rsid w:val="0022566C"/>
    <w:rsid w:val="00225F84"/>
    <w:rsid w:val="00225FD1"/>
    <w:rsid w:val="00226344"/>
    <w:rsid w:val="00226A0C"/>
    <w:rsid w:val="00226C33"/>
    <w:rsid w:val="00226C8E"/>
    <w:rsid w:val="0023274E"/>
    <w:rsid w:val="0023416B"/>
    <w:rsid w:val="00236685"/>
    <w:rsid w:val="00236983"/>
    <w:rsid w:val="00236D31"/>
    <w:rsid w:val="00237BE2"/>
    <w:rsid w:val="00240980"/>
    <w:rsid w:val="00241E56"/>
    <w:rsid w:val="00241FE2"/>
    <w:rsid w:val="002461CF"/>
    <w:rsid w:val="00250A50"/>
    <w:rsid w:val="0025273D"/>
    <w:rsid w:val="00253CD7"/>
    <w:rsid w:val="00255113"/>
    <w:rsid w:val="00255596"/>
    <w:rsid w:val="00255625"/>
    <w:rsid w:val="0025698F"/>
    <w:rsid w:val="002571FC"/>
    <w:rsid w:val="00257974"/>
    <w:rsid w:val="002601B0"/>
    <w:rsid w:val="00260765"/>
    <w:rsid w:val="00261C8C"/>
    <w:rsid w:val="0026229C"/>
    <w:rsid w:val="002623B0"/>
    <w:rsid w:val="002629A4"/>
    <w:rsid w:val="00262C24"/>
    <w:rsid w:val="00263B39"/>
    <w:rsid w:val="002651BE"/>
    <w:rsid w:val="00265B14"/>
    <w:rsid w:val="00265E47"/>
    <w:rsid w:val="00273626"/>
    <w:rsid w:val="00274A90"/>
    <w:rsid w:val="00275498"/>
    <w:rsid w:val="0027653B"/>
    <w:rsid w:val="00277E80"/>
    <w:rsid w:val="0028000B"/>
    <w:rsid w:val="00280B82"/>
    <w:rsid w:val="0028213F"/>
    <w:rsid w:val="00283439"/>
    <w:rsid w:val="0028539C"/>
    <w:rsid w:val="00286A06"/>
    <w:rsid w:val="00286A8E"/>
    <w:rsid w:val="00286D5D"/>
    <w:rsid w:val="002878C4"/>
    <w:rsid w:val="00287CDF"/>
    <w:rsid w:val="0029053D"/>
    <w:rsid w:val="00291018"/>
    <w:rsid w:val="002915DA"/>
    <w:rsid w:val="00292A03"/>
    <w:rsid w:val="002937B5"/>
    <w:rsid w:val="002954D1"/>
    <w:rsid w:val="00295852"/>
    <w:rsid w:val="002969BA"/>
    <w:rsid w:val="00297709"/>
    <w:rsid w:val="002A0D9C"/>
    <w:rsid w:val="002A1D84"/>
    <w:rsid w:val="002A4A10"/>
    <w:rsid w:val="002A5BF3"/>
    <w:rsid w:val="002A6968"/>
    <w:rsid w:val="002A791F"/>
    <w:rsid w:val="002B0180"/>
    <w:rsid w:val="002B1DEB"/>
    <w:rsid w:val="002B2544"/>
    <w:rsid w:val="002B26D4"/>
    <w:rsid w:val="002B28F0"/>
    <w:rsid w:val="002B414E"/>
    <w:rsid w:val="002B78E4"/>
    <w:rsid w:val="002C0258"/>
    <w:rsid w:val="002C2250"/>
    <w:rsid w:val="002C5D67"/>
    <w:rsid w:val="002C5F0E"/>
    <w:rsid w:val="002C6BB7"/>
    <w:rsid w:val="002C7702"/>
    <w:rsid w:val="002C7EF3"/>
    <w:rsid w:val="002D317E"/>
    <w:rsid w:val="002D3DD6"/>
    <w:rsid w:val="002D44BB"/>
    <w:rsid w:val="002D52DD"/>
    <w:rsid w:val="002D7912"/>
    <w:rsid w:val="002D7F39"/>
    <w:rsid w:val="002E0438"/>
    <w:rsid w:val="002E052D"/>
    <w:rsid w:val="002E1E53"/>
    <w:rsid w:val="002E2B1F"/>
    <w:rsid w:val="002E3992"/>
    <w:rsid w:val="002E4201"/>
    <w:rsid w:val="002E517D"/>
    <w:rsid w:val="002E538B"/>
    <w:rsid w:val="002E5B04"/>
    <w:rsid w:val="002E689F"/>
    <w:rsid w:val="002E6CF4"/>
    <w:rsid w:val="002E78D5"/>
    <w:rsid w:val="002E7EE3"/>
    <w:rsid w:val="002F0B62"/>
    <w:rsid w:val="002F1002"/>
    <w:rsid w:val="002F16A5"/>
    <w:rsid w:val="002F2A90"/>
    <w:rsid w:val="002F4362"/>
    <w:rsid w:val="002F478D"/>
    <w:rsid w:val="002F4DE3"/>
    <w:rsid w:val="002F4EBE"/>
    <w:rsid w:val="003000AC"/>
    <w:rsid w:val="003004ED"/>
    <w:rsid w:val="003019F2"/>
    <w:rsid w:val="00302CD1"/>
    <w:rsid w:val="00303870"/>
    <w:rsid w:val="00303B9B"/>
    <w:rsid w:val="00304A9B"/>
    <w:rsid w:val="00304BAA"/>
    <w:rsid w:val="00304E44"/>
    <w:rsid w:val="00307989"/>
    <w:rsid w:val="00310E88"/>
    <w:rsid w:val="0031156E"/>
    <w:rsid w:val="0031232F"/>
    <w:rsid w:val="003145A8"/>
    <w:rsid w:val="00316C55"/>
    <w:rsid w:val="00317227"/>
    <w:rsid w:val="0032066F"/>
    <w:rsid w:val="00321D3F"/>
    <w:rsid w:val="00322124"/>
    <w:rsid w:val="00322879"/>
    <w:rsid w:val="00322A87"/>
    <w:rsid w:val="00323870"/>
    <w:rsid w:val="00323CB3"/>
    <w:rsid w:val="003240BB"/>
    <w:rsid w:val="003240E9"/>
    <w:rsid w:val="003242E6"/>
    <w:rsid w:val="00324DF5"/>
    <w:rsid w:val="003262DF"/>
    <w:rsid w:val="003314BC"/>
    <w:rsid w:val="00331C84"/>
    <w:rsid w:val="00332EC7"/>
    <w:rsid w:val="00332EEC"/>
    <w:rsid w:val="0033301C"/>
    <w:rsid w:val="00333D13"/>
    <w:rsid w:val="00334738"/>
    <w:rsid w:val="0033477C"/>
    <w:rsid w:val="00334E9D"/>
    <w:rsid w:val="00335B88"/>
    <w:rsid w:val="00336858"/>
    <w:rsid w:val="003370B5"/>
    <w:rsid w:val="00337FC6"/>
    <w:rsid w:val="0034013D"/>
    <w:rsid w:val="00340CE1"/>
    <w:rsid w:val="00340D98"/>
    <w:rsid w:val="00341192"/>
    <w:rsid w:val="00342275"/>
    <w:rsid w:val="00344220"/>
    <w:rsid w:val="003446DC"/>
    <w:rsid w:val="00347271"/>
    <w:rsid w:val="00347C46"/>
    <w:rsid w:val="0035201A"/>
    <w:rsid w:val="0035203B"/>
    <w:rsid w:val="0035317B"/>
    <w:rsid w:val="003536F0"/>
    <w:rsid w:val="00353A12"/>
    <w:rsid w:val="00353B20"/>
    <w:rsid w:val="003541E0"/>
    <w:rsid w:val="0035584B"/>
    <w:rsid w:val="00355C32"/>
    <w:rsid w:val="00356169"/>
    <w:rsid w:val="00356D69"/>
    <w:rsid w:val="00361989"/>
    <w:rsid w:val="00362F43"/>
    <w:rsid w:val="00363FFC"/>
    <w:rsid w:val="00364A26"/>
    <w:rsid w:val="00364D2C"/>
    <w:rsid w:val="0036590D"/>
    <w:rsid w:val="003659D5"/>
    <w:rsid w:val="00366010"/>
    <w:rsid w:val="003668DD"/>
    <w:rsid w:val="003671BD"/>
    <w:rsid w:val="003676A6"/>
    <w:rsid w:val="00370BA7"/>
    <w:rsid w:val="00370E33"/>
    <w:rsid w:val="00370EF7"/>
    <w:rsid w:val="003717FD"/>
    <w:rsid w:val="0037210D"/>
    <w:rsid w:val="0037293E"/>
    <w:rsid w:val="00372B01"/>
    <w:rsid w:val="00373B43"/>
    <w:rsid w:val="0037446B"/>
    <w:rsid w:val="003746AB"/>
    <w:rsid w:val="003760FC"/>
    <w:rsid w:val="00377227"/>
    <w:rsid w:val="003804F8"/>
    <w:rsid w:val="00380B02"/>
    <w:rsid w:val="003832F5"/>
    <w:rsid w:val="00383527"/>
    <w:rsid w:val="00383AAE"/>
    <w:rsid w:val="00387565"/>
    <w:rsid w:val="00390FFA"/>
    <w:rsid w:val="003920F2"/>
    <w:rsid w:val="0039246C"/>
    <w:rsid w:val="00392CF0"/>
    <w:rsid w:val="003936D5"/>
    <w:rsid w:val="00395637"/>
    <w:rsid w:val="003956F6"/>
    <w:rsid w:val="00396AF2"/>
    <w:rsid w:val="003974FE"/>
    <w:rsid w:val="00397A7B"/>
    <w:rsid w:val="003A0621"/>
    <w:rsid w:val="003A0622"/>
    <w:rsid w:val="003A094B"/>
    <w:rsid w:val="003A0C5C"/>
    <w:rsid w:val="003A1981"/>
    <w:rsid w:val="003A26D4"/>
    <w:rsid w:val="003A3503"/>
    <w:rsid w:val="003A488B"/>
    <w:rsid w:val="003A4F64"/>
    <w:rsid w:val="003A58C3"/>
    <w:rsid w:val="003A645E"/>
    <w:rsid w:val="003A6B52"/>
    <w:rsid w:val="003A6B91"/>
    <w:rsid w:val="003B0BF6"/>
    <w:rsid w:val="003B1669"/>
    <w:rsid w:val="003B25B9"/>
    <w:rsid w:val="003B2A52"/>
    <w:rsid w:val="003B306B"/>
    <w:rsid w:val="003B4211"/>
    <w:rsid w:val="003B4807"/>
    <w:rsid w:val="003B49D0"/>
    <w:rsid w:val="003B4B00"/>
    <w:rsid w:val="003B505C"/>
    <w:rsid w:val="003B5384"/>
    <w:rsid w:val="003B7137"/>
    <w:rsid w:val="003B7B2F"/>
    <w:rsid w:val="003C2827"/>
    <w:rsid w:val="003C2A02"/>
    <w:rsid w:val="003C52EF"/>
    <w:rsid w:val="003C5EFD"/>
    <w:rsid w:val="003C6FAD"/>
    <w:rsid w:val="003C77F7"/>
    <w:rsid w:val="003C7970"/>
    <w:rsid w:val="003D1C43"/>
    <w:rsid w:val="003D20E1"/>
    <w:rsid w:val="003D2BBD"/>
    <w:rsid w:val="003D326C"/>
    <w:rsid w:val="003D459B"/>
    <w:rsid w:val="003D4961"/>
    <w:rsid w:val="003D5CAE"/>
    <w:rsid w:val="003D5EFA"/>
    <w:rsid w:val="003D5F7F"/>
    <w:rsid w:val="003D66B0"/>
    <w:rsid w:val="003D7C81"/>
    <w:rsid w:val="003E1286"/>
    <w:rsid w:val="003E19FE"/>
    <w:rsid w:val="003E2B57"/>
    <w:rsid w:val="003E34A3"/>
    <w:rsid w:val="003E3D7C"/>
    <w:rsid w:val="003E5DF7"/>
    <w:rsid w:val="003E62EB"/>
    <w:rsid w:val="003E719C"/>
    <w:rsid w:val="003E71E3"/>
    <w:rsid w:val="003F014A"/>
    <w:rsid w:val="003F0EC7"/>
    <w:rsid w:val="003F169C"/>
    <w:rsid w:val="003F1E94"/>
    <w:rsid w:val="003F2956"/>
    <w:rsid w:val="003F348F"/>
    <w:rsid w:val="003F3B2D"/>
    <w:rsid w:val="003F40A6"/>
    <w:rsid w:val="003F4552"/>
    <w:rsid w:val="003F579E"/>
    <w:rsid w:val="003F5FA2"/>
    <w:rsid w:val="003F641F"/>
    <w:rsid w:val="003F70A3"/>
    <w:rsid w:val="0040006D"/>
    <w:rsid w:val="00400992"/>
    <w:rsid w:val="004011EE"/>
    <w:rsid w:val="004016F5"/>
    <w:rsid w:val="00402CF0"/>
    <w:rsid w:val="00402E01"/>
    <w:rsid w:val="00403FBF"/>
    <w:rsid w:val="00404087"/>
    <w:rsid w:val="00404131"/>
    <w:rsid w:val="0040435D"/>
    <w:rsid w:val="00405E15"/>
    <w:rsid w:val="004064FA"/>
    <w:rsid w:val="00407330"/>
    <w:rsid w:val="00407C48"/>
    <w:rsid w:val="004102A3"/>
    <w:rsid w:val="00410BB0"/>
    <w:rsid w:val="0041277E"/>
    <w:rsid w:val="00413874"/>
    <w:rsid w:val="00413C3C"/>
    <w:rsid w:val="004157B8"/>
    <w:rsid w:val="00415BC7"/>
    <w:rsid w:val="00415EE3"/>
    <w:rsid w:val="0041681B"/>
    <w:rsid w:val="00416B66"/>
    <w:rsid w:val="00421498"/>
    <w:rsid w:val="00422AC4"/>
    <w:rsid w:val="00422D37"/>
    <w:rsid w:val="00423B89"/>
    <w:rsid w:val="004241AC"/>
    <w:rsid w:val="0042553A"/>
    <w:rsid w:val="00425BF4"/>
    <w:rsid w:val="0042681A"/>
    <w:rsid w:val="0042691E"/>
    <w:rsid w:val="00431F63"/>
    <w:rsid w:val="00432635"/>
    <w:rsid w:val="004332DA"/>
    <w:rsid w:val="00433807"/>
    <w:rsid w:val="00433997"/>
    <w:rsid w:val="00434D10"/>
    <w:rsid w:val="00435341"/>
    <w:rsid w:val="0043647F"/>
    <w:rsid w:val="0044019C"/>
    <w:rsid w:val="00442347"/>
    <w:rsid w:val="0044374E"/>
    <w:rsid w:val="004437FB"/>
    <w:rsid w:val="00443B72"/>
    <w:rsid w:val="00443FD4"/>
    <w:rsid w:val="004453A4"/>
    <w:rsid w:val="00445587"/>
    <w:rsid w:val="004455F4"/>
    <w:rsid w:val="004460A0"/>
    <w:rsid w:val="00447D12"/>
    <w:rsid w:val="00450ECB"/>
    <w:rsid w:val="00452F24"/>
    <w:rsid w:val="00453F24"/>
    <w:rsid w:val="00456EE6"/>
    <w:rsid w:val="00457903"/>
    <w:rsid w:val="0046010A"/>
    <w:rsid w:val="00461370"/>
    <w:rsid w:val="00461A12"/>
    <w:rsid w:val="00461E1E"/>
    <w:rsid w:val="00462844"/>
    <w:rsid w:val="004637DB"/>
    <w:rsid w:val="00463D2D"/>
    <w:rsid w:val="00464321"/>
    <w:rsid w:val="004654F9"/>
    <w:rsid w:val="00470924"/>
    <w:rsid w:val="00471D14"/>
    <w:rsid w:val="004720B2"/>
    <w:rsid w:val="00473187"/>
    <w:rsid w:val="00473AF6"/>
    <w:rsid w:val="00473D7E"/>
    <w:rsid w:val="00474DB4"/>
    <w:rsid w:val="0047522B"/>
    <w:rsid w:val="004761DC"/>
    <w:rsid w:val="0047657C"/>
    <w:rsid w:val="00476CD2"/>
    <w:rsid w:val="00476FE2"/>
    <w:rsid w:val="00482CA8"/>
    <w:rsid w:val="004838FF"/>
    <w:rsid w:val="00484269"/>
    <w:rsid w:val="00484F7B"/>
    <w:rsid w:val="004850DD"/>
    <w:rsid w:val="0048555A"/>
    <w:rsid w:val="00485A9D"/>
    <w:rsid w:val="004873A0"/>
    <w:rsid w:val="004878E1"/>
    <w:rsid w:val="0049044E"/>
    <w:rsid w:val="004917C6"/>
    <w:rsid w:val="004926E9"/>
    <w:rsid w:val="0049632A"/>
    <w:rsid w:val="004974AE"/>
    <w:rsid w:val="004A0B19"/>
    <w:rsid w:val="004A0D25"/>
    <w:rsid w:val="004A1E1D"/>
    <w:rsid w:val="004A4416"/>
    <w:rsid w:val="004A46C8"/>
    <w:rsid w:val="004A5289"/>
    <w:rsid w:val="004A708C"/>
    <w:rsid w:val="004A71D1"/>
    <w:rsid w:val="004B1FEB"/>
    <w:rsid w:val="004B296B"/>
    <w:rsid w:val="004B5934"/>
    <w:rsid w:val="004B5C78"/>
    <w:rsid w:val="004B5D55"/>
    <w:rsid w:val="004B6A88"/>
    <w:rsid w:val="004B7A5A"/>
    <w:rsid w:val="004B7C8B"/>
    <w:rsid w:val="004B7F40"/>
    <w:rsid w:val="004C05A8"/>
    <w:rsid w:val="004C0E5C"/>
    <w:rsid w:val="004C2E99"/>
    <w:rsid w:val="004C383E"/>
    <w:rsid w:val="004C3B27"/>
    <w:rsid w:val="004C4BC3"/>
    <w:rsid w:val="004C58BA"/>
    <w:rsid w:val="004C5A48"/>
    <w:rsid w:val="004C76E4"/>
    <w:rsid w:val="004D0399"/>
    <w:rsid w:val="004D11FF"/>
    <w:rsid w:val="004D134F"/>
    <w:rsid w:val="004D15EE"/>
    <w:rsid w:val="004D36FE"/>
    <w:rsid w:val="004D413A"/>
    <w:rsid w:val="004D4D3F"/>
    <w:rsid w:val="004E0207"/>
    <w:rsid w:val="004E27B1"/>
    <w:rsid w:val="004E2F53"/>
    <w:rsid w:val="004E5BC2"/>
    <w:rsid w:val="004E63E1"/>
    <w:rsid w:val="004E67CC"/>
    <w:rsid w:val="004E74B3"/>
    <w:rsid w:val="004F0795"/>
    <w:rsid w:val="004F39D0"/>
    <w:rsid w:val="004F5DC6"/>
    <w:rsid w:val="004F772B"/>
    <w:rsid w:val="0050035D"/>
    <w:rsid w:val="00502310"/>
    <w:rsid w:val="00503081"/>
    <w:rsid w:val="00503886"/>
    <w:rsid w:val="00504905"/>
    <w:rsid w:val="00505375"/>
    <w:rsid w:val="00506392"/>
    <w:rsid w:val="005067C2"/>
    <w:rsid w:val="005069CA"/>
    <w:rsid w:val="005070A7"/>
    <w:rsid w:val="00511B2E"/>
    <w:rsid w:val="00511D09"/>
    <w:rsid w:val="00512DB7"/>
    <w:rsid w:val="00512F0B"/>
    <w:rsid w:val="0051330A"/>
    <w:rsid w:val="0051332B"/>
    <w:rsid w:val="005138C4"/>
    <w:rsid w:val="0051430D"/>
    <w:rsid w:val="00520A7E"/>
    <w:rsid w:val="005226FC"/>
    <w:rsid w:val="0052313F"/>
    <w:rsid w:val="00524FD9"/>
    <w:rsid w:val="0052640B"/>
    <w:rsid w:val="005265DB"/>
    <w:rsid w:val="0052683C"/>
    <w:rsid w:val="00526EA3"/>
    <w:rsid w:val="00527BD8"/>
    <w:rsid w:val="00530090"/>
    <w:rsid w:val="0053105D"/>
    <w:rsid w:val="00533034"/>
    <w:rsid w:val="00533C9A"/>
    <w:rsid w:val="00533D53"/>
    <w:rsid w:val="00534398"/>
    <w:rsid w:val="00535BB9"/>
    <w:rsid w:val="0053657F"/>
    <w:rsid w:val="005416A8"/>
    <w:rsid w:val="005418BD"/>
    <w:rsid w:val="00541B35"/>
    <w:rsid w:val="00541F7B"/>
    <w:rsid w:val="005436E9"/>
    <w:rsid w:val="00543A6D"/>
    <w:rsid w:val="00543CE4"/>
    <w:rsid w:val="00544B72"/>
    <w:rsid w:val="005450FE"/>
    <w:rsid w:val="005465C8"/>
    <w:rsid w:val="00546B6F"/>
    <w:rsid w:val="005474F4"/>
    <w:rsid w:val="00547D08"/>
    <w:rsid w:val="00547F33"/>
    <w:rsid w:val="005542C7"/>
    <w:rsid w:val="005554A1"/>
    <w:rsid w:val="0055583B"/>
    <w:rsid w:val="005565DC"/>
    <w:rsid w:val="00560B36"/>
    <w:rsid w:val="00561C83"/>
    <w:rsid w:val="00561EE8"/>
    <w:rsid w:val="0056227C"/>
    <w:rsid w:val="00563594"/>
    <w:rsid w:val="005635B2"/>
    <w:rsid w:val="0056415B"/>
    <w:rsid w:val="0056425C"/>
    <w:rsid w:val="0056447C"/>
    <w:rsid w:val="005654EF"/>
    <w:rsid w:val="0056556B"/>
    <w:rsid w:val="00565830"/>
    <w:rsid w:val="00565D1E"/>
    <w:rsid w:val="00567AF7"/>
    <w:rsid w:val="00570F4D"/>
    <w:rsid w:val="005733F2"/>
    <w:rsid w:val="00575833"/>
    <w:rsid w:val="00575CBE"/>
    <w:rsid w:val="00575DB8"/>
    <w:rsid w:val="005761BA"/>
    <w:rsid w:val="00576D4C"/>
    <w:rsid w:val="00576F6F"/>
    <w:rsid w:val="0057704A"/>
    <w:rsid w:val="00583867"/>
    <w:rsid w:val="00583912"/>
    <w:rsid w:val="00584305"/>
    <w:rsid w:val="005844EA"/>
    <w:rsid w:val="00587243"/>
    <w:rsid w:val="00587F1B"/>
    <w:rsid w:val="0059132B"/>
    <w:rsid w:val="005936E8"/>
    <w:rsid w:val="005952E2"/>
    <w:rsid w:val="00597081"/>
    <w:rsid w:val="00597AB6"/>
    <w:rsid w:val="005A259F"/>
    <w:rsid w:val="005A330B"/>
    <w:rsid w:val="005A36C8"/>
    <w:rsid w:val="005A5627"/>
    <w:rsid w:val="005A5A55"/>
    <w:rsid w:val="005A5CDF"/>
    <w:rsid w:val="005B02FD"/>
    <w:rsid w:val="005B0E7A"/>
    <w:rsid w:val="005B1C8C"/>
    <w:rsid w:val="005B326F"/>
    <w:rsid w:val="005B4D9E"/>
    <w:rsid w:val="005B647F"/>
    <w:rsid w:val="005B695B"/>
    <w:rsid w:val="005B6DFC"/>
    <w:rsid w:val="005B7185"/>
    <w:rsid w:val="005C2AAB"/>
    <w:rsid w:val="005C2BEB"/>
    <w:rsid w:val="005C30DB"/>
    <w:rsid w:val="005C3E29"/>
    <w:rsid w:val="005C419D"/>
    <w:rsid w:val="005C457D"/>
    <w:rsid w:val="005C4B0B"/>
    <w:rsid w:val="005C4F92"/>
    <w:rsid w:val="005C5AAF"/>
    <w:rsid w:val="005C5EDB"/>
    <w:rsid w:val="005C670B"/>
    <w:rsid w:val="005C6B73"/>
    <w:rsid w:val="005C6BBF"/>
    <w:rsid w:val="005C6CCB"/>
    <w:rsid w:val="005D007E"/>
    <w:rsid w:val="005D0745"/>
    <w:rsid w:val="005D1C9B"/>
    <w:rsid w:val="005D24C3"/>
    <w:rsid w:val="005D369E"/>
    <w:rsid w:val="005D3793"/>
    <w:rsid w:val="005D38C5"/>
    <w:rsid w:val="005D3BB9"/>
    <w:rsid w:val="005D48BC"/>
    <w:rsid w:val="005D4CCA"/>
    <w:rsid w:val="005D4EA6"/>
    <w:rsid w:val="005E0823"/>
    <w:rsid w:val="005E0CFF"/>
    <w:rsid w:val="005E1C9C"/>
    <w:rsid w:val="005E2614"/>
    <w:rsid w:val="005E380A"/>
    <w:rsid w:val="005E4645"/>
    <w:rsid w:val="005E4EB3"/>
    <w:rsid w:val="005E54E6"/>
    <w:rsid w:val="005E6346"/>
    <w:rsid w:val="005F1BE4"/>
    <w:rsid w:val="005F1C21"/>
    <w:rsid w:val="005F2933"/>
    <w:rsid w:val="005F2DBD"/>
    <w:rsid w:val="005F2E9D"/>
    <w:rsid w:val="005F4488"/>
    <w:rsid w:val="005F44A6"/>
    <w:rsid w:val="005F618C"/>
    <w:rsid w:val="005F63BF"/>
    <w:rsid w:val="005F7516"/>
    <w:rsid w:val="0060099E"/>
    <w:rsid w:val="006015DB"/>
    <w:rsid w:val="006016E9"/>
    <w:rsid w:val="00602DF2"/>
    <w:rsid w:val="00603085"/>
    <w:rsid w:val="006039A1"/>
    <w:rsid w:val="006039B4"/>
    <w:rsid w:val="0060628E"/>
    <w:rsid w:val="006070B3"/>
    <w:rsid w:val="00610716"/>
    <w:rsid w:val="006108DF"/>
    <w:rsid w:val="00610E3F"/>
    <w:rsid w:val="00611A67"/>
    <w:rsid w:val="006135B8"/>
    <w:rsid w:val="00613640"/>
    <w:rsid w:val="00613CA7"/>
    <w:rsid w:val="00613F5F"/>
    <w:rsid w:val="00614B5A"/>
    <w:rsid w:val="00617515"/>
    <w:rsid w:val="0061761F"/>
    <w:rsid w:val="00617A78"/>
    <w:rsid w:val="00620607"/>
    <w:rsid w:val="00620F80"/>
    <w:rsid w:val="00621159"/>
    <w:rsid w:val="0062173E"/>
    <w:rsid w:val="00621A2A"/>
    <w:rsid w:val="00621DC9"/>
    <w:rsid w:val="00622119"/>
    <w:rsid w:val="00622A1F"/>
    <w:rsid w:val="00622CD1"/>
    <w:rsid w:val="00623A8D"/>
    <w:rsid w:val="006245E4"/>
    <w:rsid w:val="00624BCB"/>
    <w:rsid w:val="00626002"/>
    <w:rsid w:val="0062711F"/>
    <w:rsid w:val="00627853"/>
    <w:rsid w:val="00630242"/>
    <w:rsid w:val="00631814"/>
    <w:rsid w:val="00633AF4"/>
    <w:rsid w:val="00633B05"/>
    <w:rsid w:val="00633BCB"/>
    <w:rsid w:val="00634437"/>
    <w:rsid w:val="00634D73"/>
    <w:rsid w:val="00636A9C"/>
    <w:rsid w:val="00636E17"/>
    <w:rsid w:val="006372BD"/>
    <w:rsid w:val="00637BF1"/>
    <w:rsid w:val="0064138E"/>
    <w:rsid w:val="00641891"/>
    <w:rsid w:val="00642482"/>
    <w:rsid w:val="006431A8"/>
    <w:rsid w:val="00643406"/>
    <w:rsid w:val="00643D2B"/>
    <w:rsid w:val="00647BE3"/>
    <w:rsid w:val="00651F23"/>
    <w:rsid w:val="00652017"/>
    <w:rsid w:val="00652CEF"/>
    <w:rsid w:val="00653A68"/>
    <w:rsid w:val="00653C61"/>
    <w:rsid w:val="00653D81"/>
    <w:rsid w:val="00654867"/>
    <w:rsid w:val="00654EEF"/>
    <w:rsid w:val="006558BF"/>
    <w:rsid w:val="0065646D"/>
    <w:rsid w:val="00657377"/>
    <w:rsid w:val="006577D5"/>
    <w:rsid w:val="00657F42"/>
    <w:rsid w:val="006611AA"/>
    <w:rsid w:val="00661D10"/>
    <w:rsid w:val="00662884"/>
    <w:rsid w:val="00662D68"/>
    <w:rsid w:val="00663B4A"/>
    <w:rsid w:val="00664E51"/>
    <w:rsid w:val="00666F2D"/>
    <w:rsid w:val="00667022"/>
    <w:rsid w:val="00671177"/>
    <w:rsid w:val="00671466"/>
    <w:rsid w:val="00671CE8"/>
    <w:rsid w:val="00673688"/>
    <w:rsid w:val="006746D9"/>
    <w:rsid w:val="006750E1"/>
    <w:rsid w:val="0067643B"/>
    <w:rsid w:val="00680486"/>
    <w:rsid w:val="00681989"/>
    <w:rsid w:val="00682BC3"/>
    <w:rsid w:val="00683F2B"/>
    <w:rsid w:val="00684163"/>
    <w:rsid w:val="0068687C"/>
    <w:rsid w:val="00687143"/>
    <w:rsid w:val="0069079B"/>
    <w:rsid w:val="00690FA8"/>
    <w:rsid w:val="00691594"/>
    <w:rsid w:val="0069434B"/>
    <w:rsid w:val="00696025"/>
    <w:rsid w:val="00696710"/>
    <w:rsid w:val="006972E5"/>
    <w:rsid w:val="00697AF2"/>
    <w:rsid w:val="00697B3C"/>
    <w:rsid w:val="00697FD3"/>
    <w:rsid w:val="006A268C"/>
    <w:rsid w:val="006A4265"/>
    <w:rsid w:val="006A4EE1"/>
    <w:rsid w:val="006A4EEB"/>
    <w:rsid w:val="006A525B"/>
    <w:rsid w:val="006A5C16"/>
    <w:rsid w:val="006A5EC1"/>
    <w:rsid w:val="006A6C9A"/>
    <w:rsid w:val="006A78E2"/>
    <w:rsid w:val="006B0ED5"/>
    <w:rsid w:val="006B2418"/>
    <w:rsid w:val="006B2F42"/>
    <w:rsid w:val="006B5777"/>
    <w:rsid w:val="006B5DC8"/>
    <w:rsid w:val="006B5F8E"/>
    <w:rsid w:val="006B677E"/>
    <w:rsid w:val="006B680D"/>
    <w:rsid w:val="006B781D"/>
    <w:rsid w:val="006C09C3"/>
    <w:rsid w:val="006C0C8F"/>
    <w:rsid w:val="006C1F21"/>
    <w:rsid w:val="006C2D7B"/>
    <w:rsid w:val="006C35B9"/>
    <w:rsid w:val="006C4CE9"/>
    <w:rsid w:val="006C600E"/>
    <w:rsid w:val="006C614D"/>
    <w:rsid w:val="006C6182"/>
    <w:rsid w:val="006C6228"/>
    <w:rsid w:val="006C662F"/>
    <w:rsid w:val="006C720A"/>
    <w:rsid w:val="006C7F89"/>
    <w:rsid w:val="006D0416"/>
    <w:rsid w:val="006D1E08"/>
    <w:rsid w:val="006D2851"/>
    <w:rsid w:val="006D2FA8"/>
    <w:rsid w:val="006D2FE9"/>
    <w:rsid w:val="006D4A96"/>
    <w:rsid w:val="006D712F"/>
    <w:rsid w:val="006D7150"/>
    <w:rsid w:val="006D7AD3"/>
    <w:rsid w:val="006E0125"/>
    <w:rsid w:val="006E02A4"/>
    <w:rsid w:val="006E0C28"/>
    <w:rsid w:val="006E3370"/>
    <w:rsid w:val="006E3BE0"/>
    <w:rsid w:val="006E53C8"/>
    <w:rsid w:val="006E5515"/>
    <w:rsid w:val="006E76DF"/>
    <w:rsid w:val="006E7EED"/>
    <w:rsid w:val="006F1F84"/>
    <w:rsid w:val="006F2632"/>
    <w:rsid w:val="006F3B0C"/>
    <w:rsid w:val="006F3BF1"/>
    <w:rsid w:val="006F415D"/>
    <w:rsid w:val="006F56E0"/>
    <w:rsid w:val="006F58DD"/>
    <w:rsid w:val="006F61FA"/>
    <w:rsid w:val="006F72FB"/>
    <w:rsid w:val="007005D1"/>
    <w:rsid w:val="00700CEE"/>
    <w:rsid w:val="00701EA8"/>
    <w:rsid w:val="00702C2D"/>
    <w:rsid w:val="00702E40"/>
    <w:rsid w:val="007037E6"/>
    <w:rsid w:val="007048E7"/>
    <w:rsid w:val="00704ACA"/>
    <w:rsid w:val="007064BE"/>
    <w:rsid w:val="00706895"/>
    <w:rsid w:val="0070797E"/>
    <w:rsid w:val="00707C48"/>
    <w:rsid w:val="00707D1F"/>
    <w:rsid w:val="0071031C"/>
    <w:rsid w:val="007103EC"/>
    <w:rsid w:val="00710540"/>
    <w:rsid w:val="007122F1"/>
    <w:rsid w:val="00713094"/>
    <w:rsid w:val="007137D9"/>
    <w:rsid w:val="007161E5"/>
    <w:rsid w:val="00716816"/>
    <w:rsid w:val="00716819"/>
    <w:rsid w:val="00717A61"/>
    <w:rsid w:val="00721F09"/>
    <w:rsid w:val="007224C1"/>
    <w:rsid w:val="00722A40"/>
    <w:rsid w:val="00722F62"/>
    <w:rsid w:val="007234CC"/>
    <w:rsid w:val="00723E78"/>
    <w:rsid w:val="007244F0"/>
    <w:rsid w:val="007248FB"/>
    <w:rsid w:val="00725006"/>
    <w:rsid w:val="00725D8B"/>
    <w:rsid w:val="007264C4"/>
    <w:rsid w:val="00726B63"/>
    <w:rsid w:val="00727106"/>
    <w:rsid w:val="00731AB8"/>
    <w:rsid w:val="007321E2"/>
    <w:rsid w:val="00733010"/>
    <w:rsid w:val="00733D3E"/>
    <w:rsid w:val="00734FE6"/>
    <w:rsid w:val="0073500A"/>
    <w:rsid w:val="00741194"/>
    <w:rsid w:val="0074272B"/>
    <w:rsid w:val="00743EE1"/>
    <w:rsid w:val="00744A3C"/>
    <w:rsid w:val="0074608F"/>
    <w:rsid w:val="00746138"/>
    <w:rsid w:val="007475EA"/>
    <w:rsid w:val="00750217"/>
    <w:rsid w:val="00750759"/>
    <w:rsid w:val="00751B4C"/>
    <w:rsid w:val="00751B5D"/>
    <w:rsid w:val="00752328"/>
    <w:rsid w:val="00753F42"/>
    <w:rsid w:val="0075613B"/>
    <w:rsid w:val="00757F94"/>
    <w:rsid w:val="00760D74"/>
    <w:rsid w:val="00764C7C"/>
    <w:rsid w:val="00766FE9"/>
    <w:rsid w:val="007705B3"/>
    <w:rsid w:val="00770FB7"/>
    <w:rsid w:val="007716F2"/>
    <w:rsid w:val="00771700"/>
    <w:rsid w:val="00771843"/>
    <w:rsid w:val="007721A1"/>
    <w:rsid w:val="007731BF"/>
    <w:rsid w:val="007747E8"/>
    <w:rsid w:val="00775C6E"/>
    <w:rsid w:val="00775CF0"/>
    <w:rsid w:val="00776268"/>
    <w:rsid w:val="0077652E"/>
    <w:rsid w:val="00776E22"/>
    <w:rsid w:val="0077773C"/>
    <w:rsid w:val="00781FFD"/>
    <w:rsid w:val="00782A54"/>
    <w:rsid w:val="00783EDB"/>
    <w:rsid w:val="00783F4E"/>
    <w:rsid w:val="00784982"/>
    <w:rsid w:val="00785640"/>
    <w:rsid w:val="007864FA"/>
    <w:rsid w:val="0078654F"/>
    <w:rsid w:val="00786636"/>
    <w:rsid w:val="00786C65"/>
    <w:rsid w:val="007872CC"/>
    <w:rsid w:val="007904FF"/>
    <w:rsid w:val="00791250"/>
    <w:rsid w:val="0079242C"/>
    <w:rsid w:val="007928B0"/>
    <w:rsid w:val="007929FA"/>
    <w:rsid w:val="00792C0A"/>
    <w:rsid w:val="00792D96"/>
    <w:rsid w:val="007946B1"/>
    <w:rsid w:val="00794EC8"/>
    <w:rsid w:val="0079734B"/>
    <w:rsid w:val="007974F3"/>
    <w:rsid w:val="00797F80"/>
    <w:rsid w:val="007A0A33"/>
    <w:rsid w:val="007A2245"/>
    <w:rsid w:val="007A3743"/>
    <w:rsid w:val="007A38DE"/>
    <w:rsid w:val="007A404E"/>
    <w:rsid w:val="007A4187"/>
    <w:rsid w:val="007A4E28"/>
    <w:rsid w:val="007A64D4"/>
    <w:rsid w:val="007A6610"/>
    <w:rsid w:val="007A76DE"/>
    <w:rsid w:val="007B0235"/>
    <w:rsid w:val="007B1F40"/>
    <w:rsid w:val="007B257C"/>
    <w:rsid w:val="007B2D3A"/>
    <w:rsid w:val="007B5026"/>
    <w:rsid w:val="007B5D0C"/>
    <w:rsid w:val="007B5D52"/>
    <w:rsid w:val="007B6CB6"/>
    <w:rsid w:val="007C02ED"/>
    <w:rsid w:val="007C1355"/>
    <w:rsid w:val="007C2380"/>
    <w:rsid w:val="007C2805"/>
    <w:rsid w:val="007C2D12"/>
    <w:rsid w:val="007C33B8"/>
    <w:rsid w:val="007C372F"/>
    <w:rsid w:val="007C4E08"/>
    <w:rsid w:val="007C53E3"/>
    <w:rsid w:val="007C5A55"/>
    <w:rsid w:val="007C5BC0"/>
    <w:rsid w:val="007C66B2"/>
    <w:rsid w:val="007C6A91"/>
    <w:rsid w:val="007C70FB"/>
    <w:rsid w:val="007C7544"/>
    <w:rsid w:val="007C7836"/>
    <w:rsid w:val="007D1040"/>
    <w:rsid w:val="007D10F8"/>
    <w:rsid w:val="007D12C7"/>
    <w:rsid w:val="007D132E"/>
    <w:rsid w:val="007D1B74"/>
    <w:rsid w:val="007D1C0B"/>
    <w:rsid w:val="007D21D4"/>
    <w:rsid w:val="007D29D4"/>
    <w:rsid w:val="007D3E9F"/>
    <w:rsid w:val="007D4410"/>
    <w:rsid w:val="007D461F"/>
    <w:rsid w:val="007D785A"/>
    <w:rsid w:val="007D7DCF"/>
    <w:rsid w:val="007D7EBD"/>
    <w:rsid w:val="007E049F"/>
    <w:rsid w:val="007E0B40"/>
    <w:rsid w:val="007E0F9C"/>
    <w:rsid w:val="007E28E0"/>
    <w:rsid w:val="007E29AC"/>
    <w:rsid w:val="007E3DD8"/>
    <w:rsid w:val="007E422C"/>
    <w:rsid w:val="007E42A1"/>
    <w:rsid w:val="007E442B"/>
    <w:rsid w:val="007E4E5B"/>
    <w:rsid w:val="007E5FD2"/>
    <w:rsid w:val="007E736F"/>
    <w:rsid w:val="007E7FD9"/>
    <w:rsid w:val="007F0481"/>
    <w:rsid w:val="007F1752"/>
    <w:rsid w:val="007F1992"/>
    <w:rsid w:val="007F1AE7"/>
    <w:rsid w:val="007F1E49"/>
    <w:rsid w:val="007F1F9F"/>
    <w:rsid w:val="007F2574"/>
    <w:rsid w:val="007F2F37"/>
    <w:rsid w:val="007F34B9"/>
    <w:rsid w:val="007F39A7"/>
    <w:rsid w:val="007F3D9A"/>
    <w:rsid w:val="007F7FFE"/>
    <w:rsid w:val="00802031"/>
    <w:rsid w:val="00803914"/>
    <w:rsid w:val="00803A51"/>
    <w:rsid w:val="008045C0"/>
    <w:rsid w:val="00804DA9"/>
    <w:rsid w:val="00805F30"/>
    <w:rsid w:val="008064C3"/>
    <w:rsid w:val="0080732B"/>
    <w:rsid w:val="008075FA"/>
    <w:rsid w:val="0081040D"/>
    <w:rsid w:val="008107D8"/>
    <w:rsid w:val="00813808"/>
    <w:rsid w:val="0081436C"/>
    <w:rsid w:val="00815438"/>
    <w:rsid w:val="008159A3"/>
    <w:rsid w:val="00815B7E"/>
    <w:rsid w:val="00815D7D"/>
    <w:rsid w:val="00816444"/>
    <w:rsid w:val="00816BCB"/>
    <w:rsid w:val="00816CDE"/>
    <w:rsid w:val="00817116"/>
    <w:rsid w:val="008173CD"/>
    <w:rsid w:val="008213D3"/>
    <w:rsid w:val="008216D5"/>
    <w:rsid w:val="00822211"/>
    <w:rsid w:val="00824F2B"/>
    <w:rsid w:val="008253C0"/>
    <w:rsid w:val="0082568E"/>
    <w:rsid w:val="008260E3"/>
    <w:rsid w:val="0082740F"/>
    <w:rsid w:val="00827466"/>
    <w:rsid w:val="00827562"/>
    <w:rsid w:val="00830D22"/>
    <w:rsid w:val="00831CB3"/>
    <w:rsid w:val="0083205D"/>
    <w:rsid w:val="008325D4"/>
    <w:rsid w:val="008344BC"/>
    <w:rsid w:val="0083462C"/>
    <w:rsid w:val="00834F29"/>
    <w:rsid w:val="00835DD0"/>
    <w:rsid w:val="00835FE2"/>
    <w:rsid w:val="0083611D"/>
    <w:rsid w:val="00836865"/>
    <w:rsid w:val="00837EFF"/>
    <w:rsid w:val="00840B51"/>
    <w:rsid w:val="00841280"/>
    <w:rsid w:val="00841C6F"/>
    <w:rsid w:val="008434BC"/>
    <w:rsid w:val="00843C87"/>
    <w:rsid w:val="008460F9"/>
    <w:rsid w:val="00850B80"/>
    <w:rsid w:val="00854F11"/>
    <w:rsid w:val="00855670"/>
    <w:rsid w:val="008568B1"/>
    <w:rsid w:val="008577D2"/>
    <w:rsid w:val="008578B8"/>
    <w:rsid w:val="008610BB"/>
    <w:rsid w:val="0086112C"/>
    <w:rsid w:val="0086162A"/>
    <w:rsid w:val="00861645"/>
    <w:rsid w:val="00861A82"/>
    <w:rsid w:val="00861A8F"/>
    <w:rsid w:val="008637E5"/>
    <w:rsid w:val="00864282"/>
    <w:rsid w:val="00865B74"/>
    <w:rsid w:val="00865D94"/>
    <w:rsid w:val="00866C60"/>
    <w:rsid w:val="00867AD2"/>
    <w:rsid w:val="008703D3"/>
    <w:rsid w:val="00880388"/>
    <w:rsid w:val="00880F30"/>
    <w:rsid w:val="008823F1"/>
    <w:rsid w:val="0088289E"/>
    <w:rsid w:val="00883215"/>
    <w:rsid w:val="00883C96"/>
    <w:rsid w:val="00884F36"/>
    <w:rsid w:val="00884F71"/>
    <w:rsid w:val="008871F3"/>
    <w:rsid w:val="00887988"/>
    <w:rsid w:val="00890610"/>
    <w:rsid w:val="00890AF9"/>
    <w:rsid w:val="00891A4B"/>
    <w:rsid w:val="008923DC"/>
    <w:rsid w:val="0089318F"/>
    <w:rsid w:val="00893B5B"/>
    <w:rsid w:val="008948C3"/>
    <w:rsid w:val="00895303"/>
    <w:rsid w:val="00895DB1"/>
    <w:rsid w:val="00896CBF"/>
    <w:rsid w:val="00897BC3"/>
    <w:rsid w:val="008A1AE6"/>
    <w:rsid w:val="008A2601"/>
    <w:rsid w:val="008A30FD"/>
    <w:rsid w:val="008A31B0"/>
    <w:rsid w:val="008A3448"/>
    <w:rsid w:val="008A3602"/>
    <w:rsid w:val="008A442A"/>
    <w:rsid w:val="008A5F29"/>
    <w:rsid w:val="008A75D1"/>
    <w:rsid w:val="008A7CB8"/>
    <w:rsid w:val="008A7CBA"/>
    <w:rsid w:val="008B0B2A"/>
    <w:rsid w:val="008B1DE4"/>
    <w:rsid w:val="008B4B58"/>
    <w:rsid w:val="008B5804"/>
    <w:rsid w:val="008B6A5D"/>
    <w:rsid w:val="008C01C3"/>
    <w:rsid w:val="008C0ACA"/>
    <w:rsid w:val="008C17AC"/>
    <w:rsid w:val="008C1DF9"/>
    <w:rsid w:val="008C284D"/>
    <w:rsid w:val="008C2A60"/>
    <w:rsid w:val="008C385F"/>
    <w:rsid w:val="008C456D"/>
    <w:rsid w:val="008C5F65"/>
    <w:rsid w:val="008C7182"/>
    <w:rsid w:val="008C79B1"/>
    <w:rsid w:val="008D09FB"/>
    <w:rsid w:val="008D2DD6"/>
    <w:rsid w:val="008D3045"/>
    <w:rsid w:val="008D3264"/>
    <w:rsid w:val="008D4475"/>
    <w:rsid w:val="008D55A2"/>
    <w:rsid w:val="008D5A79"/>
    <w:rsid w:val="008D5C3A"/>
    <w:rsid w:val="008D5E9F"/>
    <w:rsid w:val="008D6FF1"/>
    <w:rsid w:val="008D7D40"/>
    <w:rsid w:val="008E029F"/>
    <w:rsid w:val="008E16EE"/>
    <w:rsid w:val="008E2FC5"/>
    <w:rsid w:val="008E439F"/>
    <w:rsid w:val="008E4CAA"/>
    <w:rsid w:val="008E51A8"/>
    <w:rsid w:val="008E54AB"/>
    <w:rsid w:val="008E69B4"/>
    <w:rsid w:val="008E74EB"/>
    <w:rsid w:val="008E77F2"/>
    <w:rsid w:val="008F0A58"/>
    <w:rsid w:val="008F0BA4"/>
    <w:rsid w:val="008F0D20"/>
    <w:rsid w:val="008F0DAE"/>
    <w:rsid w:val="008F1256"/>
    <w:rsid w:val="008F1BAE"/>
    <w:rsid w:val="008F45FB"/>
    <w:rsid w:val="008F47E7"/>
    <w:rsid w:val="008F4A03"/>
    <w:rsid w:val="008F4DEC"/>
    <w:rsid w:val="008F4EB3"/>
    <w:rsid w:val="008F5727"/>
    <w:rsid w:val="008F60A7"/>
    <w:rsid w:val="008F7748"/>
    <w:rsid w:val="008F79C9"/>
    <w:rsid w:val="008F7BC5"/>
    <w:rsid w:val="009027D7"/>
    <w:rsid w:val="00902FFE"/>
    <w:rsid w:val="009048E8"/>
    <w:rsid w:val="00904F07"/>
    <w:rsid w:val="0090517D"/>
    <w:rsid w:val="009055FC"/>
    <w:rsid w:val="00905B1F"/>
    <w:rsid w:val="00905D42"/>
    <w:rsid w:val="00906D22"/>
    <w:rsid w:val="009108F0"/>
    <w:rsid w:val="00911354"/>
    <w:rsid w:val="009117A5"/>
    <w:rsid w:val="009122DB"/>
    <w:rsid w:val="00912921"/>
    <w:rsid w:val="00913438"/>
    <w:rsid w:val="00913752"/>
    <w:rsid w:val="009137CE"/>
    <w:rsid w:val="0091380F"/>
    <w:rsid w:val="00913EF7"/>
    <w:rsid w:val="00913F67"/>
    <w:rsid w:val="00914538"/>
    <w:rsid w:val="0091467D"/>
    <w:rsid w:val="00914882"/>
    <w:rsid w:val="00914CBA"/>
    <w:rsid w:val="00915711"/>
    <w:rsid w:val="00915BC9"/>
    <w:rsid w:val="00916506"/>
    <w:rsid w:val="00916CA1"/>
    <w:rsid w:val="00917B9B"/>
    <w:rsid w:val="00920962"/>
    <w:rsid w:val="0092103A"/>
    <w:rsid w:val="00921A43"/>
    <w:rsid w:val="0092264E"/>
    <w:rsid w:val="00923A7E"/>
    <w:rsid w:val="00923C4A"/>
    <w:rsid w:val="00923FAF"/>
    <w:rsid w:val="00925F1F"/>
    <w:rsid w:val="009262E0"/>
    <w:rsid w:val="00926BE5"/>
    <w:rsid w:val="009271AF"/>
    <w:rsid w:val="00927471"/>
    <w:rsid w:val="009274E3"/>
    <w:rsid w:val="00930A67"/>
    <w:rsid w:val="00931303"/>
    <w:rsid w:val="00932E21"/>
    <w:rsid w:val="00933EBD"/>
    <w:rsid w:val="00934667"/>
    <w:rsid w:val="00934D81"/>
    <w:rsid w:val="009369BD"/>
    <w:rsid w:val="009369EA"/>
    <w:rsid w:val="00936AC8"/>
    <w:rsid w:val="0093702D"/>
    <w:rsid w:val="0093792A"/>
    <w:rsid w:val="009379B4"/>
    <w:rsid w:val="00940B94"/>
    <w:rsid w:val="00940FEF"/>
    <w:rsid w:val="00941180"/>
    <w:rsid w:val="00943ADA"/>
    <w:rsid w:val="00943D8E"/>
    <w:rsid w:val="0094440D"/>
    <w:rsid w:val="00944CFA"/>
    <w:rsid w:val="00945C2B"/>
    <w:rsid w:val="00946ADB"/>
    <w:rsid w:val="00947520"/>
    <w:rsid w:val="00947EF4"/>
    <w:rsid w:val="00950952"/>
    <w:rsid w:val="009518AA"/>
    <w:rsid w:val="00951ADA"/>
    <w:rsid w:val="00951B49"/>
    <w:rsid w:val="00952112"/>
    <w:rsid w:val="009534EA"/>
    <w:rsid w:val="00953657"/>
    <w:rsid w:val="00953E26"/>
    <w:rsid w:val="009545C4"/>
    <w:rsid w:val="00954CB2"/>
    <w:rsid w:val="00954F02"/>
    <w:rsid w:val="00955DD3"/>
    <w:rsid w:val="009561B4"/>
    <w:rsid w:val="00961364"/>
    <w:rsid w:val="009626EB"/>
    <w:rsid w:val="0096299B"/>
    <w:rsid w:val="00963394"/>
    <w:rsid w:val="009633BD"/>
    <w:rsid w:val="00963469"/>
    <w:rsid w:val="009635B0"/>
    <w:rsid w:val="00964487"/>
    <w:rsid w:val="00966FCD"/>
    <w:rsid w:val="0096746F"/>
    <w:rsid w:val="00970787"/>
    <w:rsid w:val="00971B1B"/>
    <w:rsid w:val="009722C1"/>
    <w:rsid w:val="009726FB"/>
    <w:rsid w:val="00972A4E"/>
    <w:rsid w:val="00974F79"/>
    <w:rsid w:val="0097526E"/>
    <w:rsid w:val="00975AEF"/>
    <w:rsid w:val="00975DB1"/>
    <w:rsid w:val="0097768A"/>
    <w:rsid w:val="009807D8"/>
    <w:rsid w:val="00980869"/>
    <w:rsid w:val="0098191E"/>
    <w:rsid w:val="00981DF5"/>
    <w:rsid w:val="0098301D"/>
    <w:rsid w:val="00983CC7"/>
    <w:rsid w:val="00983D34"/>
    <w:rsid w:val="0098409D"/>
    <w:rsid w:val="009842AF"/>
    <w:rsid w:val="0098492F"/>
    <w:rsid w:val="00984C1B"/>
    <w:rsid w:val="00984F26"/>
    <w:rsid w:val="009855B9"/>
    <w:rsid w:val="00985BB3"/>
    <w:rsid w:val="009866B4"/>
    <w:rsid w:val="0098706A"/>
    <w:rsid w:val="009871AC"/>
    <w:rsid w:val="009871EC"/>
    <w:rsid w:val="009872D5"/>
    <w:rsid w:val="00987547"/>
    <w:rsid w:val="00991757"/>
    <w:rsid w:val="00992133"/>
    <w:rsid w:val="0099229F"/>
    <w:rsid w:val="00992537"/>
    <w:rsid w:val="00992C57"/>
    <w:rsid w:val="00992DE1"/>
    <w:rsid w:val="00994695"/>
    <w:rsid w:val="009967EF"/>
    <w:rsid w:val="00996E65"/>
    <w:rsid w:val="00996F96"/>
    <w:rsid w:val="00997406"/>
    <w:rsid w:val="009A02B2"/>
    <w:rsid w:val="009A0D7D"/>
    <w:rsid w:val="009A1485"/>
    <w:rsid w:val="009A1F65"/>
    <w:rsid w:val="009A2B3F"/>
    <w:rsid w:val="009A326B"/>
    <w:rsid w:val="009A6B6F"/>
    <w:rsid w:val="009A6E5C"/>
    <w:rsid w:val="009A7763"/>
    <w:rsid w:val="009B0BAE"/>
    <w:rsid w:val="009B1004"/>
    <w:rsid w:val="009B1185"/>
    <w:rsid w:val="009B1CA5"/>
    <w:rsid w:val="009B26AB"/>
    <w:rsid w:val="009B38BE"/>
    <w:rsid w:val="009B3E0F"/>
    <w:rsid w:val="009B46AD"/>
    <w:rsid w:val="009B4701"/>
    <w:rsid w:val="009B5563"/>
    <w:rsid w:val="009B6721"/>
    <w:rsid w:val="009B74E8"/>
    <w:rsid w:val="009C1254"/>
    <w:rsid w:val="009C3C2A"/>
    <w:rsid w:val="009C45DE"/>
    <w:rsid w:val="009C4F8C"/>
    <w:rsid w:val="009C590A"/>
    <w:rsid w:val="009C5ABA"/>
    <w:rsid w:val="009C5C3A"/>
    <w:rsid w:val="009C69BE"/>
    <w:rsid w:val="009C6DDD"/>
    <w:rsid w:val="009C73AF"/>
    <w:rsid w:val="009D0FA8"/>
    <w:rsid w:val="009D1904"/>
    <w:rsid w:val="009D2A0D"/>
    <w:rsid w:val="009D2A42"/>
    <w:rsid w:val="009D2A8B"/>
    <w:rsid w:val="009D2FEB"/>
    <w:rsid w:val="009D3BF6"/>
    <w:rsid w:val="009D5125"/>
    <w:rsid w:val="009D5A0E"/>
    <w:rsid w:val="009E026A"/>
    <w:rsid w:val="009E0684"/>
    <w:rsid w:val="009E088C"/>
    <w:rsid w:val="009E2288"/>
    <w:rsid w:val="009E392D"/>
    <w:rsid w:val="009E3D94"/>
    <w:rsid w:val="009E4222"/>
    <w:rsid w:val="009E4697"/>
    <w:rsid w:val="009E5258"/>
    <w:rsid w:val="009E607C"/>
    <w:rsid w:val="009E677A"/>
    <w:rsid w:val="009F038F"/>
    <w:rsid w:val="009F1EE4"/>
    <w:rsid w:val="009F1F94"/>
    <w:rsid w:val="009F29A1"/>
    <w:rsid w:val="009F3DF9"/>
    <w:rsid w:val="009F44E7"/>
    <w:rsid w:val="009F527E"/>
    <w:rsid w:val="009F6893"/>
    <w:rsid w:val="009F7B12"/>
    <w:rsid w:val="00A00403"/>
    <w:rsid w:val="00A012C3"/>
    <w:rsid w:val="00A069C8"/>
    <w:rsid w:val="00A07EE0"/>
    <w:rsid w:val="00A1029D"/>
    <w:rsid w:val="00A10B74"/>
    <w:rsid w:val="00A10D41"/>
    <w:rsid w:val="00A11423"/>
    <w:rsid w:val="00A11D0F"/>
    <w:rsid w:val="00A11F52"/>
    <w:rsid w:val="00A13409"/>
    <w:rsid w:val="00A14265"/>
    <w:rsid w:val="00A152A5"/>
    <w:rsid w:val="00A15982"/>
    <w:rsid w:val="00A15AC3"/>
    <w:rsid w:val="00A16725"/>
    <w:rsid w:val="00A169E7"/>
    <w:rsid w:val="00A16AF9"/>
    <w:rsid w:val="00A17BD1"/>
    <w:rsid w:val="00A17C45"/>
    <w:rsid w:val="00A208FF"/>
    <w:rsid w:val="00A2092D"/>
    <w:rsid w:val="00A20D0A"/>
    <w:rsid w:val="00A22292"/>
    <w:rsid w:val="00A231DE"/>
    <w:rsid w:val="00A23D24"/>
    <w:rsid w:val="00A23E42"/>
    <w:rsid w:val="00A24732"/>
    <w:rsid w:val="00A2582D"/>
    <w:rsid w:val="00A276DB"/>
    <w:rsid w:val="00A3042F"/>
    <w:rsid w:val="00A30805"/>
    <w:rsid w:val="00A317D7"/>
    <w:rsid w:val="00A350B4"/>
    <w:rsid w:val="00A35B49"/>
    <w:rsid w:val="00A37B7B"/>
    <w:rsid w:val="00A4225F"/>
    <w:rsid w:val="00A43467"/>
    <w:rsid w:val="00A43CE9"/>
    <w:rsid w:val="00A44263"/>
    <w:rsid w:val="00A44BE6"/>
    <w:rsid w:val="00A44DE8"/>
    <w:rsid w:val="00A45B10"/>
    <w:rsid w:val="00A4718E"/>
    <w:rsid w:val="00A51193"/>
    <w:rsid w:val="00A51B8F"/>
    <w:rsid w:val="00A528F0"/>
    <w:rsid w:val="00A54031"/>
    <w:rsid w:val="00A5516F"/>
    <w:rsid w:val="00A55250"/>
    <w:rsid w:val="00A55F1A"/>
    <w:rsid w:val="00A56712"/>
    <w:rsid w:val="00A604EA"/>
    <w:rsid w:val="00A614C6"/>
    <w:rsid w:val="00A61F18"/>
    <w:rsid w:val="00A621F4"/>
    <w:rsid w:val="00A62616"/>
    <w:rsid w:val="00A63A5E"/>
    <w:rsid w:val="00A63F6A"/>
    <w:rsid w:val="00A64B0A"/>
    <w:rsid w:val="00A7137D"/>
    <w:rsid w:val="00A71A11"/>
    <w:rsid w:val="00A72973"/>
    <w:rsid w:val="00A73470"/>
    <w:rsid w:val="00A74F20"/>
    <w:rsid w:val="00A752F8"/>
    <w:rsid w:val="00A76512"/>
    <w:rsid w:val="00A76683"/>
    <w:rsid w:val="00A76D1D"/>
    <w:rsid w:val="00A77F1A"/>
    <w:rsid w:val="00A80B1B"/>
    <w:rsid w:val="00A81705"/>
    <w:rsid w:val="00A85036"/>
    <w:rsid w:val="00A85364"/>
    <w:rsid w:val="00A85EC2"/>
    <w:rsid w:val="00A90028"/>
    <w:rsid w:val="00A9137B"/>
    <w:rsid w:val="00A916CA"/>
    <w:rsid w:val="00A91705"/>
    <w:rsid w:val="00A9190E"/>
    <w:rsid w:val="00A91941"/>
    <w:rsid w:val="00A920F2"/>
    <w:rsid w:val="00A9263C"/>
    <w:rsid w:val="00A92DA6"/>
    <w:rsid w:val="00A93092"/>
    <w:rsid w:val="00A942E9"/>
    <w:rsid w:val="00A94904"/>
    <w:rsid w:val="00A949BF"/>
    <w:rsid w:val="00A94D17"/>
    <w:rsid w:val="00A957CF"/>
    <w:rsid w:val="00A9598B"/>
    <w:rsid w:val="00A95AF4"/>
    <w:rsid w:val="00A962D9"/>
    <w:rsid w:val="00A965C7"/>
    <w:rsid w:val="00A967EF"/>
    <w:rsid w:val="00A971A7"/>
    <w:rsid w:val="00A97560"/>
    <w:rsid w:val="00A9789C"/>
    <w:rsid w:val="00AA00F6"/>
    <w:rsid w:val="00AA2A71"/>
    <w:rsid w:val="00AA2D92"/>
    <w:rsid w:val="00AA36FF"/>
    <w:rsid w:val="00AA3B3C"/>
    <w:rsid w:val="00AA41BE"/>
    <w:rsid w:val="00AA7BE6"/>
    <w:rsid w:val="00AB138B"/>
    <w:rsid w:val="00AB2DC6"/>
    <w:rsid w:val="00AB3D9F"/>
    <w:rsid w:val="00AB4718"/>
    <w:rsid w:val="00AB6AD5"/>
    <w:rsid w:val="00AB6AFE"/>
    <w:rsid w:val="00AB718F"/>
    <w:rsid w:val="00AC019C"/>
    <w:rsid w:val="00AC1122"/>
    <w:rsid w:val="00AC1631"/>
    <w:rsid w:val="00AC1EC3"/>
    <w:rsid w:val="00AC4F31"/>
    <w:rsid w:val="00AC54BE"/>
    <w:rsid w:val="00AC71D1"/>
    <w:rsid w:val="00AC7BB5"/>
    <w:rsid w:val="00AD0331"/>
    <w:rsid w:val="00AD0945"/>
    <w:rsid w:val="00AD0B92"/>
    <w:rsid w:val="00AD1484"/>
    <w:rsid w:val="00AD155B"/>
    <w:rsid w:val="00AD2ED3"/>
    <w:rsid w:val="00AD3057"/>
    <w:rsid w:val="00AD44DE"/>
    <w:rsid w:val="00AD47BC"/>
    <w:rsid w:val="00AD68D6"/>
    <w:rsid w:val="00AD69D6"/>
    <w:rsid w:val="00AD7554"/>
    <w:rsid w:val="00AD7C97"/>
    <w:rsid w:val="00AE06FD"/>
    <w:rsid w:val="00AE175A"/>
    <w:rsid w:val="00AE263D"/>
    <w:rsid w:val="00AE2C3F"/>
    <w:rsid w:val="00AE3AA3"/>
    <w:rsid w:val="00AE5BC8"/>
    <w:rsid w:val="00AE62D5"/>
    <w:rsid w:val="00AE6A7D"/>
    <w:rsid w:val="00AE6AA3"/>
    <w:rsid w:val="00AE6EA6"/>
    <w:rsid w:val="00AE7EE4"/>
    <w:rsid w:val="00AF017A"/>
    <w:rsid w:val="00AF022A"/>
    <w:rsid w:val="00AF1510"/>
    <w:rsid w:val="00AF3144"/>
    <w:rsid w:val="00AF3A54"/>
    <w:rsid w:val="00AF4280"/>
    <w:rsid w:val="00AF44A2"/>
    <w:rsid w:val="00AF5B9F"/>
    <w:rsid w:val="00B0005F"/>
    <w:rsid w:val="00B03021"/>
    <w:rsid w:val="00B03204"/>
    <w:rsid w:val="00B03C44"/>
    <w:rsid w:val="00B0447F"/>
    <w:rsid w:val="00B06956"/>
    <w:rsid w:val="00B10CC5"/>
    <w:rsid w:val="00B110DC"/>
    <w:rsid w:val="00B127CF"/>
    <w:rsid w:val="00B14497"/>
    <w:rsid w:val="00B147E9"/>
    <w:rsid w:val="00B14B24"/>
    <w:rsid w:val="00B14F8F"/>
    <w:rsid w:val="00B15E05"/>
    <w:rsid w:val="00B17321"/>
    <w:rsid w:val="00B21ABC"/>
    <w:rsid w:val="00B2216A"/>
    <w:rsid w:val="00B22536"/>
    <w:rsid w:val="00B22A61"/>
    <w:rsid w:val="00B235A5"/>
    <w:rsid w:val="00B2492B"/>
    <w:rsid w:val="00B2550C"/>
    <w:rsid w:val="00B2667C"/>
    <w:rsid w:val="00B266E5"/>
    <w:rsid w:val="00B26E08"/>
    <w:rsid w:val="00B27896"/>
    <w:rsid w:val="00B300D0"/>
    <w:rsid w:val="00B301BF"/>
    <w:rsid w:val="00B306D5"/>
    <w:rsid w:val="00B30753"/>
    <w:rsid w:val="00B30912"/>
    <w:rsid w:val="00B30939"/>
    <w:rsid w:val="00B31452"/>
    <w:rsid w:val="00B32FD4"/>
    <w:rsid w:val="00B332A6"/>
    <w:rsid w:val="00B34C77"/>
    <w:rsid w:val="00B34ECD"/>
    <w:rsid w:val="00B36475"/>
    <w:rsid w:val="00B36EDF"/>
    <w:rsid w:val="00B37243"/>
    <w:rsid w:val="00B3771D"/>
    <w:rsid w:val="00B408CA"/>
    <w:rsid w:val="00B414F0"/>
    <w:rsid w:val="00B41517"/>
    <w:rsid w:val="00B4197D"/>
    <w:rsid w:val="00B419FE"/>
    <w:rsid w:val="00B41BCE"/>
    <w:rsid w:val="00B425E3"/>
    <w:rsid w:val="00B44262"/>
    <w:rsid w:val="00B44B64"/>
    <w:rsid w:val="00B46F80"/>
    <w:rsid w:val="00B47C11"/>
    <w:rsid w:val="00B47F58"/>
    <w:rsid w:val="00B50311"/>
    <w:rsid w:val="00B537B9"/>
    <w:rsid w:val="00B543BC"/>
    <w:rsid w:val="00B5449D"/>
    <w:rsid w:val="00B5486D"/>
    <w:rsid w:val="00B54FA1"/>
    <w:rsid w:val="00B56AF4"/>
    <w:rsid w:val="00B572A5"/>
    <w:rsid w:val="00B57CDB"/>
    <w:rsid w:val="00B607B2"/>
    <w:rsid w:val="00B6092D"/>
    <w:rsid w:val="00B60A98"/>
    <w:rsid w:val="00B6125F"/>
    <w:rsid w:val="00B61FBB"/>
    <w:rsid w:val="00B63D0D"/>
    <w:rsid w:val="00B6516D"/>
    <w:rsid w:val="00B65496"/>
    <w:rsid w:val="00B65AEA"/>
    <w:rsid w:val="00B66650"/>
    <w:rsid w:val="00B671EA"/>
    <w:rsid w:val="00B674AD"/>
    <w:rsid w:val="00B67DCF"/>
    <w:rsid w:val="00B70077"/>
    <w:rsid w:val="00B72B04"/>
    <w:rsid w:val="00B73B0F"/>
    <w:rsid w:val="00B73BA3"/>
    <w:rsid w:val="00B74B33"/>
    <w:rsid w:val="00B74B84"/>
    <w:rsid w:val="00B76F31"/>
    <w:rsid w:val="00B8014F"/>
    <w:rsid w:val="00B81114"/>
    <w:rsid w:val="00B8251E"/>
    <w:rsid w:val="00B83FBF"/>
    <w:rsid w:val="00B8544C"/>
    <w:rsid w:val="00B85AC7"/>
    <w:rsid w:val="00B860D4"/>
    <w:rsid w:val="00B912ED"/>
    <w:rsid w:val="00B918FA"/>
    <w:rsid w:val="00B91DCB"/>
    <w:rsid w:val="00B92249"/>
    <w:rsid w:val="00B923E2"/>
    <w:rsid w:val="00B93AFE"/>
    <w:rsid w:val="00B94BBF"/>
    <w:rsid w:val="00B94E95"/>
    <w:rsid w:val="00B960D9"/>
    <w:rsid w:val="00B963E4"/>
    <w:rsid w:val="00B964D9"/>
    <w:rsid w:val="00B9667C"/>
    <w:rsid w:val="00B96FCC"/>
    <w:rsid w:val="00B975B1"/>
    <w:rsid w:val="00B9793E"/>
    <w:rsid w:val="00B97C22"/>
    <w:rsid w:val="00BA0EE8"/>
    <w:rsid w:val="00BA1F37"/>
    <w:rsid w:val="00BA295E"/>
    <w:rsid w:val="00BA2A9D"/>
    <w:rsid w:val="00BA3701"/>
    <w:rsid w:val="00BA3FE6"/>
    <w:rsid w:val="00BA74F6"/>
    <w:rsid w:val="00BB2226"/>
    <w:rsid w:val="00BB24C9"/>
    <w:rsid w:val="00BB4F60"/>
    <w:rsid w:val="00BB614B"/>
    <w:rsid w:val="00BB6154"/>
    <w:rsid w:val="00BB7A76"/>
    <w:rsid w:val="00BC06BF"/>
    <w:rsid w:val="00BC13C9"/>
    <w:rsid w:val="00BC3EFE"/>
    <w:rsid w:val="00BC412A"/>
    <w:rsid w:val="00BC54E0"/>
    <w:rsid w:val="00BC5D5F"/>
    <w:rsid w:val="00BC5F69"/>
    <w:rsid w:val="00BC7342"/>
    <w:rsid w:val="00BD214F"/>
    <w:rsid w:val="00BD2564"/>
    <w:rsid w:val="00BD3E92"/>
    <w:rsid w:val="00BD4404"/>
    <w:rsid w:val="00BD60F7"/>
    <w:rsid w:val="00BD7FE7"/>
    <w:rsid w:val="00BE1D45"/>
    <w:rsid w:val="00BE257A"/>
    <w:rsid w:val="00BE26A3"/>
    <w:rsid w:val="00BE33E3"/>
    <w:rsid w:val="00BE343C"/>
    <w:rsid w:val="00BE3460"/>
    <w:rsid w:val="00BE3895"/>
    <w:rsid w:val="00BE3CFB"/>
    <w:rsid w:val="00BE486C"/>
    <w:rsid w:val="00BE50D4"/>
    <w:rsid w:val="00BE5248"/>
    <w:rsid w:val="00BE52CA"/>
    <w:rsid w:val="00BE5539"/>
    <w:rsid w:val="00BE59B6"/>
    <w:rsid w:val="00BE5CA1"/>
    <w:rsid w:val="00BE61BC"/>
    <w:rsid w:val="00BE63CC"/>
    <w:rsid w:val="00BE69C6"/>
    <w:rsid w:val="00BF0457"/>
    <w:rsid w:val="00BF0520"/>
    <w:rsid w:val="00BF0DFB"/>
    <w:rsid w:val="00BF1907"/>
    <w:rsid w:val="00BF2568"/>
    <w:rsid w:val="00BF341A"/>
    <w:rsid w:val="00BF40E5"/>
    <w:rsid w:val="00BF414A"/>
    <w:rsid w:val="00BF4990"/>
    <w:rsid w:val="00BF6130"/>
    <w:rsid w:val="00BF686A"/>
    <w:rsid w:val="00C0125C"/>
    <w:rsid w:val="00C012D5"/>
    <w:rsid w:val="00C02183"/>
    <w:rsid w:val="00C0223D"/>
    <w:rsid w:val="00C02BA9"/>
    <w:rsid w:val="00C0371A"/>
    <w:rsid w:val="00C03DFF"/>
    <w:rsid w:val="00C0402C"/>
    <w:rsid w:val="00C041AD"/>
    <w:rsid w:val="00C043C2"/>
    <w:rsid w:val="00C0483B"/>
    <w:rsid w:val="00C04BA7"/>
    <w:rsid w:val="00C04FCB"/>
    <w:rsid w:val="00C10040"/>
    <w:rsid w:val="00C10384"/>
    <w:rsid w:val="00C10AEC"/>
    <w:rsid w:val="00C12826"/>
    <w:rsid w:val="00C130A7"/>
    <w:rsid w:val="00C14400"/>
    <w:rsid w:val="00C157EA"/>
    <w:rsid w:val="00C159C2"/>
    <w:rsid w:val="00C16323"/>
    <w:rsid w:val="00C163B4"/>
    <w:rsid w:val="00C20154"/>
    <w:rsid w:val="00C20294"/>
    <w:rsid w:val="00C21ED9"/>
    <w:rsid w:val="00C220C1"/>
    <w:rsid w:val="00C228DA"/>
    <w:rsid w:val="00C2337A"/>
    <w:rsid w:val="00C23E29"/>
    <w:rsid w:val="00C24435"/>
    <w:rsid w:val="00C2465B"/>
    <w:rsid w:val="00C24678"/>
    <w:rsid w:val="00C24A98"/>
    <w:rsid w:val="00C24B7A"/>
    <w:rsid w:val="00C24FC8"/>
    <w:rsid w:val="00C25206"/>
    <w:rsid w:val="00C263F6"/>
    <w:rsid w:val="00C2689C"/>
    <w:rsid w:val="00C26924"/>
    <w:rsid w:val="00C27868"/>
    <w:rsid w:val="00C30D44"/>
    <w:rsid w:val="00C3164B"/>
    <w:rsid w:val="00C319C7"/>
    <w:rsid w:val="00C31E96"/>
    <w:rsid w:val="00C323AC"/>
    <w:rsid w:val="00C327F6"/>
    <w:rsid w:val="00C32A78"/>
    <w:rsid w:val="00C334CF"/>
    <w:rsid w:val="00C33979"/>
    <w:rsid w:val="00C33CF9"/>
    <w:rsid w:val="00C35576"/>
    <w:rsid w:val="00C36476"/>
    <w:rsid w:val="00C40C4A"/>
    <w:rsid w:val="00C42529"/>
    <w:rsid w:val="00C45EA9"/>
    <w:rsid w:val="00C465FE"/>
    <w:rsid w:val="00C46B77"/>
    <w:rsid w:val="00C472DB"/>
    <w:rsid w:val="00C472DF"/>
    <w:rsid w:val="00C500EE"/>
    <w:rsid w:val="00C51F46"/>
    <w:rsid w:val="00C535FE"/>
    <w:rsid w:val="00C54A47"/>
    <w:rsid w:val="00C56534"/>
    <w:rsid w:val="00C565CD"/>
    <w:rsid w:val="00C60293"/>
    <w:rsid w:val="00C60BF8"/>
    <w:rsid w:val="00C60CA9"/>
    <w:rsid w:val="00C61BD5"/>
    <w:rsid w:val="00C62978"/>
    <w:rsid w:val="00C64F77"/>
    <w:rsid w:val="00C651FC"/>
    <w:rsid w:val="00C66961"/>
    <w:rsid w:val="00C66BA3"/>
    <w:rsid w:val="00C66E3D"/>
    <w:rsid w:val="00C67443"/>
    <w:rsid w:val="00C71351"/>
    <w:rsid w:val="00C718A1"/>
    <w:rsid w:val="00C7270B"/>
    <w:rsid w:val="00C72C8C"/>
    <w:rsid w:val="00C74FE8"/>
    <w:rsid w:val="00C75081"/>
    <w:rsid w:val="00C76C92"/>
    <w:rsid w:val="00C777BC"/>
    <w:rsid w:val="00C778FF"/>
    <w:rsid w:val="00C77D4E"/>
    <w:rsid w:val="00C8010D"/>
    <w:rsid w:val="00C802CB"/>
    <w:rsid w:val="00C81123"/>
    <w:rsid w:val="00C81F89"/>
    <w:rsid w:val="00C84817"/>
    <w:rsid w:val="00C8552D"/>
    <w:rsid w:val="00C856CC"/>
    <w:rsid w:val="00C86033"/>
    <w:rsid w:val="00C870D8"/>
    <w:rsid w:val="00C900E3"/>
    <w:rsid w:val="00C90763"/>
    <w:rsid w:val="00C91A7F"/>
    <w:rsid w:val="00C927F5"/>
    <w:rsid w:val="00C93F4D"/>
    <w:rsid w:val="00C94532"/>
    <w:rsid w:val="00C94F27"/>
    <w:rsid w:val="00C95178"/>
    <w:rsid w:val="00C95EB0"/>
    <w:rsid w:val="00C96DC8"/>
    <w:rsid w:val="00C97D00"/>
    <w:rsid w:val="00CA092F"/>
    <w:rsid w:val="00CA2BD0"/>
    <w:rsid w:val="00CA2FFA"/>
    <w:rsid w:val="00CA3344"/>
    <w:rsid w:val="00CA444C"/>
    <w:rsid w:val="00CA4629"/>
    <w:rsid w:val="00CA50E8"/>
    <w:rsid w:val="00CB1754"/>
    <w:rsid w:val="00CB187F"/>
    <w:rsid w:val="00CB3D6B"/>
    <w:rsid w:val="00CB5954"/>
    <w:rsid w:val="00CB7A09"/>
    <w:rsid w:val="00CB7BDB"/>
    <w:rsid w:val="00CC0A79"/>
    <w:rsid w:val="00CC1128"/>
    <w:rsid w:val="00CC1CEF"/>
    <w:rsid w:val="00CC1FA9"/>
    <w:rsid w:val="00CC20E4"/>
    <w:rsid w:val="00CC23D9"/>
    <w:rsid w:val="00CC5D29"/>
    <w:rsid w:val="00CC5D33"/>
    <w:rsid w:val="00CC5DAA"/>
    <w:rsid w:val="00CC6103"/>
    <w:rsid w:val="00CC7EDA"/>
    <w:rsid w:val="00CD0B61"/>
    <w:rsid w:val="00CD1EA1"/>
    <w:rsid w:val="00CD2429"/>
    <w:rsid w:val="00CD372A"/>
    <w:rsid w:val="00CD3C1B"/>
    <w:rsid w:val="00CD3D32"/>
    <w:rsid w:val="00CD66BE"/>
    <w:rsid w:val="00CD7881"/>
    <w:rsid w:val="00CE063F"/>
    <w:rsid w:val="00CE10DA"/>
    <w:rsid w:val="00CE1253"/>
    <w:rsid w:val="00CE1646"/>
    <w:rsid w:val="00CE1F2E"/>
    <w:rsid w:val="00CE2740"/>
    <w:rsid w:val="00CE3BC1"/>
    <w:rsid w:val="00CE4054"/>
    <w:rsid w:val="00CE5288"/>
    <w:rsid w:val="00CE5709"/>
    <w:rsid w:val="00CE5977"/>
    <w:rsid w:val="00CE76B5"/>
    <w:rsid w:val="00CF04FB"/>
    <w:rsid w:val="00CF0FD3"/>
    <w:rsid w:val="00CF19E9"/>
    <w:rsid w:val="00CF1CA5"/>
    <w:rsid w:val="00CF1F78"/>
    <w:rsid w:val="00CF33E8"/>
    <w:rsid w:val="00CF5041"/>
    <w:rsid w:val="00CF5A2B"/>
    <w:rsid w:val="00CF7723"/>
    <w:rsid w:val="00CF778C"/>
    <w:rsid w:val="00D00666"/>
    <w:rsid w:val="00D02250"/>
    <w:rsid w:val="00D03719"/>
    <w:rsid w:val="00D03881"/>
    <w:rsid w:val="00D03954"/>
    <w:rsid w:val="00D05362"/>
    <w:rsid w:val="00D05AE3"/>
    <w:rsid w:val="00D05D38"/>
    <w:rsid w:val="00D068FE"/>
    <w:rsid w:val="00D06CF9"/>
    <w:rsid w:val="00D11A13"/>
    <w:rsid w:val="00D12299"/>
    <w:rsid w:val="00D12CF8"/>
    <w:rsid w:val="00D1437F"/>
    <w:rsid w:val="00D14F2C"/>
    <w:rsid w:val="00D1709A"/>
    <w:rsid w:val="00D210E3"/>
    <w:rsid w:val="00D30E4F"/>
    <w:rsid w:val="00D3174D"/>
    <w:rsid w:val="00D3224F"/>
    <w:rsid w:val="00D32E8C"/>
    <w:rsid w:val="00D33203"/>
    <w:rsid w:val="00D35FD6"/>
    <w:rsid w:val="00D35FF5"/>
    <w:rsid w:val="00D4093E"/>
    <w:rsid w:val="00D40BC3"/>
    <w:rsid w:val="00D41E63"/>
    <w:rsid w:val="00D42173"/>
    <w:rsid w:val="00D42258"/>
    <w:rsid w:val="00D433AE"/>
    <w:rsid w:val="00D4477B"/>
    <w:rsid w:val="00D447AB"/>
    <w:rsid w:val="00D44F14"/>
    <w:rsid w:val="00D45939"/>
    <w:rsid w:val="00D463D4"/>
    <w:rsid w:val="00D467C9"/>
    <w:rsid w:val="00D5022D"/>
    <w:rsid w:val="00D5150B"/>
    <w:rsid w:val="00D51B11"/>
    <w:rsid w:val="00D5225E"/>
    <w:rsid w:val="00D53246"/>
    <w:rsid w:val="00D53772"/>
    <w:rsid w:val="00D543D8"/>
    <w:rsid w:val="00D553F7"/>
    <w:rsid w:val="00D55937"/>
    <w:rsid w:val="00D56833"/>
    <w:rsid w:val="00D56BB2"/>
    <w:rsid w:val="00D57BB6"/>
    <w:rsid w:val="00D60423"/>
    <w:rsid w:val="00D61BEA"/>
    <w:rsid w:val="00D622BB"/>
    <w:rsid w:val="00D6241B"/>
    <w:rsid w:val="00D6351A"/>
    <w:rsid w:val="00D64302"/>
    <w:rsid w:val="00D64809"/>
    <w:rsid w:val="00D64BD0"/>
    <w:rsid w:val="00D65630"/>
    <w:rsid w:val="00D67797"/>
    <w:rsid w:val="00D70408"/>
    <w:rsid w:val="00D713D1"/>
    <w:rsid w:val="00D717BF"/>
    <w:rsid w:val="00D73376"/>
    <w:rsid w:val="00D7529B"/>
    <w:rsid w:val="00D76794"/>
    <w:rsid w:val="00D767E3"/>
    <w:rsid w:val="00D76AD5"/>
    <w:rsid w:val="00D77240"/>
    <w:rsid w:val="00D86A2D"/>
    <w:rsid w:val="00D86AD8"/>
    <w:rsid w:val="00D86DE0"/>
    <w:rsid w:val="00D86FF7"/>
    <w:rsid w:val="00D87578"/>
    <w:rsid w:val="00D87697"/>
    <w:rsid w:val="00D87E58"/>
    <w:rsid w:val="00D90BC2"/>
    <w:rsid w:val="00D91074"/>
    <w:rsid w:val="00D91DF3"/>
    <w:rsid w:val="00D92CD3"/>
    <w:rsid w:val="00D93948"/>
    <w:rsid w:val="00D939BD"/>
    <w:rsid w:val="00D9477B"/>
    <w:rsid w:val="00D957F3"/>
    <w:rsid w:val="00D96100"/>
    <w:rsid w:val="00D96213"/>
    <w:rsid w:val="00D972C0"/>
    <w:rsid w:val="00D9749F"/>
    <w:rsid w:val="00D97510"/>
    <w:rsid w:val="00D97529"/>
    <w:rsid w:val="00DA0C97"/>
    <w:rsid w:val="00DA1ABB"/>
    <w:rsid w:val="00DA2168"/>
    <w:rsid w:val="00DA2785"/>
    <w:rsid w:val="00DA31F3"/>
    <w:rsid w:val="00DA4DC9"/>
    <w:rsid w:val="00DA580A"/>
    <w:rsid w:val="00DA5AFA"/>
    <w:rsid w:val="00DA5DFC"/>
    <w:rsid w:val="00DB04A6"/>
    <w:rsid w:val="00DB0B2A"/>
    <w:rsid w:val="00DB10D9"/>
    <w:rsid w:val="00DB14B5"/>
    <w:rsid w:val="00DB1A8F"/>
    <w:rsid w:val="00DB237B"/>
    <w:rsid w:val="00DB24E9"/>
    <w:rsid w:val="00DB3088"/>
    <w:rsid w:val="00DB3496"/>
    <w:rsid w:val="00DB42E2"/>
    <w:rsid w:val="00DB4E4C"/>
    <w:rsid w:val="00DB7D26"/>
    <w:rsid w:val="00DC024A"/>
    <w:rsid w:val="00DC0263"/>
    <w:rsid w:val="00DC19E9"/>
    <w:rsid w:val="00DC24E6"/>
    <w:rsid w:val="00DC25AA"/>
    <w:rsid w:val="00DC4EC5"/>
    <w:rsid w:val="00DC54F2"/>
    <w:rsid w:val="00DC55B9"/>
    <w:rsid w:val="00DC6AFA"/>
    <w:rsid w:val="00DC7769"/>
    <w:rsid w:val="00DD1B70"/>
    <w:rsid w:val="00DD1CF1"/>
    <w:rsid w:val="00DD2356"/>
    <w:rsid w:val="00DD28F1"/>
    <w:rsid w:val="00DD442A"/>
    <w:rsid w:val="00DD4903"/>
    <w:rsid w:val="00DD4F00"/>
    <w:rsid w:val="00DD756F"/>
    <w:rsid w:val="00DE02B1"/>
    <w:rsid w:val="00DE0E85"/>
    <w:rsid w:val="00DE2C6C"/>
    <w:rsid w:val="00DE2CBB"/>
    <w:rsid w:val="00DE6166"/>
    <w:rsid w:val="00DE6397"/>
    <w:rsid w:val="00DE676A"/>
    <w:rsid w:val="00DE69F6"/>
    <w:rsid w:val="00DE7AC8"/>
    <w:rsid w:val="00DE7EC7"/>
    <w:rsid w:val="00DF13A0"/>
    <w:rsid w:val="00DF17CB"/>
    <w:rsid w:val="00DF2275"/>
    <w:rsid w:val="00DF2306"/>
    <w:rsid w:val="00DF24CE"/>
    <w:rsid w:val="00DF3EDB"/>
    <w:rsid w:val="00DF44B8"/>
    <w:rsid w:val="00DF512B"/>
    <w:rsid w:val="00DF5414"/>
    <w:rsid w:val="00DF5430"/>
    <w:rsid w:val="00DF59B6"/>
    <w:rsid w:val="00DF6EAE"/>
    <w:rsid w:val="00DF70B1"/>
    <w:rsid w:val="00DF7261"/>
    <w:rsid w:val="00E001DC"/>
    <w:rsid w:val="00E00454"/>
    <w:rsid w:val="00E01976"/>
    <w:rsid w:val="00E04580"/>
    <w:rsid w:val="00E045CA"/>
    <w:rsid w:val="00E04943"/>
    <w:rsid w:val="00E05BBD"/>
    <w:rsid w:val="00E05DFC"/>
    <w:rsid w:val="00E05F67"/>
    <w:rsid w:val="00E07895"/>
    <w:rsid w:val="00E110DB"/>
    <w:rsid w:val="00E1127E"/>
    <w:rsid w:val="00E15D7F"/>
    <w:rsid w:val="00E15E32"/>
    <w:rsid w:val="00E16C81"/>
    <w:rsid w:val="00E16C90"/>
    <w:rsid w:val="00E2154A"/>
    <w:rsid w:val="00E2175C"/>
    <w:rsid w:val="00E232D4"/>
    <w:rsid w:val="00E23AC3"/>
    <w:rsid w:val="00E2437C"/>
    <w:rsid w:val="00E25983"/>
    <w:rsid w:val="00E26844"/>
    <w:rsid w:val="00E27089"/>
    <w:rsid w:val="00E273BC"/>
    <w:rsid w:val="00E273F0"/>
    <w:rsid w:val="00E30743"/>
    <w:rsid w:val="00E310F2"/>
    <w:rsid w:val="00E32B13"/>
    <w:rsid w:val="00E339CD"/>
    <w:rsid w:val="00E35E39"/>
    <w:rsid w:val="00E36B90"/>
    <w:rsid w:val="00E378ED"/>
    <w:rsid w:val="00E37A5C"/>
    <w:rsid w:val="00E40353"/>
    <w:rsid w:val="00E41AAA"/>
    <w:rsid w:val="00E440ED"/>
    <w:rsid w:val="00E44413"/>
    <w:rsid w:val="00E45D6C"/>
    <w:rsid w:val="00E45ED1"/>
    <w:rsid w:val="00E45F70"/>
    <w:rsid w:val="00E4622E"/>
    <w:rsid w:val="00E46831"/>
    <w:rsid w:val="00E46E8C"/>
    <w:rsid w:val="00E47203"/>
    <w:rsid w:val="00E47336"/>
    <w:rsid w:val="00E505FF"/>
    <w:rsid w:val="00E516E6"/>
    <w:rsid w:val="00E52B74"/>
    <w:rsid w:val="00E54A54"/>
    <w:rsid w:val="00E56475"/>
    <w:rsid w:val="00E5754F"/>
    <w:rsid w:val="00E57E17"/>
    <w:rsid w:val="00E57E6E"/>
    <w:rsid w:val="00E61F63"/>
    <w:rsid w:val="00E622EE"/>
    <w:rsid w:val="00E62791"/>
    <w:rsid w:val="00E6296C"/>
    <w:rsid w:val="00E62DA4"/>
    <w:rsid w:val="00E6608D"/>
    <w:rsid w:val="00E6612B"/>
    <w:rsid w:val="00E66296"/>
    <w:rsid w:val="00E66656"/>
    <w:rsid w:val="00E66D4E"/>
    <w:rsid w:val="00E67731"/>
    <w:rsid w:val="00E70127"/>
    <w:rsid w:val="00E707A4"/>
    <w:rsid w:val="00E70A68"/>
    <w:rsid w:val="00E70FA7"/>
    <w:rsid w:val="00E71808"/>
    <w:rsid w:val="00E73A86"/>
    <w:rsid w:val="00E73E87"/>
    <w:rsid w:val="00E74A3D"/>
    <w:rsid w:val="00E75AAB"/>
    <w:rsid w:val="00E75F6D"/>
    <w:rsid w:val="00E80B81"/>
    <w:rsid w:val="00E816F6"/>
    <w:rsid w:val="00E81919"/>
    <w:rsid w:val="00E81EFD"/>
    <w:rsid w:val="00E82F31"/>
    <w:rsid w:val="00E836D8"/>
    <w:rsid w:val="00E83A47"/>
    <w:rsid w:val="00E84135"/>
    <w:rsid w:val="00E84209"/>
    <w:rsid w:val="00E861D9"/>
    <w:rsid w:val="00E86526"/>
    <w:rsid w:val="00E86FCE"/>
    <w:rsid w:val="00E8740A"/>
    <w:rsid w:val="00E90DDF"/>
    <w:rsid w:val="00E91130"/>
    <w:rsid w:val="00E912F2"/>
    <w:rsid w:val="00E921CB"/>
    <w:rsid w:val="00E92D2D"/>
    <w:rsid w:val="00E92D67"/>
    <w:rsid w:val="00E92DC1"/>
    <w:rsid w:val="00E93AAE"/>
    <w:rsid w:val="00E93EB5"/>
    <w:rsid w:val="00E96193"/>
    <w:rsid w:val="00E9730F"/>
    <w:rsid w:val="00EA02A0"/>
    <w:rsid w:val="00EA31DA"/>
    <w:rsid w:val="00EA70E9"/>
    <w:rsid w:val="00EB0015"/>
    <w:rsid w:val="00EB1F01"/>
    <w:rsid w:val="00EB22D8"/>
    <w:rsid w:val="00EB4B95"/>
    <w:rsid w:val="00EB4F74"/>
    <w:rsid w:val="00EB58A2"/>
    <w:rsid w:val="00EB64DC"/>
    <w:rsid w:val="00EC205D"/>
    <w:rsid w:val="00EC4373"/>
    <w:rsid w:val="00EC46A1"/>
    <w:rsid w:val="00EC55BC"/>
    <w:rsid w:val="00EC5EC6"/>
    <w:rsid w:val="00EC6248"/>
    <w:rsid w:val="00EC6376"/>
    <w:rsid w:val="00EC6A38"/>
    <w:rsid w:val="00EC6AA4"/>
    <w:rsid w:val="00EC6B14"/>
    <w:rsid w:val="00EC6D54"/>
    <w:rsid w:val="00ED0B8B"/>
    <w:rsid w:val="00ED109F"/>
    <w:rsid w:val="00ED11CC"/>
    <w:rsid w:val="00ED2342"/>
    <w:rsid w:val="00ED2FC1"/>
    <w:rsid w:val="00ED35ED"/>
    <w:rsid w:val="00ED4098"/>
    <w:rsid w:val="00ED609D"/>
    <w:rsid w:val="00ED6155"/>
    <w:rsid w:val="00ED68AD"/>
    <w:rsid w:val="00ED7536"/>
    <w:rsid w:val="00EE039C"/>
    <w:rsid w:val="00EE061C"/>
    <w:rsid w:val="00EE0AF4"/>
    <w:rsid w:val="00EE12C5"/>
    <w:rsid w:val="00EE2C39"/>
    <w:rsid w:val="00EE30B4"/>
    <w:rsid w:val="00EE33CE"/>
    <w:rsid w:val="00EE3609"/>
    <w:rsid w:val="00EE3C2D"/>
    <w:rsid w:val="00EE3D47"/>
    <w:rsid w:val="00EE3D8B"/>
    <w:rsid w:val="00EE4AF0"/>
    <w:rsid w:val="00EE5E3B"/>
    <w:rsid w:val="00EE7C23"/>
    <w:rsid w:val="00EF1580"/>
    <w:rsid w:val="00EF175F"/>
    <w:rsid w:val="00EF1E81"/>
    <w:rsid w:val="00EF25B4"/>
    <w:rsid w:val="00EF4C28"/>
    <w:rsid w:val="00EF539B"/>
    <w:rsid w:val="00EF5879"/>
    <w:rsid w:val="00EF626D"/>
    <w:rsid w:val="00EF6D84"/>
    <w:rsid w:val="00EF7F37"/>
    <w:rsid w:val="00EF7F97"/>
    <w:rsid w:val="00F01F7E"/>
    <w:rsid w:val="00F02882"/>
    <w:rsid w:val="00F03504"/>
    <w:rsid w:val="00F065F0"/>
    <w:rsid w:val="00F06FFC"/>
    <w:rsid w:val="00F07183"/>
    <w:rsid w:val="00F0719F"/>
    <w:rsid w:val="00F074E7"/>
    <w:rsid w:val="00F07CC6"/>
    <w:rsid w:val="00F11EA1"/>
    <w:rsid w:val="00F1366D"/>
    <w:rsid w:val="00F13B0E"/>
    <w:rsid w:val="00F14B30"/>
    <w:rsid w:val="00F15F0A"/>
    <w:rsid w:val="00F16591"/>
    <w:rsid w:val="00F16C68"/>
    <w:rsid w:val="00F16F89"/>
    <w:rsid w:val="00F174B2"/>
    <w:rsid w:val="00F216CD"/>
    <w:rsid w:val="00F2178D"/>
    <w:rsid w:val="00F227F8"/>
    <w:rsid w:val="00F25CC7"/>
    <w:rsid w:val="00F31EE0"/>
    <w:rsid w:val="00F320D1"/>
    <w:rsid w:val="00F328FE"/>
    <w:rsid w:val="00F33B7A"/>
    <w:rsid w:val="00F3407A"/>
    <w:rsid w:val="00F3451C"/>
    <w:rsid w:val="00F347D0"/>
    <w:rsid w:val="00F3577C"/>
    <w:rsid w:val="00F35FD5"/>
    <w:rsid w:val="00F36646"/>
    <w:rsid w:val="00F371FD"/>
    <w:rsid w:val="00F37579"/>
    <w:rsid w:val="00F379E6"/>
    <w:rsid w:val="00F37E7E"/>
    <w:rsid w:val="00F405C2"/>
    <w:rsid w:val="00F408BB"/>
    <w:rsid w:val="00F417F0"/>
    <w:rsid w:val="00F41E90"/>
    <w:rsid w:val="00F4385D"/>
    <w:rsid w:val="00F44202"/>
    <w:rsid w:val="00F44A1D"/>
    <w:rsid w:val="00F46ED7"/>
    <w:rsid w:val="00F5092A"/>
    <w:rsid w:val="00F50D8B"/>
    <w:rsid w:val="00F542F1"/>
    <w:rsid w:val="00F55DBB"/>
    <w:rsid w:val="00F564B3"/>
    <w:rsid w:val="00F566C2"/>
    <w:rsid w:val="00F57677"/>
    <w:rsid w:val="00F601BA"/>
    <w:rsid w:val="00F60636"/>
    <w:rsid w:val="00F60B6A"/>
    <w:rsid w:val="00F60CEC"/>
    <w:rsid w:val="00F61469"/>
    <w:rsid w:val="00F6258C"/>
    <w:rsid w:val="00F6326B"/>
    <w:rsid w:val="00F633AB"/>
    <w:rsid w:val="00F63B4F"/>
    <w:rsid w:val="00F640EC"/>
    <w:rsid w:val="00F64654"/>
    <w:rsid w:val="00F6472D"/>
    <w:rsid w:val="00F65AEC"/>
    <w:rsid w:val="00F6786D"/>
    <w:rsid w:val="00F717A4"/>
    <w:rsid w:val="00F72E89"/>
    <w:rsid w:val="00F73860"/>
    <w:rsid w:val="00F73C23"/>
    <w:rsid w:val="00F73ED2"/>
    <w:rsid w:val="00F74423"/>
    <w:rsid w:val="00F757C7"/>
    <w:rsid w:val="00F75BE6"/>
    <w:rsid w:val="00F75FB7"/>
    <w:rsid w:val="00F76699"/>
    <w:rsid w:val="00F76BF7"/>
    <w:rsid w:val="00F76F38"/>
    <w:rsid w:val="00F80325"/>
    <w:rsid w:val="00F80F17"/>
    <w:rsid w:val="00F81C5E"/>
    <w:rsid w:val="00F822E7"/>
    <w:rsid w:val="00F82E61"/>
    <w:rsid w:val="00F8488C"/>
    <w:rsid w:val="00F84C1C"/>
    <w:rsid w:val="00F84C2B"/>
    <w:rsid w:val="00F852F7"/>
    <w:rsid w:val="00F85A20"/>
    <w:rsid w:val="00F85C7F"/>
    <w:rsid w:val="00F860FB"/>
    <w:rsid w:val="00F90229"/>
    <w:rsid w:val="00F9061B"/>
    <w:rsid w:val="00F912C8"/>
    <w:rsid w:val="00F921C5"/>
    <w:rsid w:val="00F9288E"/>
    <w:rsid w:val="00F94FCF"/>
    <w:rsid w:val="00F95720"/>
    <w:rsid w:val="00F972BC"/>
    <w:rsid w:val="00F97AA3"/>
    <w:rsid w:val="00FA0514"/>
    <w:rsid w:val="00FA120A"/>
    <w:rsid w:val="00FA1D25"/>
    <w:rsid w:val="00FA30F4"/>
    <w:rsid w:val="00FA39BB"/>
    <w:rsid w:val="00FA4457"/>
    <w:rsid w:val="00FA4B1B"/>
    <w:rsid w:val="00FA5576"/>
    <w:rsid w:val="00FA623D"/>
    <w:rsid w:val="00FA6B2F"/>
    <w:rsid w:val="00FA7AB0"/>
    <w:rsid w:val="00FB0807"/>
    <w:rsid w:val="00FB0811"/>
    <w:rsid w:val="00FB1EDD"/>
    <w:rsid w:val="00FB26DE"/>
    <w:rsid w:val="00FB3656"/>
    <w:rsid w:val="00FB3981"/>
    <w:rsid w:val="00FB4671"/>
    <w:rsid w:val="00FB4A79"/>
    <w:rsid w:val="00FB5EEE"/>
    <w:rsid w:val="00FB6FB2"/>
    <w:rsid w:val="00FC0C91"/>
    <w:rsid w:val="00FC15A7"/>
    <w:rsid w:val="00FC1B54"/>
    <w:rsid w:val="00FC25A7"/>
    <w:rsid w:val="00FC26EC"/>
    <w:rsid w:val="00FC3B40"/>
    <w:rsid w:val="00FC4636"/>
    <w:rsid w:val="00FC473F"/>
    <w:rsid w:val="00FC4E95"/>
    <w:rsid w:val="00FC4E98"/>
    <w:rsid w:val="00FC5B18"/>
    <w:rsid w:val="00FC695C"/>
    <w:rsid w:val="00FD0155"/>
    <w:rsid w:val="00FD09B0"/>
    <w:rsid w:val="00FD2681"/>
    <w:rsid w:val="00FD2C25"/>
    <w:rsid w:val="00FD2CCE"/>
    <w:rsid w:val="00FD499A"/>
    <w:rsid w:val="00FD59BA"/>
    <w:rsid w:val="00FD6650"/>
    <w:rsid w:val="00FD7345"/>
    <w:rsid w:val="00FD7A03"/>
    <w:rsid w:val="00FE0585"/>
    <w:rsid w:val="00FE06FC"/>
    <w:rsid w:val="00FE1487"/>
    <w:rsid w:val="00FE2671"/>
    <w:rsid w:val="00FE2AF9"/>
    <w:rsid w:val="00FE4685"/>
    <w:rsid w:val="00FE4823"/>
    <w:rsid w:val="00FE5658"/>
    <w:rsid w:val="00FE6C0E"/>
    <w:rsid w:val="00FF05AE"/>
    <w:rsid w:val="00FF077A"/>
    <w:rsid w:val="00FF2A30"/>
    <w:rsid w:val="00FF2E82"/>
    <w:rsid w:val="00FF2F89"/>
    <w:rsid w:val="00FF342D"/>
    <w:rsid w:val="00FF4A5A"/>
    <w:rsid w:val="00FF4E57"/>
    <w:rsid w:val="00FF58B8"/>
    <w:rsid w:val="00FF596F"/>
    <w:rsid w:val="00FF6316"/>
    <w:rsid w:val="00FF6A80"/>
    <w:rsid w:val="00FF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0996350"/>
  <w15:chartTrackingRefBased/>
  <w15:docId w15:val="{95D2C398-069D-4A83-B76E-5299BCE0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rPr>
  </w:style>
  <w:style w:type="paragraph" w:styleId="Heading1">
    <w:name w:val="heading 1"/>
    <w:basedOn w:val="Normal"/>
    <w:next w:val="Normal"/>
    <w:link w:val="Heading1Char"/>
    <w:qFormat/>
    <w:rsid w:val="009D1904"/>
    <w:pPr>
      <w:keepNext/>
      <w:spacing w:before="60" w:after="60"/>
      <w:jc w:val="center"/>
      <w:outlineLvl w:val="0"/>
    </w:pPr>
    <w:rPr>
      <w:rFonts w:ascii="Times New Roman" w:eastAsia="Malgun Gothic" w:hAnsi="Times New Roman" w:cs="Vrinda"/>
      <w:b/>
      <w:bCs/>
      <w:kern w:val="32"/>
      <w:sz w:val="28"/>
      <w:szCs w:val="32"/>
    </w:rPr>
  </w:style>
  <w:style w:type="paragraph" w:styleId="Heading2">
    <w:name w:val="heading 2"/>
    <w:basedOn w:val="Normal"/>
    <w:next w:val="Normal"/>
    <w:link w:val="Heading2Char"/>
    <w:autoRedefine/>
    <w:uiPriority w:val="9"/>
    <w:unhideWhenUsed/>
    <w:qFormat/>
    <w:rsid w:val="00F60636"/>
    <w:pPr>
      <w:keepNext/>
      <w:widowControl/>
      <w:spacing w:after="60" w:line="264" w:lineRule="auto"/>
      <w:contextualSpacing/>
      <w:jc w:val="center"/>
      <w:outlineLvl w:val="1"/>
    </w:pPr>
    <w:rPr>
      <w:rFonts w:ascii="Times New Roman" w:hAnsi="Times New Roman" w:cs="Times New Roman"/>
      <w:b/>
      <w:sz w:val="28"/>
      <w:szCs w:val="28"/>
    </w:rPr>
  </w:style>
  <w:style w:type="paragraph" w:styleId="Heading3">
    <w:name w:val="heading 3"/>
    <w:basedOn w:val="Normal"/>
    <w:next w:val="Normal"/>
    <w:link w:val="Heading3Char"/>
    <w:uiPriority w:val="9"/>
    <w:unhideWhenUsed/>
    <w:qFormat/>
    <w:rsid w:val="009D1904"/>
    <w:pPr>
      <w:keepNext/>
      <w:widowControl/>
      <w:spacing w:line="312" w:lineRule="auto"/>
      <w:ind w:firstLine="567"/>
      <w:contextualSpacing/>
      <w:jc w:val="both"/>
      <w:outlineLvl w:val="2"/>
    </w:pPr>
    <w:rPr>
      <w:rFonts w:ascii="Times New Roman Bold" w:eastAsia="Times New Roman" w:hAnsi="Times New Roman Bold" w:cs="Times New Roman"/>
      <w:color w:val="auto"/>
      <w:sz w:val="28"/>
      <w:szCs w:val="28"/>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Bodytext2">
    <w:name w:val="Body text (2)_"/>
    <w:link w:val="Bodytext21"/>
    <w:uiPriority w:val="99"/>
    <w:rPr>
      <w:rFonts w:ascii="Times New Roman" w:hAnsi="Times New Roman" w:cs="Times New Roman"/>
      <w:b/>
      <w:bCs/>
      <w:spacing w:val="13"/>
      <w:sz w:val="23"/>
      <w:szCs w:val="23"/>
      <w:u w:val="none"/>
    </w:rPr>
  </w:style>
  <w:style w:type="character" w:customStyle="1" w:styleId="Bodytext20">
    <w:name w:val="Body text (2)"/>
    <w:rPr>
      <w:rFonts w:ascii="Times New Roman" w:hAnsi="Times New Roman" w:cs="Times New Roman"/>
      <w:b/>
      <w:bCs/>
      <w:spacing w:val="13"/>
      <w:sz w:val="23"/>
      <w:szCs w:val="23"/>
      <w:u w:val="single"/>
    </w:rPr>
  </w:style>
  <w:style w:type="character" w:customStyle="1" w:styleId="Bodytext">
    <w:name w:val="Body text_"/>
    <w:link w:val="BodyText1"/>
    <w:rPr>
      <w:rFonts w:ascii="Times New Roman" w:hAnsi="Times New Roman" w:cs="Times New Roman"/>
      <w:spacing w:val="10"/>
      <w:sz w:val="23"/>
      <w:szCs w:val="23"/>
      <w:u w:val="none"/>
    </w:rPr>
  </w:style>
  <w:style w:type="character" w:customStyle="1" w:styleId="BodytextItalic">
    <w:name w:val="Body text + Italic"/>
    <w:aliases w:val="Spacing 0 pt"/>
    <w:rPr>
      <w:rFonts w:ascii="Times New Roman" w:hAnsi="Times New Roman" w:cs="Times New Roman"/>
      <w:i/>
      <w:iCs/>
      <w:spacing w:val="2"/>
      <w:sz w:val="23"/>
      <w:szCs w:val="23"/>
      <w:u w:val="none"/>
    </w:rPr>
  </w:style>
  <w:style w:type="character" w:customStyle="1" w:styleId="Bodytext3">
    <w:name w:val="Body text (3)_"/>
    <w:link w:val="Bodytext30"/>
    <w:rPr>
      <w:rFonts w:ascii="Times New Roman" w:hAnsi="Times New Roman" w:cs="Times New Roman"/>
      <w:i/>
      <w:iCs/>
      <w:spacing w:val="2"/>
      <w:sz w:val="23"/>
      <w:szCs w:val="23"/>
      <w:u w:val="none"/>
    </w:rPr>
  </w:style>
  <w:style w:type="character" w:customStyle="1" w:styleId="Bodytext3Spacing-1pt">
    <w:name w:val="Body text (3) + Spacing -1 pt"/>
    <w:rPr>
      <w:rFonts w:ascii="Times New Roman" w:hAnsi="Times New Roman" w:cs="Times New Roman"/>
      <w:i/>
      <w:iCs/>
      <w:spacing w:val="-30"/>
      <w:sz w:val="23"/>
      <w:szCs w:val="23"/>
      <w:u w:val="none"/>
    </w:rPr>
  </w:style>
  <w:style w:type="character" w:customStyle="1" w:styleId="Heading72">
    <w:name w:val="Heading #7 (2)_"/>
    <w:link w:val="Heading720"/>
    <w:rPr>
      <w:rFonts w:ascii="CordiaUPC" w:hAnsi="CordiaUPC" w:cs="CordiaUPC"/>
      <w:b/>
      <w:bCs/>
      <w:i/>
      <w:iCs/>
      <w:spacing w:val="4"/>
      <w:sz w:val="35"/>
      <w:szCs w:val="35"/>
      <w:u w:val="none"/>
    </w:rPr>
  </w:style>
  <w:style w:type="character" w:customStyle="1" w:styleId="Heading72Spacing0pt">
    <w:name w:val="Heading #7 (2) + Spacing 0 pt"/>
    <w:rPr>
      <w:rFonts w:ascii="CordiaUPC" w:hAnsi="CordiaUPC" w:cs="CordiaUPC"/>
      <w:b/>
      <w:bCs/>
      <w:i/>
      <w:iCs/>
      <w:noProof/>
      <w:spacing w:val="0"/>
      <w:sz w:val="35"/>
      <w:szCs w:val="35"/>
      <w:u w:val="none"/>
    </w:rPr>
  </w:style>
  <w:style w:type="character" w:customStyle="1" w:styleId="Bodytext4">
    <w:name w:val="Body text (4)_"/>
    <w:link w:val="Bodytext40"/>
    <w:rPr>
      <w:rFonts w:ascii="Consolas" w:hAnsi="Consolas" w:cs="Consolas"/>
      <w:noProof/>
      <w:sz w:val="10"/>
      <w:szCs w:val="10"/>
      <w:u w:val="none"/>
    </w:rPr>
  </w:style>
  <w:style w:type="character" w:customStyle="1" w:styleId="Headerorfooter">
    <w:name w:val="Header or footer_"/>
    <w:link w:val="Headerorfooter0"/>
    <w:rPr>
      <w:rFonts w:ascii="Times New Roman" w:hAnsi="Times New Roman" w:cs="Times New Roman"/>
      <w:spacing w:val="14"/>
      <w:sz w:val="20"/>
      <w:szCs w:val="20"/>
      <w:u w:val="none"/>
    </w:rPr>
  </w:style>
  <w:style w:type="character" w:customStyle="1" w:styleId="Bodytext5">
    <w:name w:val="Body text (5)_"/>
    <w:link w:val="Bodytext50"/>
    <w:rPr>
      <w:rFonts w:ascii="Corbel" w:hAnsi="Corbel" w:cs="Corbel"/>
      <w:noProof/>
      <w:sz w:val="15"/>
      <w:szCs w:val="15"/>
      <w:u w:val="none"/>
    </w:rPr>
  </w:style>
  <w:style w:type="character" w:customStyle="1" w:styleId="Bodytext2SmallCaps">
    <w:name w:val="Body text (2) + Small Caps"/>
    <w:rPr>
      <w:rFonts w:ascii="Times New Roman" w:hAnsi="Times New Roman" w:cs="Times New Roman"/>
      <w:b/>
      <w:bCs/>
      <w:smallCaps/>
      <w:spacing w:val="13"/>
      <w:sz w:val="23"/>
      <w:szCs w:val="23"/>
      <w:u w:val="none"/>
    </w:rPr>
  </w:style>
  <w:style w:type="character" w:customStyle="1" w:styleId="Heading4">
    <w:name w:val="Heading #4_"/>
    <w:link w:val="Heading40"/>
    <w:rPr>
      <w:rFonts w:ascii="Times New Roman" w:hAnsi="Times New Roman" w:cs="Times New Roman"/>
      <w:spacing w:val="13"/>
      <w:sz w:val="17"/>
      <w:szCs w:val="17"/>
      <w:u w:val="none"/>
    </w:rPr>
  </w:style>
  <w:style w:type="character" w:customStyle="1" w:styleId="Bodytext6">
    <w:name w:val="Body text (6)_"/>
    <w:link w:val="Bodytext60"/>
    <w:rPr>
      <w:rFonts w:ascii="Arial Narrow" w:hAnsi="Arial Narrow" w:cs="Arial Narrow"/>
      <w:spacing w:val="24"/>
      <w:sz w:val="18"/>
      <w:szCs w:val="18"/>
      <w:u w:val="none"/>
    </w:rPr>
  </w:style>
  <w:style w:type="character" w:customStyle="1" w:styleId="Heading8">
    <w:name w:val="Heading #8_"/>
    <w:link w:val="Heading81"/>
    <w:rPr>
      <w:rFonts w:ascii="Times New Roman" w:hAnsi="Times New Roman" w:cs="Times New Roman"/>
      <w:b/>
      <w:bCs/>
      <w:spacing w:val="13"/>
      <w:sz w:val="23"/>
      <w:szCs w:val="23"/>
      <w:u w:val="none"/>
    </w:rPr>
  </w:style>
  <w:style w:type="character" w:customStyle="1" w:styleId="Bodytext7">
    <w:name w:val="Body text (7)_"/>
    <w:link w:val="Bodytext70"/>
    <w:rPr>
      <w:rFonts w:ascii="Consolas" w:hAnsi="Consolas" w:cs="Consolas"/>
      <w:spacing w:val="6"/>
      <w:sz w:val="8"/>
      <w:szCs w:val="8"/>
      <w:u w:val="none"/>
    </w:rPr>
  </w:style>
  <w:style w:type="character" w:customStyle="1" w:styleId="Tableofcontents">
    <w:name w:val="Table of contents_"/>
    <w:link w:val="Tableofcontents0"/>
    <w:rPr>
      <w:rFonts w:ascii="Times New Roman" w:hAnsi="Times New Roman" w:cs="Times New Roman"/>
      <w:spacing w:val="10"/>
      <w:sz w:val="23"/>
      <w:szCs w:val="23"/>
      <w:u w:val="none"/>
    </w:rPr>
  </w:style>
  <w:style w:type="character" w:customStyle="1" w:styleId="TableofcontentsCandara">
    <w:name w:val="Table of contents + Candara"/>
    <w:aliases w:val="9.5 pt,Italic,Spacing 0 pt20"/>
    <w:rPr>
      <w:rFonts w:ascii="Candara" w:hAnsi="Candara" w:cs="Candara"/>
      <w:i/>
      <w:iCs/>
      <w:noProof/>
      <w:spacing w:val="0"/>
      <w:sz w:val="19"/>
      <w:szCs w:val="19"/>
      <w:u w:val="none"/>
    </w:rPr>
  </w:style>
  <w:style w:type="character" w:customStyle="1" w:styleId="Bodytext8">
    <w:name w:val="Body text (8)_"/>
    <w:link w:val="Bodytext81"/>
    <w:rPr>
      <w:rFonts w:ascii="Times New Roman" w:hAnsi="Times New Roman" w:cs="Times New Roman"/>
      <w:b/>
      <w:bCs/>
      <w:spacing w:val="9"/>
      <w:sz w:val="21"/>
      <w:szCs w:val="21"/>
      <w:u w:val="none"/>
    </w:rPr>
  </w:style>
  <w:style w:type="character" w:customStyle="1" w:styleId="Heading82">
    <w:name w:val="Heading #8 (2)_"/>
    <w:link w:val="Heading820"/>
    <w:rPr>
      <w:rFonts w:ascii="Times New Roman" w:hAnsi="Times New Roman" w:cs="Times New Roman"/>
      <w:b/>
      <w:bCs/>
      <w:spacing w:val="10"/>
      <w:sz w:val="25"/>
      <w:szCs w:val="25"/>
      <w:u w:val="none"/>
    </w:rPr>
  </w:style>
  <w:style w:type="character" w:customStyle="1" w:styleId="Bodytext2NotBold">
    <w:name w:val="Body text (2) + Not Bold"/>
    <w:aliases w:val="Italic4,Spacing 0 pt19"/>
    <w:rPr>
      <w:rFonts w:ascii="Times New Roman" w:hAnsi="Times New Roman" w:cs="Times New Roman"/>
      <w:b/>
      <w:bCs/>
      <w:i/>
      <w:iCs/>
      <w:noProof/>
      <w:spacing w:val="0"/>
      <w:sz w:val="23"/>
      <w:szCs w:val="23"/>
      <w:u w:val="none"/>
    </w:rPr>
  </w:style>
  <w:style w:type="character" w:customStyle="1" w:styleId="Bodytext9">
    <w:name w:val="Body text (9)_"/>
    <w:link w:val="Bodytext90"/>
    <w:rPr>
      <w:rFonts w:ascii="Times New Roman" w:hAnsi="Times New Roman" w:cs="Times New Roman"/>
      <w:spacing w:val="7"/>
      <w:sz w:val="20"/>
      <w:szCs w:val="20"/>
      <w:u w:val="none"/>
    </w:rPr>
  </w:style>
  <w:style w:type="character" w:customStyle="1" w:styleId="BodytextConsolas">
    <w:name w:val="Body text + Consolas"/>
    <w:aliases w:val="9.5 pt1,Spacing -1 pt"/>
    <w:rPr>
      <w:rFonts w:ascii="Consolas" w:hAnsi="Consolas" w:cs="Consolas"/>
      <w:spacing w:val="-20"/>
      <w:sz w:val="19"/>
      <w:szCs w:val="19"/>
      <w:u w:val="none"/>
    </w:rPr>
  </w:style>
  <w:style w:type="character" w:customStyle="1" w:styleId="Bodytext10">
    <w:name w:val="Body text (10)_"/>
    <w:link w:val="Bodytext100"/>
    <w:rPr>
      <w:rFonts w:ascii="Times New Roman" w:hAnsi="Times New Roman" w:cs="Times New Roman"/>
      <w:b/>
      <w:bCs/>
      <w:spacing w:val="10"/>
      <w:sz w:val="25"/>
      <w:szCs w:val="25"/>
      <w:u w:val="none"/>
    </w:rPr>
  </w:style>
  <w:style w:type="character" w:customStyle="1" w:styleId="Bodytext11">
    <w:name w:val="Body text (11)_"/>
    <w:link w:val="Bodytext110"/>
    <w:rPr>
      <w:rFonts w:ascii="Times New Roman" w:hAnsi="Times New Roman" w:cs="Times New Roman"/>
      <w:b/>
      <w:bCs/>
      <w:i/>
      <w:iCs/>
      <w:spacing w:val="2"/>
      <w:sz w:val="20"/>
      <w:szCs w:val="20"/>
      <w:u w:val="none"/>
    </w:rPr>
  </w:style>
  <w:style w:type="character" w:customStyle="1" w:styleId="Bodytext11NotBold">
    <w:name w:val="Body text (11) + Not Bold"/>
    <w:aliases w:val="Not Italic,Spacing 0 pt18"/>
    <w:rPr>
      <w:rFonts w:ascii="Times New Roman" w:hAnsi="Times New Roman" w:cs="Times New Roman"/>
      <w:b/>
      <w:bCs/>
      <w:i/>
      <w:iCs/>
      <w:spacing w:val="7"/>
      <w:sz w:val="20"/>
      <w:szCs w:val="20"/>
      <w:u w:val="none"/>
    </w:rPr>
  </w:style>
  <w:style w:type="character" w:customStyle="1" w:styleId="Bodytext9Bold">
    <w:name w:val="Body text (9) + Bold"/>
    <w:aliases w:val="Italic3,Spacing 0 pt17"/>
    <w:rPr>
      <w:rFonts w:ascii="Times New Roman" w:hAnsi="Times New Roman" w:cs="Times New Roman"/>
      <w:b/>
      <w:bCs/>
      <w:i/>
      <w:iCs/>
      <w:spacing w:val="2"/>
      <w:sz w:val="20"/>
      <w:szCs w:val="20"/>
      <w:u w:val="none"/>
    </w:rPr>
  </w:style>
  <w:style w:type="character" w:customStyle="1" w:styleId="Heading83">
    <w:name w:val="Heading #8 (3)_"/>
    <w:link w:val="Heading830"/>
    <w:rPr>
      <w:rFonts w:ascii="Times New Roman" w:hAnsi="Times New Roman" w:cs="Times New Roman"/>
      <w:b/>
      <w:bCs/>
      <w:spacing w:val="8"/>
      <w:sz w:val="26"/>
      <w:szCs w:val="26"/>
      <w:u w:val="none"/>
    </w:rPr>
  </w:style>
  <w:style w:type="character" w:customStyle="1" w:styleId="Bodytext12">
    <w:name w:val="Body text (12)_"/>
    <w:link w:val="Bodytext120"/>
    <w:rPr>
      <w:rFonts w:ascii="Times New Roman" w:hAnsi="Times New Roman" w:cs="Times New Roman"/>
      <w:b/>
      <w:bCs/>
      <w:i/>
      <w:iCs/>
      <w:spacing w:val="3"/>
      <w:sz w:val="23"/>
      <w:szCs w:val="23"/>
      <w:u w:val="none"/>
    </w:rPr>
  </w:style>
  <w:style w:type="character" w:customStyle="1" w:styleId="Bodytext12NotBold">
    <w:name w:val="Body text (12) + Not Bold"/>
    <w:aliases w:val="Not Italic3,Spacing 0 pt16"/>
    <w:rPr>
      <w:rFonts w:ascii="Times New Roman" w:hAnsi="Times New Roman" w:cs="Times New Roman"/>
      <w:b/>
      <w:bCs/>
      <w:i/>
      <w:iCs/>
      <w:spacing w:val="8"/>
      <w:sz w:val="23"/>
      <w:szCs w:val="23"/>
      <w:u w:val="none"/>
    </w:rPr>
  </w:style>
  <w:style w:type="character" w:customStyle="1" w:styleId="Bodytext3NotItalic">
    <w:name w:val="Body text (3) + Not Italic"/>
    <w:aliases w:val="Spacing 0 pt15"/>
    <w:rPr>
      <w:rFonts w:ascii="Times New Roman" w:hAnsi="Times New Roman" w:cs="Times New Roman"/>
      <w:i/>
      <w:iCs/>
      <w:spacing w:val="10"/>
      <w:sz w:val="23"/>
      <w:szCs w:val="23"/>
      <w:u w:val="none"/>
    </w:rPr>
  </w:style>
  <w:style w:type="character" w:customStyle="1" w:styleId="Bodytext3Bold">
    <w:name w:val="Body text (3) + Bold"/>
    <w:aliases w:val="Spacing 0 pt14"/>
    <w:rPr>
      <w:rFonts w:ascii="Times New Roman" w:hAnsi="Times New Roman" w:cs="Times New Roman"/>
      <w:b/>
      <w:bCs/>
      <w:i/>
      <w:iCs/>
      <w:spacing w:val="3"/>
      <w:sz w:val="23"/>
      <w:szCs w:val="23"/>
      <w:u w:val="none"/>
    </w:rPr>
  </w:style>
  <w:style w:type="character" w:customStyle="1" w:styleId="Heading8125pt">
    <w:name w:val="Heading #8 + 12.5 pt"/>
    <w:aliases w:val="Spacing 0 pt13"/>
    <w:rPr>
      <w:rFonts w:ascii="Times New Roman" w:hAnsi="Times New Roman" w:cs="Times New Roman"/>
      <w:b/>
      <w:bCs/>
      <w:spacing w:val="10"/>
      <w:sz w:val="25"/>
      <w:szCs w:val="25"/>
      <w:u w:val="none"/>
    </w:rPr>
  </w:style>
  <w:style w:type="character" w:customStyle="1" w:styleId="Heading73">
    <w:name w:val="Heading #7 (3)_"/>
    <w:link w:val="Heading730"/>
    <w:rPr>
      <w:rFonts w:ascii="Times New Roman" w:hAnsi="Times New Roman" w:cs="Times New Roman"/>
      <w:spacing w:val="14"/>
      <w:u w:val="none"/>
    </w:rPr>
  </w:style>
  <w:style w:type="character" w:customStyle="1" w:styleId="Heading73CordiaUPC">
    <w:name w:val="Heading #7 (3) + CordiaUPC"/>
    <w:aliases w:val="19.5 pt,Bold,Spacing 0 pt12"/>
    <w:rPr>
      <w:rFonts w:ascii="CordiaUPC" w:hAnsi="CordiaUPC" w:cs="CordiaUPC"/>
      <w:b/>
      <w:bCs/>
      <w:noProof/>
      <w:spacing w:val="0"/>
      <w:sz w:val="39"/>
      <w:szCs w:val="39"/>
      <w:u w:val="none"/>
    </w:rPr>
  </w:style>
  <w:style w:type="character" w:customStyle="1" w:styleId="Heading7">
    <w:name w:val="Heading #7_"/>
    <w:link w:val="Heading70"/>
    <w:rPr>
      <w:rFonts w:ascii="Times New Roman" w:hAnsi="Times New Roman" w:cs="Times New Roman"/>
      <w:b/>
      <w:bCs/>
      <w:i/>
      <w:iCs/>
      <w:spacing w:val="3"/>
      <w:sz w:val="23"/>
      <w:szCs w:val="23"/>
      <w:u w:val="none"/>
    </w:rPr>
  </w:style>
  <w:style w:type="character" w:customStyle="1" w:styleId="Heading7NotBold">
    <w:name w:val="Heading #7 + Not Bold"/>
    <w:aliases w:val="Not Italic2,Spacing 0 pt11"/>
    <w:rPr>
      <w:rFonts w:ascii="Times New Roman" w:hAnsi="Times New Roman" w:cs="Times New Roman"/>
      <w:b/>
      <w:bCs/>
      <w:i/>
      <w:iCs/>
      <w:spacing w:val="8"/>
      <w:sz w:val="23"/>
      <w:szCs w:val="23"/>
      <w:u w:val="none"/>
    </w:rPr>
  </w:style>
  <w:style w:type="character" w:customStyle="1" w:styleId="BodytextBold">
    <w:name w:val="Body text + Bold"/>
    <w:aliases w:val="Spacing 0 pt10"/>
    <w:rPr>
      <w:rFonts w:ascii="Times New Roman" w:hAnsi="Times New Roman" w:cs="Times New Roman"/>
      <w:b/>
      <w:bCs/>
      <w:spacing w:val="13"/>
      <w:sz w:val="23"/>
      <w:szCs w:val="23"/>
      <w:u w:val="none"/>
    </w:rPr>
  </w:style>
  <w:style w:type="character" w:customStyle="1" w:styleId="Bodytext12pt">
    <w:name w:val="Body text + 12 pt"/>
    <w:aliases w:val="Spacing 0 pt9"/>
    <w:rPr>
      <w:rFonts w:ascii="Times New Roman" w:hAnsi="Times New Roman" w:cs="Times New Roman"/>
      <w:spacing w:val="12"/>
      <w:sz w:val="24"/>
      <w:szCs w:val="24"/>
      <w:u w:val="none"/>
    </w:rPr>
  </w:style>
  <w:style w:type="character" w:customStyle="1" w:styleId="BodytextCorbel">
    <w:name w:val="Body text + Corbel"/>
    <w:aliases w:val="17 pt,Bold5,Italic2,Spacing -2 pt"/>
    <w:rPr>
      <w:rFonts w:ascii="Corbel" w:hAnsi="Corbel" w:cs="Corbel"/>
      <w:b/>
      <w:bCs/>
      <w:i/>
      <w:iCs/>
      <w:spacing w:val="-57"/>
      <w:sz w:val="34"/>
      <w:szCs w:val="34"/>
      <w:u w:val="none"/>
    </w:rPr>
  </w:style>
  <w:style w:type="character" w:customStyle="1" w:styleId="Bodytext3Spacing-1pt1">
    <w:name w:val="Body text (3) + Spacing -1 pt1"/>
    <w:rPr>
      <w:rFonts w:ascii="Times New Roman" w:hAnsi="Times New Roman" w:cs="Times New Roman"/>
      <w:i/>
      <w:iCs/>
      <w:spacing w:val="-30"/>
      <w:sz w:val="23"/>
      <w:szCs w:val="23"/>
      <w:u w:val="none"/>
    </w:rPr>
  </w:style>
  <w:style w:type="character" w:customStyle="1" w:styleId="Bodytext13">
    <w:name w:val="Body text (13)_"/>
    <w:link w:val="Bodytext130"/>
    <w:rPr>
      <w:rFonts w:ascii="Consolas" w:hAnsi="Consolas" w:cs="Consolas"/>
      <w:sz w:val="8"/>
      <w:szCs w:val="8"/>
      <w:u w:val="none"/>
    </w:rPr>
  </w:style>
  <w:style w:type="character" w:customStyle="1" w:styleId="Heading80">
    <w:name w:val="Heading #8"/>
    <w:rPr>
      <w:rFonts w:ascii="Times New Roman" w:hAnsi="Times New Roman" w:cs="Times New Roman"/>
      <w:b/>
      <w:bCs/>
      <w:spacing w:val="13"/>
      <w:sz w:val="23"/>
      <w:szCs w:val="23"/>
      <w:u w:val="single"/>
    </w:rPr>
  </w:style>
  <w:style w:type="character" w:customStyle="1" w:styleId="Bodytext14">
    <w:name w:val="Body text (14)_"/>
    <w:link w:val="Bodytext140"/>
    <w:rPr>
      <w:rFonts w:ascii="Times New Roman" w:hAnsi="Times New Roman" w:cs="Times New Roman"/>
      <w:spacing w:val="9"/>
      <w:u w:val="none"/>
    </w:rPr>
  </w:style>
  <w:style w:type="character" w:customStyle="1" w:styleId="Bodytext15">
    <w:name w:val="Body text (15)_"/>
    <w:link w:val="Bodytext150"/>
    <w:rPr>
      <w:rFonts w:ascii="Times New Roman" w:hAnsi="Times New Roman" w:cs="Times New Roman"/>
      <w:b/>
      <w:bCs/>
      <w:spacing w:val="10"/>
      <w:sz w:val="20"/>
      <w:szCs w:val="20"/>
      <w:u w:val="none"/>
    </w:rPr>
  </w:style>
  <w:style w:type="character" w:customStyle="1" w:styleId="Bodytext16">
    <w:name w:val="Body text (16)_"/>
    <w:link w:val="Bodytext160"/>
    <w:rPr>
      <w:rFonts w:ascii="Times New Roman" w:hAnsi="Times New Roman" w:cs="Times New Roman"/>
      <w:b/>
      <w:bCs/>
      <w:spacing w:val="8"/>
      <w:sz w:val="26"/>
      <w:szCs w:val="26"/>
      <w:u w:val="none"/>
    </w:rPr>
  </w:style>
  <w:style w:type="character" w:customStyle="1" w:styleId="Heading10">
    <w:name w:val="Heading #1_"/>
    <w:link w:val="Heading11"/>
    <w:rPr>
      <w:rFonts w:ascii="Times New Roman" w:hAnsi="Times New Roman" w:cs="Times New Roman"/>
      <w:spacing w:val="10"/>
      <w:sz w:val="51"/>
      <w:szCs w:val="51"/>
      <w:u w:val="none"/>
    </w:rPr>
  </w:style>
  <w:style w:type="character" w:customStyle="1" w:styleId="Bodytext17">
    <w:name w:val="Body text (17)_"/>
    <w:link w:val="Bodytext170"/>
    <w:rPr>
      <w:rFonts w:ascii="Consolas" w:hAnsi="Consolas" w:cs="Consolas"/>
      <w:spacing w:val="10"/>
      <w:w w:val="75"/>
      <w:sz w:val="22"/>
      <w:szCs w:val="22"/>
      <w:u w:val="none"/>
    </w:rPr>
  </w:style>
  <w:style w:type="character" w:customStyle="1" w:styleId="Bodytext7TimesNewRoman">
    <w:name w:val="Body text (7) + Times New Roman"/>
    <w:aliases w:val="4.5 pt,Spacing 0 pt8"/>
    <w:rPr>
      <w:rFonts w:ascii="Times New Roman" w:hAnsi="Times New Roman" w:cs="Times New Roman"/>
      <w:noProof/>
      <w:spacing w:val="0"/>
      <w:sz w:val="9"/>
      <w:szCs w:val="9"/>
      <w:u w:val="none"/>
    </w:rPr>
  </w:style>
  <w:style w:type="character" w:customStyle="1" w:styleId="Bodytext18">
    <w:name w:val="Body text (18)_"/>
    <w:link w:val="Bodytext180"/>
    <w:rPr>
      <w:rFonts w:ascii="Times New Roman" w:hAnsi="Times New Roman" w:cs="Times New Roman"/>
      <w:spacing w:val="16"/>
      <w:sz w:val="21"/>
      <w:szCs w:val="21"/>
      <w:u w:val="none"/>
    </w:rPr>
  </w:style>
  <w:style w:type="character" w:customStyle="1" w:styleId="Bodytext18Spacing0pt">
    <w:name w:val="Body text (18) + Spacing 0 pt"/>
    <w:rPr>
      <w:rFonts w:ascii="Times New Roman" w:hAnsi="Times New Roman" w:cs="Times New Roman"/>
      <w:noProof/>
      <w:spacing w:val="0"/>
      <w:sz w:val="21"/>
      <w:szCs w:val="21"/>
      <w:u w:val="none"/>
    </w:rPr>
  </w:style>
  <w:style w:type="character" w:customStyle="1" w:styleId="Bodytext9Bold1">
    <w:name w:val="Body text (9) + Bold1"/>
    <w:aliases w:val="Spacing 0 pt7"/>
    <w:rPr>
      <w:rFonts w:ascii="Times New Roman" w:hAnsi="Times New Roman" w:cs="Times New Roman"/>
      <w:b/>
      <w:bCs/>
      <w:spacing w:val="10"/>
      <w:sz w:val="20"/>
      <w:szCs w:val="20"/>
      <w:u w:val="none"/>
    </w:rPr>
  </w:style>
  <w:style w:type="character" w:customStyle="1" w:styleId="Bodytext19">
    <w:name w:val="Body text (19)_"/>
    <w:link w:val="Bodytext190"/>
    <w:rPr>
      <w:rFonts w:ascii="Times New Roman" w:hAnsi="Times New Roman" w:cs="Times New Roman"/>
      <w:i/>
      <w:iCs/>
      <w:spacing w:val="7"/>
      <w:sz w:val="17"/>
      <w:szCs w:val="17"/>
      <w:u w:val="none"/>
    </w:rPr>
  </w:style>
  <w:style w:type="character" w:customStyle="1" w:styleId="Bodytext105pt">
    <w:name w:val="Body text + 10.5 pt"/>
    <w:aliases w:val="Bold4,Spacing 0 pt6"/>
    <w:rPr>
      <w:rFonts w:ascii="Times New Roman" w:hAnsi="Times New Roman" w:cs="Times New Roman"/>
      <w:b/>
      <w:bCs/>
      <w:spacing w:val="9"/>
      <w:sz w:val="21"/>
      <w:szCs w:val="21"/>
      <w:u w:val="none"/>
    </w:rPr>
  </w:style>
  <w:style w:type="character" w:customStyle="1" w:styleId="Bodytext10pt">
    <w:name w:val="Body text + 10 pt"/>
    <w:aliases w:val="Bold3"/>
    <w:rPr>
      <w:rFonts w:ascii="Times New Roman" w:hAnsi="Times New Roman" w:cs="Times New Roman"/>
      <w:b/>
      <w:bCs/>
      <w:spacing w:val="10"/>
      <w:sz w:val="20"/>
      <w:szCs w:val="20"/>
      <w:u w:val="none"/>
    </w:rPr>
  </w:style>
  <w:style w:type="character" w:customStyle="1" w:styleId="Bodytext105pt1">
    <w:name w:val="Body text + 10.5 pt1"/>
    <w:aliases w:val="Bold2,Small Caps,Spacing 0 pt5"/>
    <w:rPr>
      <w:rFonts w:ascii="Times New Roman" w:hAnsi="Times New Roman" w:cs="Times New Roman"/>
      <w:b/>
      <w:bCs/>
      <w:smallCaps/>
      <w:spacing w:val="9"/>
      <w:sz w:val="21"/>
      <w:szCs w:val="21"/>
      <w:u w:val="none"/>
    </w:rPr>
  </w:style>
  <w:style w:type="character" w:customStyle="1" w:styleId="Bodytext10pt1">
    <w:name w:val="Body text + 10 pt1"/>
    <w:aliases w:val="Spacing 0 pt4"/>
    <w:rPr>
      <w:rFonts w:ascii="Times New Roman" w:hAnsi="Times New Roman" w:cs="Times New Roman"/>
      <w:spacing w:val="7"/>
      <w:sz w:val="20"/>
      <w:szCs w:val="20"/>
      <w:u w:val="none"/>
    </w:rPr>
  </w:style>
  <w:style w:type="character" w:customStyle="1" w:styleId="Bodytext200">
    <w:name w:val="Body text (20)_"/>
    <w:link w:val="Bodytext201"/>
    <w:rPr>
      <w:rFonts w:ascii="Consolas" w:hAnsi="Consolas" w:cs="Consolas"/>
      <w:sz w:val="10"/>
      <w:szCs w:val="10"/>
      <w:u w:val="none"/>
    </w:rPr>
  </w:style>
  <w:style w:type="character" w:customStyle="1" w:styleId="Heading30">
    <w:name w:val="Heading #3_"/>
    <w:link w:val="Heading31"/>
    <w:rPr>
      <w:rFonts w:ascii="Times New Roman" w:hAnsi="Times New Roman" w:cs="Times New Roman"/>
      <w:spacing w:val="10"/>
      <w:sz w:val="23"/>
      <w:szCs w:val="23"/>
      <w:u w:val="none"/>
    </w:rPr>
  </w:style>
  <w:style w:type="character" w:customStyle="1" w:styleId="Heading74">
    <w:name w:val="Heading #7 (4)_"/>
    <w:link w:val="Heading740"/>
    <w:rPr>
      <w:rFonts w:ascii="Times New Roman" w:hAnsi="Times New Roman" w:cs="Times New Roman"/>
      <w:i/>
      <w:iCs/>
      <w:spacing w:val="7"/>
      <w:u w:val="none"/>
    </w:rPr>
  </w:style>
  <w:style w:type="character" w:customStyle="1" w:styleId="Heading74Spacing-1pt">
    <w:name w:val="Heading #7 (4) + Spacing -1 pt"/>
    <w:rPr>
      <w:rFonts w:ascii="Times New Roman" w:hAnsi="Times New Roman" w:cs="Times New Roman"/>
      <w:i/>
      <w:iCs/>
      <w:spacing w:val="-31"/>
      <w:u w:val="none"/>
    </w:rPr>
  </w:style>
  <w:style w:type="character" w:customStyle="1" w:styleId="Bodytext210">
    <w:name w:val="Body text (21)_"/>
    <w:link w:val="Bodytext211"/>
    <w:rPr>
      <w:rFonts w:ascii="Times New Roman" w:hAnsi="Times New Roman" w:cs="Times New Roman"/>
      <w:i/>
      <w:iCs/>
      <w:spacing w:val="7"/>
      <w:u w:val="none"/>
    </w:rPr>
  </w:style>
  <w:style w:type="character" w:customStyle="1" w:styleId="Bodytext22">
    <w:name w:val="Body text (22)_"/>
    <w:link w:val="Bodytext220"/>
    <w:rPr>
      <w:rFonts w:ascii="Times New Roman" w:hAnsi="Times New Roman" w:cs="Times New Roman"/>
      <w:b/>
      <w:bCs/>
      <w:spacing w:val="9"/>
      <w:sz w:val="22"/>
      <w:szCs w:val="22"/>
      <w:u w:val="none"/>
    </w:rPr>
  </w:style>
  <w:style w:type="character" w:customStyle="1" w:styleId="Heading6">
    <w:name w:val="Heading #6_"/>
    <w:link w:val="Heading60"/>
    <w:rPr>
      <w:rFonts w:ascii="Times New Roman" w:hAnsi="Times New Roman" w:cs="Times New Roman"/>
      <w:b/>
      <w:bCs/>
      <w:spacing w:val="13"/>
      <w:sz w:val="23"/>
      <w:szCs w:val="23"/>
      <w:u w:val="none"/>
    </w:rPr>
  </w:style>
  <w:style w:type="character" w:customStyle="1" w:styleId="Bodytext80">
    <w:name w:val="Body text (8)"/>
    <w:rPr>
      <w:rFonts w:ascii="Times New Roman" w:hAnsi="Times New Roman" w:cs="Times New Roman"/>
      <w:b/>
      <w:bCs/>
      <w:spacing w:val="9"/>
      <w:sz w:val="21"/>
      <w:szCs w:val="21"/>
      <w:u w:val="single"/>
    </w:rPr>
  </w:style>
  <w:style w:type="character" w:customStyle="1" w:styleId="Heading20">
    <w:name w:val="Heading #2_"/>
    <w:link w:val="Heading21"/>
    <w:uiPriority w:val="99"/>
    <w:rPr>
      <w:rFonts w:ascii="Times New Roman" w:hAnsi="Times New Roman" w:cs="Times New Roman"/>
      <w:b/>
      <w:bCs/>
      <w:spacing w:val="12"/>
      <w:sz w:val="37"/>
      <w:szCs w:val="37"/>
      <w:u w:val="none"/>
    </w:rPr>
  </w:style>
  <w:style w:type="character" w:customStyle="1" w:styleId="Bodytext21115pt">
    <w:name w:val="Body text (21) + 11.5 pt"/>
    <w:aliases w:val="Not Italic1,Spacing 0 pt3"/>
    <w:rPr>
      <w:rFonts w:ascii="Times New Roman" w:hAnsi="Times New Roman" w:cs="Times New Roman"/>
      <w:i/>
      <w:iCs/>
      <w:spacing w:val="8"/>
      <w:sz w:val="23"/>
      <w:szCs w:val="23"/>
      <w:u w:val="none"/>
    </w:rPr>
  </w:style>
  <w:style w:type="character" w:customStyle="1" w:styleId="Bodytext21115pt1">
    <w:name w:val="Body text (21) + 11.5 pt1"/>
    <w:aliases w:val="Bold1,Spacing 0 pt2"/>
    <w:rPr>
      <w:rFonts w:ascii="Times New Roman" w:hAnsi="Times New Roman" w:cs="Times New Roman"/>
      <w:b/>
      <w:bCs/>
      <w:i/>
      <w:iCs/>
      <w:spacing w:val="3"/>
      <w:sz w:val="23"/>
      <w:szCs w:val="23"/>
      <w:u w:val="none"/>
    </w:rPr>
  </w:style>
  <w:style w:type="character" w:customStyle="1" w:styleId="Heading5">
    <w:name w:val="Heading #5_"/>
    <w:link w:val="Heading50"/>
    <w:rPr>
      <w:rFonts w:ascii="Times New Roman" w:hAnsi="Times New Roman" w:cs="Times New Roman"/>
      <w:spacing w:val="10"/>
      <w:sz w:val="23"/>
      <w:szCs w:val="23"/>
      <w:u w:val="none"/>
    </w:rPr>
  </w:style>
  <w:style w:type="character" w:customStyle="1" w:styleId="BodytextSpacing0pt">
    <w:name w:val="Body text + Spacing 0 pt"/>
    <w:rPr>
      <w:rFonts w:ascii="Times New Roman" w:hAnsi="Times New Roman" w:cs="Times New Roman"/>
      <w:spacing w:val="8"/>
      <w:sz w:val="23"/>
      <w:szCs w:val="23"/>
      <w:u w:val="none"/>
    </w:rPr>
  </w:style>
  <w:style w:type="character" w:customStyle="1" w:styleId="Bodytext23">
    <w:name w:val="Body text (23)_"/>
    <w:link w:val="Bodytext230"/>
    <w:rPr>
      <w:rFonts w:ascii="Times New Roman" w:hAnsi="Times New Roman" w:cs="Times New Roman"/>
      <w:spacing w:val="13"/>
      <w:sz w:val="17"/>
      <w:szCs w:val="17"/>
      <w:u w:val="none"/>
    </w:rPr>
  </w:style>
  <w:style w:type="character" w:customStyle="1" w:styleId="Bodytext234pt">
    <w:name w:val="Body text (23) + 4 pt"/>
    <w:aliases w:val="Italic1,Spacing 0 pt1"/>
    <w:rPr>
      <w:rFonts w:ascii="Times New Roman" w:hAnsi="Times New Roman" w:cs="Times New Roman"/>
      <w:i/>
      <w:iCs/>
      <w:noProof/>
      <w:spacing w:val="0"/>
      <w:sz w:val="8"/>
      <w:szCs w:val="8"/>
      <w:u w:val="none"/>
    </w:rPr>
  </w:style>
  <w:style w:type="character" w:customStyle="1" w:styleId="Heading62">
    <w:name w:val="Heading #6 (2)_"/>
    <w:link w:val="Heading620"/>
    <w:rPr>
      <w:rFonts w:ascii="Lucida Sans Unicode" w:hAnsi="Lucida Sans Unicode" w:cs="Lucida Sans Unicode"/>
      <w:i/>
      <w:iCs/>
      <w:noProof/>
      <w:sz w:val="27"/>
      <w:szCs w:val="27"/>
      <w:u w:val="none"/>
    </w:rPr>
  </w:style>
  <w:style w:type="paragraph" w:customStyle="1" w:styleId="Bodytext21">
    <w:name w:val="Body text (2)1"/>
    <w:basedOn w:val="Normal"/>
    <w:link w:val="Bodytext2"/>
    <w:uiPriority w:val="99"/>
    <w:pPr>
      <w:shd w:val="clear" w:color="auto" w:fill="FFFFFF"/>
      <w:spacing w:after="240" w:line="346" w:lineRule="exact"/>
      <w:ind w:hanging="1620"/>
      <w:jc w:val="center"/>
    </w:pPr>
    <w:rPr>
      <w:rFonts w:ascii="Times New Roman" w:hAnsi="Times New Roman" w:cs="Times New Roman"/>
      <w:b/>
      <w:bCs/>
      <w:color w:val="auto"/>
      <w:spacing w:val="13"/>
      <w:sz w:val="23"/>
      <w:szCs w:val="23"/>
      <w:lang w:eastAsia="en-US"/>
    </w:rPr>
  </w:style>
  <w:style w:type="paragraph" w:customStyle="1" w:styleId="BodyText1">
    <w:name w:val="Body Text1"/>
    <w:basedOn w:val="Normal"/>
    <w:link w:val="Bodytext"/>
    <w:pPr>
      <w:shd w:val="clear" w:color="auto" w:fill="FFFFFF"/>
      <w:spacing w:before="240" w:line="240" w:lineRule="atLeast"/>
      <w:jc w:val="center"/>
    </w:pPr>
    <w:rPr>
      <w:rFonts w:ascii="Times New Roman" w:hAnsi="Times New Roman" w:cs="Times New Roman"/>
      <w:color w:val="auto"/>
      <w:spacing w:val="10"/>
      <w:sz w:val="23"/>
      <w:szCs w:val="23"/>
      <w:lang w:eastAsia="en-US"/>
    </w:rPr>
  </w:style>
  <w:style w:type="paragraph" w:customStyle="1" w:styleId="Bodytext30">
    <w:name w:val="Body text (3)"/>
    <w:basedOn w:val="Normal"/>
    <w:link w:val="Bodytext3"/>
    <w:pPr>
      <w:shd w:val="clear" w:color="auto" w:fill="FFFFFF"/>
      <w:spacing w:before="180" w:line="240" w:lineRule="atLeast"/>
      <w:jc w:val="center"/>
    </w:pPr>
    <w:rPr>
      <w:rFonts w:ascii="Times New Roman" w:hAnsi="Times New Roman" w:cs="Times New Roman"/>
      <w:i/>
      <w:iCs/>
      <w:color w:val="auto"/>
      <w:spacing w:val="2"/>
      <w:sz w:val="23"/>
      <w:szCs w:val="23"/>
      <w:lang w:eastAsia="en-US"/>
    </w:rPr>
  </w:style>
  <w:style w:type="paragraph" w:customStyle="1" w:styleId="Heading720">
    <w:name w:val="Heading #7 (2)"/>
    <w:basedOn w:val="Normal"/>
    <w:link w:val="Heading72"/>
    <w:pPr>
      <w:shd w:val="clear" w:color="auto" w:fill="FFFFFF"/>
      <w:spacing w:line="355" w:lineRule="exact"/>
      <w:outlineLvl w:val="6"/>
    </w:pPr>
    <w:rPr>
      <w:rFonts w:ascii="CordiaUPC" w:hAnsi="CordiaUPC" w:cs="CordiaUPC"/>
      <w:b/>
      <w:bCs/>
      <w:i/>
      <w:iCs/>
      <w:color w:val="auto"/>
      <w:spacing w:val="4"/>
      <w:sz w:val="35"/>
      <w:szCs w:val="35"/>
      <w:lang w:eastAsia="en-US"/>
    </w:rPr>
  </w:style>
  <w:style w:type="paragraph" w:customStyle="1" w:styleId="Bodytext40">
    <w:name w:val="Body text (4)"/>
    <w:basedOn w:val="Normal"/>
    <w:link w:val="Bodytext4"/>
    <w:pPr>
      <w:shd w:val="clear" w:color="auto" w:fill="FFFFFF"/>
      <w:spacing w:after="60" w:line="240" w:lineRule="atLeast"/>
    </w:pPr>
    <w:rPr>
      <w:rFonts w:ascii="Consolas" w:hAnsi="Consolas" w:cs="Consolas"/>
      <w:noProof/>
      <w:color w:val="auto"/>
      <w:sz w:val="10"/>
      <w:szCs w:val="10"/>
      <w:lang w:eastAsia="en-US"/>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color w:val="auto"/>
      <w:spacing w:val="14"/>
      <w:sz w:val="20"/>
      <w:szCs w:val="20"/>
      <w:lang w:eastAsia="en-US"/>
    </w:rPr>
  </w:style>
  <w:style w:type="paragraph" w:customStyle="1" w:styleId="Bodytext50">
    <w:name w:val="Body text (5)"/>
    <w:basedOn w:val="Normal"/>
    <w:link w:val="Bodytext5"/>
    <w:pPr>
      <w:shd w:val="clear" w:color="auto" w:fill="FFFFFF"/>
      <w:spacing w:before="60" w:line="240" w:lineRule="atLeast"/>
      <w:jc w:val="right"/>
    </w:pPr>
    <w:rPr>
      <w:rFonts w:ascii="Corbel" w:hAnsi="Corbel" w:cs="Corbel"/>
      <w:noProof/>
      <w:color w:val="auto"/>
      <w:sz w:val="15"/>
      <w:szCs w:val="15"/>
      <w:lang w:eastAsia="en-US"/>
    </w:rPr>
  </w:style>
  <w:style w:type="paragraph" w:customStyle="1" w:styleId="Heading40">
    <w:name w:val="Heading #4"/>
    <w:basedOn w:val="Normal"/>
    <w:link w:val="Heading4"/>
    <w:pPr>
      <w:shd w:val="clear" w:color="auto" w:fill="FFFFFF"/>
      <w:spacing w:line="360" w:lineRule="exact"/>
      <w:jc w:val="both"/>
      <w:outlineLvl w:val="3"/>
    </w:pPr>
    <w:rPr>
      <w:rFonts w:ascii="Times New Roman" w:hAnsi="Times New Roman" w:cs="Times New Roman"/>
      <w:color w:val="auto"/>
      <w:spacing w:val="13"/>
      <w:sz w:val="17"/>
      <w:szCs w:val="17"/>
      <w:lang w:eastAsia="en-US"/>
    </w:rPr>
  </w:style>
  <w:style w:type="paragraph" w:customStyle="1" w:styleId="Bodytext60">
    <w:name w:val="Body text (6)"/>
    <w:basedOn w:val="Normal"/>
    <w:link w:val="Bodytext6"/>
    <w:pPr>
      <w:shd w:val="clear" w:color="auto" w:fill="FFFFFF"/>
      <w:spacing w:line="346" w:lineRule="exact"/>
      <w:jc w:val="right"/>
    </w:pPr>
    <w:rPr>
      <w:rFonts w:ascii="Arial Narrow" w:hAnsi="Arial Narrow" w:cs="Arial Narrow"/>
      <w:color w:val="auto"/>
      <w:spacing w:val="24"/>
      <w:sz w:val="18"/>
      <w:szCs w:val="18"/>
      <w:lang w:eastAsia="en-US"/>
    </w:rPr>
  </w:style>
  <w:style w:type="paragraph" w:customStyle="1" w:styleId="Heading81">
    <w:name w:val="Heading #81"/>
    <w:basedOn w:val="Normal"/>
    <w:link w:val="Heading8"/>
    <w:pPr>
      <w:shd w:val="clear" w:color="auto" w:fill="FFFFFF"/>
      <w:spacing w:after="300" w:line="355" w:lineRule="exact"/>
      <w:ind w:hanging="1820"/>
      <w:jc w:val="center"/>
      <w:outlineLvl w:val="7"/>
    </w:pPr>
    <w:rPr>
      <w:rFonts w:ascii="Times New Roman" w:hAnsi="Times New Roman" w:cs="Times New Roman"/>
      <w:b/>
      <w:bCs/>
      <w:color w:val="auto"/>
      <w:spacing w:val="13"/>
      <w:sz w:val="23"/>
      <w:szCs w:val="23"/>
      <w:lang w:eastAsia="en-US"/>
    </w:rPr>
  </w:style>
  <w:style w:type="paragraph" w:customStyle="1" w:styleId="Bodytext70">
    <w:name w:val="Body text (7)"/>
    <w:basedOn w:val="Normal"/>
    <w:link w:val="Bodytext7"/>
    <w:pPr>
      <w:shd w:val="clear" w:color="auto" w:fill="FFFFFF"/>
      <w:spacing w:line="389" w:lineRule="exact"/>
      <w:jc w:val="both"/>
    </w:pPr>
    <w:rPr>
      <w:rFonts w:ascii="Consolas" w:hAnsi="Consolas" w:cs="Consolas"/>
      <w:color w:val="auto"/>
      <w:spacing w:val="6"/>
      <w:sz w:val="8"/>
      <w:szCs w:val="8"/>
      <w:lang w:eastAsia="en-US"/>
    </w:rPr>
  </w:style>
  <w:style w:type="paragraph" w:customStyle="1" w:styleId="Tableofcontents0">
    <w:name w:val="Table of contents"/>
    <w:basedOn w:val="Normal"/>
    <w:link w:val="Tableofcontents"/>
    <w:pPr>
      <w:shd w:val="clear" w:color="auto" w:fill="FFFFFF"/>
      <w:spacing w:line="355" w:lineRule="exact"/>
      <w:jc w:val="both"/>
    </w:pPr>
    <w:rPr>
      <w:rFonts w:ascii="Times New Roman" w:hAnsi="Times New Roman" w:cs="Times New Roman"/>
      <w:color w:val="auto"/>
      <w:spacing w:val="10"/>
      <w:sz w:val="23"/>
      <w:szCs w:val="23"/>
      <w:lang w:eastAsia="en-US"/>
    </w:rPr>
  </w:style>
  <w:style w:type="paragraph" w:customStyle="1" w:styleId="Bodytext81">
    <w:name w:val="Body text (8)1"/>
    <w:basedOn w:val="Normal"/>
    <w:link w:val="Bodytext8"/>
    <w:pPr>
      <w:shd w:val="clear" w:color="auto" w:fill="FFFFFF"/>
      <w:spacing w:after="120" w:line="240" w:lineRule="atLeast"/>
    </w:pPr>
    <w:rPr>
      <w:rFonts w:ascii="Times New Roman" w:hAnsi="Times New Roman" w:cs="Times New Roman"/>
      <w:b/>
      <w:bCs/>
      <w:color w:val="auto"/>
      <w:spacing w:val="9"/>
      <w:sz w:val="21"/>
      <w:szCs w:val="21"/>
      <w:lang w:eastAsia="en-US"/>
    </w:rPr>
  </w:style>
  <w:style w:type="paragraph" w:customStyle="1" w:styleId="Heading820">
    <w:name w:val="Heading #8 (2)"/>
    <w:basedOn w:val="Normal"/>
    <w:link w:val="Heading82"/>
    <w:pPr>
      <w:shd w:val="clear" w:color="auto" w:fill="FFFFFF"/>
      <w:spacing w:line="355" w:lineRule="exact"/>
      <w:ind w:firstLine="740"/>
      <w:jc w:val="both"/>
      <w:outlineLvl w:val="7"/>
    </w:pPr>
    <w:rPr>
      <w:rFonts w:ascii="Times New Roman" w:hAnsi="Times New Roman" w:cs="Times New Roman"/>
      <w:b/>
      <w:bCs/>
      <w:color w:val="auto"/>
      <w:spacing w:val="10"/>
      <w:sz w:val="25"/>
      <w:szCs w:val="25"/>
      <w:lang w:eastAsia="en-US"/>
    </w:rPr>
  </w:style>
  <w:style w:type="paragraph" w:customStyle="1" w:styleId="Bodytext90">
    <w:name w:val="Body text (9)"/>
    <w:basedOn w:val="Normal"/>
    <w:link w:val="Bodytext9"/>
    <w:pPr>
      <w:shd w:val="clear" w:color="auto" w:fill="FFFFFF"/>
      <w:spacing w:line="240" w:lineRule="atLeast"/>
      <w:jc w:val="right"/>
    </w:pPr>
    <w:rPr>
      <w:rFonts w:ascii="Times New Roman" w:hAnsi="Times New Roman" w:cs="Times New Roman"/>
      <w:color w:val="auto"/>
      <w:spacing w:val="7"/>
      <w:sz w:val="20"/>
      <w:szCs w:val="20"/>
      <w:lang w:eastAsia="en-US"/>
    </w:rPr>
  </w:style>
  <w:style w:type="paragraph" w:customStyle="1" w:styleId="Bodytext100">
    <w:name w:val="Body text (10)"/>
    <w:basedOn w:val="Normal"/>
    <w:link w:val="Bodytext10"/>
    <w:pPr>
      <w:shd w:val="clear" w:color="auto" w:fill="FFFFFF"/>
      <w:spacing w:line="408" w:lineRule="exact"/>
      <w:jc w:val="center"/>
    </w:pPr>
    <w:rPr>
      <w:rFonts w:ascii="Times New Roman" w:hAnsi="Times New Roman" w:cs="Times New Roman"/>
      <w:b/>
      <w:bCs/>
      <w:color w:val="auto"/>
      <w:spacing w:val="10"/>
      <w:sz w:val="25"/>
      <w:szCs w:val="25"/>
      <w:lang w:eastAsia="en-US"/>
    </w:rPr>
  </w:style>
  <w:style w:type="paragraph" w:customStyle="1" w:styleId="Bodytext110">
    <w:name w:val="Body text (11)"/>
    <w:basedOn w:val="Normal"/>
    <w:link w:val="Bodytext11"/>
    <w:pPr>
      <w:shd w:val="clear" w:color="auto" w:fill="FFFFFF"/>
      <w:spacing w:line="298" w:lineRule="exact"/>
      <w:jc w:val="both"/>
    </w:pPr>
    <w:rPr>
      <w:rFonts w:ascii="Times New Roman" w:hAnsi="Times New Roman" w:cs="Times New Roman"/>
      <w:b/>
      <w:bCs/>
      <w:i/>
      <w:iCs/>
      <w:color w:val="auto"/>
      <w:spacing w:val="2"/>
      <w:sz w:val="20"/>
      <w:szCs w:val="20"/>
      <w:lang w:eastAsia="en-US"/>
    </w:rPr>
  </w:style>
  <w:style w:type="paragraph" w:customStyle="1" w:styleId="Heading830">
    <w:name w:val="Heading #8 (3)"/>
    <w:basedOn w:val="Normal"/>
    <w:link w:val="Heading83"/>
    <w:pPr>
      <w:shd w:val="clear" w:color="auto" w:fill="FFFFFF"/>
      <w:spacing w:before="1260" w:line="240" w:lineRule="atLeast"/>
      <w:jc w:val="right"/>
      <w:outlineLvl w:val="7"/>
    </w:pPr>
    <w:rPr>
      <w:rFonts w:ascii="Times New Roman" w:hAnsi="Times New Roman" w:cs="Times New Roman"/>
      <w:b/>
      <w:bCs/>
      <w:color w:val="auto"/>
      <w:spacing w:val="8"/>
      <w:sz w:val="26"/>
      <w:szCs w:val="26"/>
      <w:lang w:eastAsia="en-US"/>
    </w:rPr>
  </w:style>
  <w:style w:type="paragraph" w:customStyle="1" w:styleId="Bodytext120">
    <w:name w:val="Body text (12)"/>
    <w:basedOn w:val="Normal"/>
    <w:link w:val="Bodytext12"/>
    <w:pPr>
      <w:shd w:val="clear" w:color="auto" w:fill="FFFFFF"/>
      <w:spacing w:line="360" w:lineRule="exact"/>
      <w:jc w:val="center"/>
    </w:pPr>
    <w:rPr>
      <w:rFonts w:ascii="Times New Roman" w:hAnsi="Times New Roman" w:cs="Times New Roman"/>
      <w:b/>
      <w:bCs/>
      <w:i/>
      <w:iCs/>
      <w:color w:val="auto"/>
      <w:spacing w:val="3"/>
      <w:sz w:val="23"/>
      <w:szCs w:val="23"/>
      <w:lang w:eastAsia="en-US"/>
    </w:rPr>
  </w:style>
  <w:style w:type="paragraph" w:customStyle="1" w:styleId="Heading730">
    <w:name w:val="Heading #7 (3)"/>
    <w:basedOn w:val="Normal"/>
    <w:link w:val="Heading73"/>
    <w:pPr>
      <w:shd w:val="clear" w:color="auto" w:fill="FFFFFF"/>
      <w:spacing w:line="418" w:lineRule="exact"/>
      <w:jc w:val="both"/>
      <w:outlineLvl w:val="6"/>
    </w:pPr>
    <w:rPr>
      <w:rFonts w:ascii="Times New Roman" w:hAnsi="Times New Roman" w:cs="Times New Roman"/>
      <w:color w:val="auto"/>
      <w:spacing w:val="14"/>
      <w:lang w:eastAsia="en-US"/>
    </w:rPr>
  </w:style>
  <w:style w:type="paragraph" w:customStyle="1" w:styleId="Heading70">
    <w:name w:val="Heading #7"/>
    <w:basedOn w:val="Normal"/>
    <w:link w:val="Heading7"/>
    <w:pPr>
      <w:shd w:val="clear" w:color="auto" w:fill="FFFFFF"/>
      <w:spacing w:line="355" w:lineRule="exact"/>
      <w:jc w:val="center"/>
      <w:outlineLvl w:val="6"/>
    </w:pPr>
    <w:rPr>
      <w:rFonts w:ascii="Times New Roman" w:hAnsi="Times New Roman" w:cs="Times New Roman"/>
      <w:b/>
      <w:bCs/>
      <w:i/>
      <w:iCs/>
      <w:color w:val="auto"/>
      <w:spacing w:val="3"/>
      <w:sz w:val="23"/>
      <w:szCs w:val="23"/>
      <w:lang w:eastAsia="en-US"/>
    </w:rPr>
  </w:style>
  <w:style w:type="paragraph" w:customStyle="1" w:styleId="Bodytext130">
    <w:name w:val="Body text (13)"/>
    <w:basedOn w:val="Normal"/>
    <w:link w:val="Bodytext13"/>
    <w:pPr>
      <w:shd w:val="clear" w:color="auto" w:fill="FFFFFF"/>
      <w:spacing w:after="180" w:line="240" w:lineRule="atLeast"/>
      <w:jc w:val="both"/>
    </w:pPr>
    <w:rPr>
      <w:rFonts w:ascii="Consolas" w:hAnsi="Consolas" w:cs="Consolas"/>
      <w:color w:val="auto"/>
      <w:sz w:val="8"/>
      <w:szCs w:val="8"/>
      <w:lang w:eastAsia="en-US"/>
    </w:rPr>
  </w:style>
  <w:style w:type="paragraph" w:customStyle="1" w:styleId="Bodytext140">
    <w:name w:val="Body text (14)"/>
    <w:basedOn w:val="Normal"/>
    <w:link w:val="Bodytext14"/>
    <w:pPr>
      <w:shd w:val="clear" w:color="auto" w:fill="FFFFFF"/>
      <w:spacing w:line="350" w:lineRule="exact"/>
      <w:ind w:firstLine="720"/>
      <w:jc w:val="both"/>
    </w:pPr>
    <w:rPr>
      <w:rFonts w:ascii="Times New Roman" w:hAnsi="Times New Roman" w:cs="Times New Roman"/>
      <w:color w:val="auto"/>
      <w:spacing w:val="9"/>
      <w:lang w:eastAsia="en-US"/>
    </w:rPr>
  </w:style>
  <w:style w:type="paragraph" w:customStyle="1" w:styleId="Bodytext150">
    <w:name w:val="Body text (15)"/>
    <w:basedOn w:val="Normal"/>
    <w:link w:val="Bodytext15"/>
    <w:pPr>
      <w:shd w:val="clear" w:color="auto" w:fill="FFFFFF"/>
      <w:spacing w:after="2160" w:line="240" w:lineRule="atLeast"/>
    </w:pPr>
    <w:rPr>
      <w:rFonts w:ascii="Times New Roman" w:hAnsi="Times New Roman" w:cs="Times New Roman"/>
      <w:b/>
      <w:bCs/>
      <w:color w:val="auto"/>
      <w:spacing w:val="10"/>
      <w:sz w:val="20"/>
      <w:szCs w:val="20"/>
      <w:lang w:eastAsia="en-US"/>
    </w:rPr>
  </w:style>
  <w:style w:type="paragraph" w:customStyle="1" w:styleId="Bodytext160">
    <w:name w:val="Body text (16)"/>
    <w:basedOn w:val="Normal"/>
    <w:link w:val="Bodytext16"/>
    <w:pPr>
      <w:shd w:val="clear" w:color="auto" w:fill="FFFFFF"/>
      <w:spacing w:after="1200" w:line="240" w:lineRule="atLeast"/>
      <w:jc w:val="both"/>
    </w:pPr>
    <w:rPr>
      <w:rFonts w:ascii="Times New Roman" w:hAnsi="Times New Roman" w:cs="Times New Roman"/>
      <w:b/>
      <w:bCs/>
      <w:color w:val="auto"/>
      <w:spacing w:val="8"/>
      <w:sz w:val="26"/>
      <w:szCs w:val="26"/>
      <w:lang w:eastAsia="en-US"/>
    </w:rPr>
  </w:style>
  <w:style w:type="paragraph" w:customStyle="1" w:styleId="Heading11">
    <w:name w:val="Heading #1"/>
    <w:basedOn w:val="Normal"/>
    <w:link w:val="Heading10"/>
    <w:pPr>
      <w:shd w:val="clear" w:color="auto" w:fill="FFFFFF"/>
      <w:spacing w:before="1200" w:after="360" w:line="240" w:lineRule="atLeast"/>
      <w:jc w:val="center"/>
      <w:outlineLvl w:val="0"/>
    </w:pPr>
    <w:rPr>
      <w:rFonts w:ascii="Times New Roman" w:hAnsi="Times New Roman" w:cs="Times New Roman"/>
      <w:color w:val="auto"/>
      <w:spacing w:val="10"/>
      <w:sz w:val="51"/>
      <w:szCs w:val="51"/>
      <w:lang w:eastAsia="en-US"/>
    </w:rPr>
  </w:style>
  <w:style w:type="paragraph" w:customStyle="1" w:styleId="Bodytext170">
    <w:name w:val="Body text (17)"/>
    <w:basedOn w:val="Normal"/>
    <w:link w:val="Bodytext17"/>
    <w:pPr>
      <w:shd w:val="clear" w:color="auto" w:fill="FFFFFF"/>
      <w:spacing w:before="360" w:after="780" w:line="240" w:lineRule="atLeast"/>
      <w:jc w:val="both"/>
    </w:pPr>
    <w:rPr>
      <w:rFonts w:ascii="Consolas" w:hAnsi="Consolas" w:cs="Consolas"/>
      <w:color w:val="auto"/>
      <w:spacing w:val="10"/>
      <w:w w:val="75"/>
      <w:sz w:val="22"/>
      <w:szCs w:val="22"/>
      <w:lang w:eastAsia="en-US"/>
    </w:rPr>
  </w:style>
  <w:style w:type="paragraph" w:customStyle="1" w:styleId="Bodytext180">
    <w:name w:val="Body text (18)"/>
    <w:basedOn w:val="Normal"/>
    <w:link w:val="Bodytext18"/>
    <w:pPr>
      <w:shd w:val="clear" w:color="auto" w:fill="FFFFFF"/>
      <w:spacing w:line="240" w:lineRule="atLeast"/>
      <w:jc w:val="both"/>
    </w:pPr>
    <w:rPr>
      <w:rFonts w:ascii="Times New Roman" w:hAnsi="Times New Roman" w:cs="Times New Roman"/>
      <w:color w:val="auto"/>
      <w:spacing w:val="16"/>
      <w:sz w:val="21"/>
      <w:szCs w:val="21"/>
      <w:lang w:eastAsia="en-US"/>
    </w:rPr>
  </w:style>
  <w:style w:type="paragraph" w:customStyle="1" w:styleId="Bodytext190">
    <w:name w:val="Body text (19)"/>
    <w:basedOn w:val="Normal"/>
    <w:link w:val="Bodytext19"/>
    <w:pPr>
      <w:shd w:val="clear" w:color="auto" w:fill="FFFFFF"/>
      <w:spacing w:after="540" w:line="240" w:lineRule="atLeast"/>
      <w:jc w:val="both"/>
    </w:pPr>
    <w:rPr>
      <w:rFonts w:ascii="Times New Roman" w:hAnsi="Times New Roman" w:cs="Times New Roman"/>
      <w:i/>
      <w:iCs/>
      <w:color w:val="auto"/>
      <w:spacing w:val="7"/>
      <w:sz w:val="17"/>
      <w:szCs w:val="17"/>
      <w:lang w:eastAsia="en-US"/>
    </w:rPr>
  </w:style>
  <w:style w:type="paragraph" w:customStyle="1" w:styleId="Bodytext201">
    <w:name w:val="Body text (20)"/>
    <w:basedOn w:val="Normal"/>
    <w:link w:val="Bodytext200"/>
    <w:pPr>
      <w:shd w:val="clear" w:color="auto" w:fill="FFFFFF"/>
      <w:spacing w:line="240" w:lineRule="atLeast"/>
      <w:jc w:val="both"/>
    </w:pPr>
    <w:rPr>
      <w:rFonts w:ascii="Consolas" w:hAnsi="Consolas" w:cs="Consolas"/>
      <w:color w:val="auto"/>
      <w:sz w:val="10"/>
      <w:szCs w:val="10"/>
      <w:lang w:eastAsia="en-US"/>
    </w:rPr>
  </w:style>
  <w:style w:type="paragraph" w:customStyle="1" w:styleId="Heading31">
    <w:name w:val="Heading #3"/>
    <w:basedOn w:val="Normal"/>
    <w:link w:val="Heading30"/>
    <w:pPr>
      <w:shd w:val="clear" w:color="auto" w:fill="FFFFFF"/>
      <w:spacing w:line="355" w:lineRule="exact"/>
      <w:jc w:val="both"/>
      <w:outlineLvl w:val="2"/>
    </w:pPr>
    <w:rPr>
      <w:rFonts w:ascii="Times New Roman" w:hAnsi="Times New Roman" w:cs="Times New Roman"/>
      <w:color w:val="auto"/>
      <w:spacing w:val="10"/>
      <w:sz w:val="23"/>
      <w:szCs w:val="23"/>
      <w:lang w:eastAsia="en-US"/>
    </w:rPr>
  </w:style>
  <w:style w:type="paragraph" w:customStyle="1" w:styleId="Heading740">
    <w:name w:val="Heading #7 (4)"/>
    <w:basedOn w:val="Normal"/>
    <w:link w:val="Heading74"/>
    <w:pPr>
      <w:shd w:val="clear" w:color="auto" w:fill="FFFFFF"/>
      <w:spacing w:line="350" w:lineRule="exact"/>
      <w:jc w:val="right"/>
      <w:outlineLvl w:val="6"/>
    </w:pPr>
    <w:rPr>
      <w:rFonts w:ascii="Times New Roman" w:hAnsi="Times New Roman" w:cs="Times New Roman"/>
      <w:i/>
      <w:iCs/>
      <w:color w:val="auto"/>
      <w:spacing w:val="7"/>
      <w:lang w:eastAsia="en-US"/>
    </w:rPr>
  </w:style>
  <w:style w:type="paragraph" w:customStyle="1" w:styleId="Bodytext211">
    <w:name w:val="Body text (21)"/>
    <w:basedOn w:val="Normal"/>
    <w:link w:val="Bodytext210"/>
    <w:pPr>
      <w:shd w:val="clear" w:color="auto" w:fill="FFFFFF"/>
      <w:spacing w:after="240" w:line="350" w:lineRule="exact"/>
    </w:pPr>
    <w:rPr>
      <w:rFonts w:ascii="Times New Roman" w:hAnsi="Times New Roman" w:cs="Times New Roman"/>
      <w:i/>
      <w:iCs/>
      <w:color w:val="auto"/>
      <w:spacing w:val="7"/>
      <w:lang w:eastAsia="en-US"/>
    </w:rPr>
  </w:style>
  <w:style w:type="paragraph" w:customStyle="1" w:styleId="Bodytext220">
    <w:name w:val="Body text (22)"/>
    <w:basedOn w:val="Normal"/>
    <w:link w:val="Bodytext22"/>
    <w:pPr>
      <w:shd w:val="clear" w:color="auto" w:fill="FFFFFF"/>
      <w:spacing w:before="240" w:line="336" w:lineRule="exact"/>
      <w:jc w:val="both"/>
    </w:pPr>
    <w:rPr>
      <w:rFonts w:ascii="Times New Roman" w:hAnsi="Times New Roman" w:cs="Times New Roman"/>
      <w:b/>
      <w:bCs/>
      <w:color w:val="auto"/>
      <w:spacing w:val="9"/>
      <w:sz w:val="22"/>
      <w:szCs w:val="22"/>
      <w:lang w:eastAsia="en-US"/>
    </w:rPr>
  </w:style>
  <w:style w:type="paragraph" w:customStyle="1" w:styleId="Heading60">
    <w:name w:val="Heading #6"/>
    <w:basedOn w:val="Normal"/>
    <w:link w:val="Heading6"/>
    <w:pPr>
      <w:shd w:val="clear" w:color="auto" w:fill="FFFFFF"/>
      <w:spacing w:line="336" w:lineRule="exact"/>
      <w:jc w:val="both"/>
      <w:outlineLvl w:val="5"/>
    </w:pPr>
    <w:rPr>
      <w:rFonts w:ascii="Times New Roman" w:hAnsi="Times New Roman" w:cs="Times New Roman"/>
      <w:b/>
      <w:bCs/>
      <w:color w:val="auto"/>
      <w:spacing w:val="13"/>
      <w:sz w:val="23"/>
      <w:szCs w:val="23"/>
      <w:lang w:eastAsia="en-US"/>
    </w:rPr>
  </w:style>
  <w:style w:type="paragraph" w:customStyle="1" w:styleId="Heading21">
    <w:name w:val="Heading #2"/>
    <w:basedOn w:val="Normal"/>
    <w:link w:val="Heading20"/>
    <w:uiPriority w:val="99"/>
    <w:pPr>
      <w:shd w:val="clear" w:color="auto" w:fill="FFFFFF"/>
      <w:spacing w:before="480" w:after="60" w:line="240" w:lineRule="atLeast"/>
      <w:jc w:val="center"/>
      <w:outlineLvl w:val="1"/>
    </w:pPr>
    <w:rPr>
      <w:rFonts w:ascii="Times New Roman" w:hAnsi="Times New Roman" w:cs="Times New Roman"/>
      <w:b/>
      <w:bCs/>
      <w:color w:val="auto"/>
      <w:spacing w:val="12"/>
      <w:sz w:val="37"/>
      <w:szCs w:val="37"/>
      <w:lang w:eastAsia="en-US"/>
    </w:rPr>
  </w:style>
  <w:style w:type="paragraph" w:customStyle="1" w:styleId="Heading50">
    <w:name w:val="Heading #5"/>
    <w:basedOn w:val="Normal"/>
    <w:link w:val="Heading5"/>
    <w:pPr>
      <w:shd w:val="clear" w:color="auto" w:fill="FFFFFF"/>
      <w:spacing w:before="180" w:after="180" w:line="350" w:lineRule="exact"/>
      <w:ind w:firstLine="660"/>
      <w:jc w:val="both"/>
      <w:outlineLvl w:val="4"/>
    </w:pPr>
    <w:rPr>
      <w:rFonts w:ascii="Times New Roman" w:hAnsi="Times New Roman" w:cs="Times New Roman"/>
      <w:color w:val="auto"/>
      <w:spacing w:val="10"/>
      <w:sz w:val="23"/>
      <w:szCs w:val="23"/>
      <w:lang w:eastAsia="en-US"/>
    </w:rPr>
  </w:style>
  <w:style w:type="paragraph" w:customStyle="1" w:styleId="Bodytext230">
    <w:name w:val="Body text (23)"/>
    <w:basedOn w:val="Normal"/>
    <w:link w:val="Bodytext23"/>
    <w:pPr>
      <w:shd w:val="clear" w:color="auto" w:fill="FFFFFF"/>
      <w:spacing w:line="278" w:lineRule="exact"/>
      <w:jc w:val="both"/>
    </w:pPr>
    <w:rPr>
      <w:rFonts w:ascii="Times New Roman" w:hAnsi="Times New Roman" w:cs="Times New Roman"/>
      <w:color w:val="auto"/>
      <w:spacing w:val="13"/>
      <w:sz w:val="17"/>
      <w:szCs w:val="17"/>
      <w:lang w:eastAsia="en-US"/>
    </w:rPr>
  </w:style>
  <w:style w:type="paragraph" w:customStyle="1" w:styleId="Heading620">
    <w:name w:val="Heading #6 (2)"/>
    <w:basedOn w:val="Normal"/>
    <w:link w:val="Heading62"/>
    <w:pPr>
      <w:shd w:val="clear" w:color="auto" w:fill="FFFFFF"/>
      <w:spacing w:before="780" w:line="240" w:lineRule="atLeast"/>
      <w:jc w:val="right"/>
      <w:outlineLvl w:val="5"/>
    </w:pPr>
    <w:rPr>
      <w:rFonts w:ascii="Lucida Sans Unicode" w:hAnsi="Lucida Sans Unicode" w:cs="Lucida Sans Unicode"/>
      <w:i/>
      <w:iCs/>
      <w:noProof/>
      <w:color w:val="auto"/>
      <w:sz w:val="27"/>
      <w:szCs w:val="27"/>
      <w:lang w:eastAsia="en-US"/>
    </w:rPr>
  </w:style>
  <w:style w:type="table" w:styleId="TableGrid">
    <w:name w:val="Table Grid"/>
    <w:basedOn w:val="TableNormal"/>
    <w:uiPriority w:val="39"/>
    <w:rsid w:val="0034727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347271"/>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rsid w:val="004B7C8B"/>
    <w:pPr>
      <w:tabs>
        <w:tab w:val="center" w:pos="4680"/>
        <w:tab w:val="right" w:pos="9360"/>
      </w:tabs>
    </w:pPr>
  </w:style>
  <w:style w:type="character" w:customStyle="1" w:styleId="HeaderChar">
    <w:name w:val="Header Char"/>
    <w:link w:val="Header"/>
    <w:uiPriority w:val="99"/>
    <w:rsid w:val="004B7C8B"/>
    <w:rPr>
      <w:color w:val="000000"/>
      <w:sz w:val="24"/>
      <w:szCs w:val="24"/>
      <w:lang w:val="vi-VN" w:eastAsia="vi-VN"/>
    </w:rPr>
  </w:style>
  <w:style w:type="paragraph" w:styleId="Footer">
    <w:name w:val="footer"/>
    <w:basedOn w:val="Normal"/>
    <w:link w:val="FooterChar"/>
    <w:uiPriority w:val="99"/>
    <w:rsid w:val="004B7C8B"/>
    <w:pPr>
      <w:tabs>
        <w:tab w:val="center" w:pos="4680"/>
        <w:tab w:val="right" w:pos="9360"/>
      </w:tabs>
    </w:pPr>
  </w:style>
  <w:style w:type="character" w:customStyle="1" w:styleId="FooterChar">
    <w:name w:val="Footer Char"/>
    <w:link w:val="Footer"/>
    <w:uiPriority w:val="99"/>
    <w:rsid w:val="004B7C8B"/>
    <w:rPr>
      <w:color w:val="000000"/>
      <w:sz w:val="24"/>
      <w:szCs w:val="24"/>
      <w:lang w:val="vi-VN" w:eastAsia="vi-VN"/>
    </w:rPr>
  </w:style>
  <w:style w:type="character" w:customStyle="1" w:styleId="Heading3Char">
    <w:name w:val="Heading 3 Char"/>
    <w:link w:val="Heading3"/>
    <w:uiPriority w:val="9"/>
    <w:rsid w:val="009D1904"/>
    <w:rPr>
      <w:rFonts w:ascii="Times New Roman Bold" w:eastAsia="Times New Roman" w:hAnsi="Times New Roman Bold" w:cs="Times New Roman"/>
      <w:sz w:val="28"/>
      <w:szCs w:val="28"/>
      <w:lang w:eastAsia="en-GB" w:bidi="ar-SA"/>
    </w:rPr>
  </w:style>
  <w:style w:type="paragraph" w:customStyle="1" w:styleId="Noidung">
    <w:name w:val="Noi dung"/>
    <w:basedOn w:val="Normal"/>
    <w:link w:val="NoidungChar"/>
    <w:qFormat/>
    <w:rsid w:val="005C30DB"/>
    <w:pPr>
      <w:widowControl/>
      <w:spacing w:before="120" w:after="120"/>
      <w:ind w:firstLine="720"/>
      <w:jc w:val="both"/>
    </w:pPr>
    <w:rPr>
      <w:rFonts w:ascii="Times New Roman" w:eastAsia="Calibri" w:hAnsi="Times New Roman" w:cs="Times New Roman"/>
      <w:color w:val="auto"/>
      <w:sz w:val="28"/>
      <w:szCs w:val="22"/>
      <w:lang w:val="en-US" w:eastAsia="en-US"/>
    </w:rPr>
  </w:style>
  <w:style w:type="character" w:customStyle="1" w:styleId="NoidungChar">
    <w:name w:val="Noi dung Char"/>
    <w:link w:val="Noidung"/>
    <w:rsid w:val="005C30DB"/>
    <w:rPr>
      <w:rFonts w:ascii="Times New Roman" w:eastAsia="Calibri" w:hAnsi="Times New Roman" w:cs="Times New Roman"/>
      <w:sz w:val="28"/>
      <w:szCs w:val="22"/>
    </w:rPr>
  </w:style>
  <w:style w:type="paragraph" w:styleId="NormalWeb">
    <w:name w:val="Normal (Web)"/>
    <w:basedOn w:val="Normal"/>
    <w:link w:val="NormalWebChar"/>
    <w:uiPriority w:val="99"/>
    <w:rsid w:val="00684163"/>
    <w:pPr>
      <w:widowControl/>
      <w:spacing w:before="100" w:beforeAutospacing="1" w:after="100" w:afterAutospacing="1"/>
    </w:pPr>
    <w:rPr>
      <w:rFonts w:ascii="Times New Roman" w:eastAsia="Times New Roman" w:hAnsi="Times New Roman" w:cs="Times New Roman"/>
      <w:noProof/>
      <w:color w:val="auto"/>
      <w:lang w:eastAsia="en-US"/>
    </w:rPr>
  </w:style>
  <w:style w:type="character" w:customStyle="1" w:styleId="NormalWebChar">
    <w:name w:val="Normal (Web) Char"/>
    <w:link w:val="NormalWeb"/>
    <w:uiPriority w:val="99"/>
    <w:rsid w:val="00684163"/>
    <w:rPr>
      <w:rFonts w:ascii="Times New Roman" w:eastAsia="Times New Roman" w:hAnsi="Times New Roman" w:cs="Times New Roman"/>
      <w:noProof/>
      <w:sz w:val="24"/>
      <w:szCs w:val="24"/>
      <w:lang w:val="vi-VN"/>
    </w:rPr>
  </w:style>
  <w:style w:type="paragraph" w:styleId="Revision">
    <w:name w:val="Revision"/>
    <w:hidden/>
    <w:uiPriority w:val="99"/>
    <w:semiHidden/>
    <w:rsid w:val="00A920F2"/>
    <w:rPr>
      <w:color w:val="000000"/>
      <w:sz w:val="24"/>
      <w:szCs w:val="24"/>
      <w:lang w:val="vi-VN" w:eastAsia="vi-VN"/>
    </w:rPr>
  </w:style>
  <w:style w:type="paragraph" w:styleId="BalloonText">
    <w:name w:val="Balloon Text"/>
    <w:basedOn w:val="Normal"/>
    <w:link w:val="BalloonTextChar"/>
    <w:rsid w:val="006D7150"/>
    <w:rPr>
      <w:rFonts w:ascii="Segoe UI" w:hAnsi="Segoe UI" w:cs="Segoe UI"/>
      <w:sz w:val="18"/>
      <w:szCs w:val="18"/>
    </w:rPr>
  </w:style>
  <w:style w:type="character" w:customStyle="1" w:styleId="BalloonTextChar">
    <w:name w:val="Balloon Text Char"/>
    <w:link w:val="BalloonText"/>
    <w:rsid w:val="006D7150"/>
    <w:rPr>
      <w:rFonts w:ascii="Segoe UI" w:hAnsi="Segoe UI" w:cs="Segoe UI"/>
      <w:color w:val="000000"/>
      <w:sz w:val="18"/>
      <w:szCs w:val="18"/>
      <w:lang w:val="vi-VN" w:eastAsia="vi-VN"/>
    </w:rPr>
  </w:style>
  <w:style w:type="character" w:customStyle="1" w:styleId="Heading1Char">
    <w:name w:val="Heading 1 Char"/>
    <w:link w:val="Heading1"/>
    <w:rsid w:val="009D1904"/>
    <w:rPr>
      <w:rFonts w:ascii="Times New Roman" w:eastAsia="Malgun Gothic" w:hAnsi="Times New Roman" w:cs="Vrinda"/>
      <w:b/>
      <w:bCs/>
      <w:color w:val="000000"/>
      <w:kern w:val="32"/>
      <w:sz w:val="28"/>
      <w:szCs w:val="32"/>
      <w:lang w:val="vi-VN" w:eastAsia="vi-VN" w:bidi="ar-SA"/>
    </w:rPr>
  </w:style>
  <w:style w:type="character" w:customStyle="1" w:styleId="Heading2Char">
    <w:name w:val="Heading 2 Char"/>
    <w:link w:val="Heading2"/>
    <w:uiPriority w:val="9"/>
    <w:rsid w:val="00F60636"/>
    <w:rPr>
      <w:rFonts w:ascii="Times New Roman" w:hAnsi="Times New Roman" w:cs="Times New Roman"/>
      <w:b/>
      <w:color w:val="000000"/>
      <w:sz w:val="28"/>
      <w:szCs w:val="28"/>
      <w:lang w:val="vi-VN" w:eastAsia="vi-VN"/>
    </w:rPr>
  </w:style>
  <w:style w:type="character" w:customStyle="1" w:styleId="Heading2Char1">
    <w:name w:val="Heading 2 Char1"/>
    <w:semiHidden/>
    <w:rsid w:val="009D1904"/>
    <w:rPr>
      <w:rFonts w:ascii="Calibri Light" w:eastAsia="Malgun Gothic" w:hAnsi="Calibri Light" w:cs="Vrinda"/>
      <w:b/>
      <w:bCs/>
      <w:i/>
      <w:iCs/>
      <w:color w:val="000000"/>
      <w:sz w:val="28"/>
      <w:szCs w:val="28"/>
      <w:lang w:val="vi-VN" w:eastAsia="vi-VN" w:bidi="ar-SA"/>
    </w:rPr>
  </w:style>
  <w:style w:type="character" w:customStyle="1" w:styleId="Other">
    <w:name w:val="Other_"/>
    <w:link w:val="Other0"/>
    <w:uiPriority w:val="99"/>
    <w:rsid w:val="009B5563"/>
    <w:rPr>
      <w:rFonts w:ascii="Times New Roman" w:hAnsi="Times New Roman" w:cs="Times New Roman"/>
      <w:color w:val="1D1A25"/>
      <w:sz w:val="26"/>
      <w:szCs w:val="26"/>
      <w:shd w:val="clear" w:color="auto" w:fill="FFFFFF"/>
    </w:rPr>
  </w:style>
  <w:style w:type="character" w:customStyle="1" w:styleId="BodyTextChar1">
    <w:name w:val="Body Text Char1"/>
    <w:link w:val="BodyText0"/>
    <w:uiPriority w:val="99"/>
    <w:rsid w:val="009B5563"/>
    <w:rPr>
      <w:rFonts w:ascii="Times New Roman" w:hAnsi="Times New Roman" w:cs="Times New Roman"/>
      <w:color w:val="1D1A25"/>
      <w:sz w:val="26"/>
      <w:szCs w:val="26"/>
      <w:shd w:val="clear" w:color="auto" w:fill="FFFFFF"/>
    </w:rPr>
  </w:style>
  <w:style w:type="paragraph" w:customStyle="1" w:styleId="Other0">
    <w:name w:val="Other"/>
    <w:basedOn w:val="Normal"/>
    <w:link w:val="Other"/>
    <w:uiPriority w:val="99"/>
    <w:rsid w:val="009B5563"/>
    <w:pPr>
      <w:shd w:val="clear" w:color="auto" w:fill="FFFFFF"/>
      <w:spacing w:line="283" w:lineRule="auto"/>
      <w:ind w:firstLine="400"/>
      <w:jc w:val="center"/>
    </w:pPr>
    <w:rPr>
      <w:rFonts w:ascii="Times New Roman" w:hAnsi="Times New Roman" w:cs="Times New Roman"/>
      <w:color w:val="1D1A25"/>
      <w:sz w:val="26"/>
      <w:szCs w:val="26"/>
      <w:lang w:val="en-US" w:eastAsia="ko-KR" w:bidi="bn-BD"/>
    </w:rPr>
  </w:style>
  <w:style w:type="paragraph" w:styleId="BodyText0">
    <w:name w:val="Body Text"/>
    <w:basedOn w:val="Normal"/>
    <w:link w:val="BodyTextChar1"/>
    <w:uiPriority w:val="99"/>
    <w:qFormat/>
    <w:rsid w:val="009B5563"/>
    <w:pPr>
      <w:shd w:val="clear" w:color="auto" w:fill="FFFFFF"/>
      <w:spacing w:line="283" w:lineRule="auto"/>
      <w:ind w:firstLine="400"/>
      <w:jc w:val="center"/>
    </w:pPr>
    <w:rPr>
      <w:rFonts w:ascii="Times New Roman" w:hAnsi="Times New Roman" w:cs="Times New Roman"/>
      <w:color w:val="1D1A25"/>
      <w:sz w:val="26"/>
      <w:szCs w:val="26"/>
      <w:lang w:val="en-US" w:eastAsia="ko-KR" w:bidi="bn-BD"/>
    </w:rPr>
  </w:style>
  <w:style w:type="character" w:customStyle="1" w:styleId="BodyTextChar">
    <w:name w:val="Body Text Char"/>
    <w:rsid w:val="009B5563"/>
    <w:rPr>
      <w:color w:val="000000"/>
      <w:sz w:val="24"/>
      <w:szCs w:val="24"/>
      <w:lang w:val="vi-VN" w:eastAsia="vi-VN" w:bidi="ar-SA"/>
    </w:rPr>
  </w:style>
  <w:style w:type="character" w:styleId="Strong">
    <w:name w:val="Strong"/>
    <w:uiPriority w:val="22"/>
    <w:qFormat/>
    <w:rsid w:val="006B0ED5"/>
    <w:rPr>
      <w:b/>
      <w:bCs/>
    </w:rPr>
  </w:style>
  <w:style w:type="character" w:styleId="LineNumber">
    <w:name w:val="line number"/>
    <w:rsid w:val="00A012C3"/>
  </w:style>
  <w:style w:type="character" w:styleId="CommentReference">
    <w:name w:val="annotation reference"/>
    <w:rsid w:val="00F16591"/>
    <w:rPr>
      <w:sz w:val="16"/>
      <w:szCs w:val="16"/>
    </w:rPr>
  </w:style>
  <w:style w:type="paragraph" w:styleId="CommentText">
    <w:name w:val="annotation text"/>
    <w:basedOn w:val="Normal"/>
    <w:link w:val="CommentTextChar"/>
    <w:rsid w:val="00F16591"/>
    <w:rPr>
      <w:sz w:val="20"/>
      <w:szCs w:val="20"/>
    </w:rPr>
  </w:style>
  <w:style w:type="character" w:customStyle="1" w:styleId="CommentTextChar">
    <w:name w:val="Comment Text Char"/>
    <w:link w:val="CommentText"/>
    <w:rsid w:val="00F16591"/>
    <w:rPr>
      <w:color w:val="000000"/>
      <w:lang w:val="vi-VN" w:eastAsia="vi-VN"/>
    </w:rPr>
  </w:style>
  <w:style w:type="paragraph" w:styleId="CommentSubject">
    <w:name w:val="annotation subject"/>
    <w:basedOn w:val="CommentText"/>
    <w:next w:val="CommentText"/>
    <w:link w:val="CommentSubjectChar"/>
    <w:rsid w:val="00F16591"/>
    <w:rPr>
      <w:b/>
      <w:bCs/>
    </w:rPr>
  </w:style>
  <w:style w:type="character" w:customStyle="1" w:styleId="CommentSubjectChar">
    <w:name w:val="Comment Subject Char"/>
    <w:link w:val="CommentSubject"/>
    <w:rsid w:val="00F16591"/>
    <w:rPr>
      <w:b/>
      <w:bCs/>
      <w:color w:val="000000"/>
      <w:lang w:val="vi-VN" w:eastAsia="vi-VN"/>
    </w:rPr>
  </w:style>
  <w:style w:type="paragraph" w:styleId="ListParagraph">
    <w:name w:val="List Paragraph"/>
    <w:basedOn w:val="Normal"/>
    <w:uiPriority w:val="34"/>
    <w:qFormat/>
    <w:rsid w:val="00E45D6C"/>
    <w:pPr>
      <w:ind w:left="720"/>
      <w:contextualSpacing/>
    </w:pPr>
  </w:style>
  <w:style w:type="character" w:styleId="Emphasis">
    <w:name w:val="Emphasis"/>
    <w:uiPriority w:val="20"/>
    <w:qFormat/>
    <w:rsid w:val="002937B5"/>
    <w:rPr>
      <w:i/>
      <w:iCs/>
    </w:rPr>
  </w:style>
  <w:style w:type="character" w:customStyle="1" w:styleId="doclink">
    <w:name w:val="doclink"/>
    <w:rsid w:val="00EA02A0"/>
  </w:style>
  <w:style w:type="character" w:customStyle="1" w:styleId="Vnbnnidung">
    <w:name w:val="Văn bản nội dung_"/>
    <w:link w:val="Vnbnnidung0"/>
    <w:rsid w:val="00AE263D"/>
    <w:rPr>
      <w:rFonts w:ascii="Times New Roman" w:eastAsia="Times New Roman" w:hAnsi="Times New Roman" w:cs="Times New Roman"/>
    </w:rPr>
  </w:style>
  <w:style w:type="character" w:customStyle="1" w:styleId="Vnbnnidung2">
    <w:name w:val="Văn bản nội dung (2)_"/>
    <w:link w:val="Vnbnnidung20"/>
    <w:rsid w:val="00AE263D"/>
    <w:rPr>
      <w:rFonts w:ascii="Arial" w:eastAsia="Arial" w:hAnsi="Arial" w:cs="Arial"/>
      <w:color w:val="D5618C"/>
      <w:sz w:val="11"/>
      <w:szCs w:val="11"/>
    </w:rPr>
  </w:style>
  <w:style w:type="paragraph" w:customStyle="1" w:styleId="Vnbnnidung0">
    <w:name w:val="Văn bản nội dung"/>
    <w:basedOn w:val="Normal"/>
    <w:link w:val="Vnbnnidung"/>
    <w:rsid w:val="00AE263D"/>
    <w:pPr>
      <w:spacing w:after="80" w:line="266" w:lineRule="auto"/>
      <w:ind w:firstLine="400"/>
    </w:pPr>
    <w:rPr>
      <w:rFonts w:ascii="Times New Roman" w:eastAsia="Times New Roman" w:hAnsi="Times New Roman" w:cs="Times New Roman"/>
      <w:color w:val="auto"/>
      <w:sz w:val="20"/>
      <w:szCs w:val="20"/>
      <w:lang w:val="en-US" w:eastAsia="en-US"/>
    </w:rPr>
  </w:style>
  <w:style w:type="paragraph" w:customStyle="1" w:styleId="Vnbnnidung20">
    <w:name w:val="Văn bản nội dung (2)"/>
    <w:basedOn w:val="Normal"/>
    <w:link w:val="Vnbnnidung2"/>
    <w:rsid w:val="00AE263D"/>
    <w:pPr>
      <w:spacing w:after="80"/>
      <w:ind w:left="3760"/>
    </w:pPr>
    <w:rPr>
      <w:rFonts w:ascii="Arial" w:eastAsia="Arial" w:hAnsi="Arial" w:cs="Arial"/>
      <w:color w:val="D5618C"/>
      <w:sz w:val="11"/>
      <w:szCs w:val="11"/>
      <w:lang w:val="en-US" w:eastAsia="en-US"/>
    </w:rPr>
  </w:style>
  <w:style w:type="character" w:customStyle="1" w:styleId="normalchar">
    <w:name w:val="normal__char"/>
    <w:rsid w:val="00464321"/>
  </w:style>
  <w:style w:type="character" w:styleId="PlaceholderText">
    <w:name w:val="Placeholder Text"/>
    <w:basedOn w:val="DefaultParagraphFont"/>
    <w:uiPriority w:val="99"/>
    <w:semiHidden/>
    <w:rsid w:val="00003F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7462">
      <w:bodyDiv w:val="1"/>
      <w:marLeft w:val="0"/>
      <w:marRight w:val="0"/>
      <w:marTop w:val="0"/>
      <w:marBottom w:val="0"/>
      <w:divBdr>
        <w:top w:val="none" w:sz="0" w:space="0" w:color="auto"/>
        <w:left w:val="none" w:sz="0" w:space="0" w:color="auto"/>
        <w:bottom w:val="none" w:sz="0" w:space="0" w:color="auto"/>
        <w:right w:val="none" w:sz="0" w:space="0" w:color="auto"/>
      </w:divBdr>
      <w:divsChild>
        <w:div w:id="126246711">
          <w:marLeft w:val="0"/>
          <w:marRight w:val="0"/>
          <w:marTop w:val="120"/>
          <w:marBottom w:val="120"/>
          <w:divBdr>
            <w:top w:val="none" w:sz="0" w:space="0" w:color="auto"/>
            <w:left w:val="none" w:sz="0" w:space="0" w:color="auto"/>
            <w:bottom w:val="none" w:sz="0" w:space="0" w:color="auto"/>
            <w:right w:val="none" w:sz="0" w:space="0" w:color="auto"/>
          </w:divBdr>
        </w:div>
        <w:div w:id="394938730">
          <w:marLeft w:val="0"/>
          <w:marRight w:val="0"/>
          <w:marTop w:val="120"/>
          <w:marBottom w:val="120"/>
          <w:divBdr>
            <w:top w:val="none" w:sz="0" w:space="0" w:color="auto"/>
            <w:left w:val="none" w:sz="0" w:space="0" w:color="auto"/>
            <w:bottom w:val="none" w:sz="0" w:space="0" w:color="auto"/>
            <w:right w:val="none" w:sz="0" w:space="0" w:color="auto"/>
          </w:divBdr>
        </w:div>
        <w:div w:id="837690994">
          <w:marLeft w:val="0"/>
          <w:marRight w:val="0"/>
          <w:marTop w:val="120"/>
          <w:marBottom w:val="120"/>
          <w:divBdr>
            <w:top w:val="none" w:sz="0" w:space="0" w:color="auto"/>
            <w:left w:val="none" w:sz="0" w:space="0" w:color="auto"/>
            <w:bottom w:val="none" w:sz="0" w:space="0" w:color="auto"/>
            <w:right w:val="none" w:sz="0" w:space="0" w:color="auto"/>
          </w:divBdr>
        </w:div>
        <w:div w:id="1018629105">
          <w:marLeft w:val="0"/>
          <w:marRight w:val="0"/>
          <w:marTop w:val="120"/>
          <w:marBottom w:val="120"/>
          <w:divBdr>
            <w:top w:val="none" w:sz="0" w:space="0" w:color="auto"/>
            <w:left w:val="none" w:sz="0" w:space="0" w:color="auto"/>
            <w:bottom w:val="none" w:sz="0" w:space="0" w:color="auto"/>
            <w:right w:val="none" w:sz="0" w:space="0" w:color="auto"/>
          </w:divBdr>
        </w:div>
        <w:div w:id="1874266070">
          <w:marLeft w:val="0"/>
          <w:marRight w:val="0"/>
          <w:marTop w:val="120"/>
          <w:marBottom w:val="120"/>
          <w:divBdr>
            <w:top w:val="none" w:sz="0" w:space="0" w:color="auto"/>
            <w:left w:val="none" w:sz="0" w:space="0" w:color="auto"/>
            <w:bottom w:val="none" w:sz="0" w:space="0" w:color="auto"/>
            <w:right w:val="none" w:sz="0" w:space="0" w:color="auto"/>
          </w:divBdr>
        </w:div>
      </w:divsChild>
    </w:div>
    <w:div w:id="41489212">
      <w:bodyDiv w:val="1"/>
      <w:marLeft w:val="0"/>
      <w:marRight w:val="0"/>
      <w:marTop w:val="0"/>
      <w:marBottom w:val="0"/>
      <w:divBdr>
        <w:top w:val="none" w:sz="0" w:space="0" w:color="auto"/>
        <w:left w:val="none" w:sz="0" w:space="0" w:color="auto"/>
        <w:bottom w:val="none" w:sz="0" w:space="0" w:color="auto"/>
        <w:right w:val="none" w:sz="0" w:space="0" w:color="auto"/>
      </w:divBdr>
    </w:div>
    <w:div w:id="138496822">
      <w:bodyDiv w:val="1"/>
      <w:marLeft w:val="0"/>
      <w:marRight w:val="0"/>
      <w:marTop w:val="0"/>
      <w:marBottom w:val="0"/>
      <w:divBdr>
        <w:top w:val="none" w:sz="0" w:space="0" w:color="auto"/>
        <w:left w:val="none" w:sz="0" w:space="0" w:color="auto"/>
        <w:bottom w:val="none" w:sz="0" w:space="0" w:color="auto"/>
        <w:right w:val="none" w:sz="0" w:space="0" w:color="auto"/>
      </w:divBdr>
      <w:divsChild>
        <w:div w:id="225268269">
          <w:marLeft w:val="0"/>
          <w:marRight w:val="0"/>
          <w:marTop w:val="120"/>
          <w:marBottom w:val="120"/>
          <w:divBdr>
            <w:top w:val="none" w:sz="0" w:space="0" w:color="auto"/>
            <w:left w:val="none" w:sz="0" w:space="0" w:color="auto"/>
            <w:bottom w:val="none" w:sz="0" w:space="0" w:color="auto"/>
            <w:right w:val="none" w:sz="0" w:space="0" w:color="auto"/>
          </w:divBdr>
        </w:div>
        <w:div w:id="614948891">
          <w:marLeft w:val="0"/>
          <w:marRight w:val="0"/>
          <w:marTop w:val="120"/>
          <w:marBottom w:val="120"/>
          <w:divBdr>
            <w:top w:val="none" w:sz="0" w:space="0" w:color="auto"/>
            <w:left w:val="none" w:sz="0" w:space="0" w:color="auto"/>
            <w:bottom w:val="none" w:sz="0" w:space="0" w:color="auto"/>
            <w:right w:val="none" w:sz="0" w:space="0" w:color="auto"/>
          </w:divBdr>
        </w:div>
        <w:div w:id="615723324">
          <w:marLeft w:val="0"/>
          <w:marRight w:val="0"/>
          <w:marTop w:val="120"/>
          <w:marBottom w:val="120"/>
          <w:divBdr>
            <w:top w:val="none" w:sz="0" w:space="0" w:color="auto"/>
            <w:left w:val="none" w:sz="0" w:space="0" w:color="auto"/>
            <w:bottom w:val="none" w:sz="0" w:space="0" w:color="auto"/>
            <w:right w:val="none" w:sz="0" w:space="0" w:color="auto"/>
          </w:divBdr>
        </w:div>
        <w:div w:id="789933076">
          <w:marLeft w:val="0"/>
          <w:marRight w:val="0"/>
          <w:marTop w:val="120"/>
          <w:marBottom w:val="120"/>
          <w:divBdr>
            <w:top w:val="none" w:sz="0" w:space="0" w:color="auto"/>
            <w:left w:val="none" w:sz="0" w:space="0" w:color="auto"/>
            <w:bottom w:val="none" w:sz="0" w:space="0" w:color="auto"/>
            <w:right w:val="none" w:sz="0" w:space="0" w:color="auto"/>
          </w:divBdr>
        </w:div>
        <w:div w:id="936712189">
          <w:marLeft w:val="0"/>
          <w:marRight w:val="0"/>
          <w:marTop w:val="120"/>
          <w:marBottom w:val="120"/>
          <w:divBdr>
            <w:top w:val="none" w:sz="0" w:space="0" w:color="auto"/>
            <w:left w:val="none" w:sz="0" w:space="0" w:color="auto"/>
            <w:bottom w:val="none" w:sz="0" w:space="0" w:color="auto"/>
            <w:right w:val="none" w:sz="0" w:space="0" w:color="auto"/>
          </w:divBdr>
        </w:div>
        <w:div w:id="955675556">
          <w:marLeft w:val="0"/>
          <w:marRight w:val="0"/>
          <w:marTop w:val="120"/>
          <w:marBottom w:val="120"/>
          <w:divBdr>
            <w:top w:val="none" w:sz="0" w:space="0" w:color="auto"/>
            <w:left w:val="none" w:sz="0" w:space="0" w:color="auto"/>
            <w:bottom w:val="none" w:sz="0" w:space="0" w:color="auto"/>
            <w:right w:val="none" w:sz="0" w:space="0" w:color="auto"/>
          </w:divBdr>
        </w:div>
        <w:div w:id="1255894489">
          <w:marLeft w:val="0"/>
          <w:marRight w:val="0"/>
          <w:marTop w:val="120"/>
          <w:marBottom w:val="120"/>
          <w:divBdr>
            <w:top w:val="none" w:sz="0" w:space="0" w:color="auto"/>
            <w:left w:val="none" w:sz="0" w:space="0" w:color="auto"/>
            <w:bottom w:val="none" w:sz="0" w:space="0" w:color="auto"/>
            <w:right w:val="none" w:sz="0" w:space="0" w:color="auto"/>
          </w:divBdr>
        </w:div>
        <w:div w:id="1443454493">
          <w:marLeft w:val="0"/>
          <w:marRight w:val="0"/>
          <w:marTop w:val="120"/>
          <w:marBottom w:val="120"/>
          <w:divBdr>
            <w:top w:val="none" w:sz="0" w:space="0" w:color="auto"/>
            <w:left w:val="none" w:sz="0" w:space="0" w:color="auto"/>
            <w:bottom w:val="none" w:sz="0" w:space="0" w:color="auto"/>
            <w:right w:val="none" w:sz="0" w:space="0" w:color="auto"/>
          </w:divBdr>
        </w:div>
        <w:div w:id="1650480005">
          <w:marLeft w:val="0"/>
          <w:marRight w:val="0"/>
          <w:marTop w:val="120"/>
          <w:marBottom w:val="120"/>
          <w:divBdr>
            <w:top w:val="none" w:sz="0" w:space="0" w:color="auto"/>
            <w:left w:val="none" w:sz="0" w:space="0" w:color="auto"/>
            <w:bottom w:val="none" w:sz="0" w:space="0" w:color="auto"/>
            <w:right w:val="none" w:sz="0" w:space="0" w:color="auto"/>
          </w:divBdr>
        </w:div>
        <w:div w:id="1925990316">
          <w:marLeft w:val="0"/>
          <w:marRight w:val="0"/>
          <w:marTop w:val="120"/>
          <w:marBottom w:val="120"/>
          <w:divBdr>
            <w:top w:val="none" w:sz="0" w:space="0" w:color="auto"/>
            <w:left w:val="none" w:sz="0" w:space="0" w:color="auto"/>
            <w:bottom w:val="none" w:sz="0" w:space="0" w:color="auto"/>
            <w:right w:val="none" w:sz="0" w:space="0" w:color="auto"/>
          </w:divBdr>
        </w:div>
        <w:div w:id="2061662527">
          <w:marLeft w:val="0"/>
          <w:marRight w:val="0"/>
          <w:marTop w:val="120"/>
          <w:marBottom w:val="120"/>
          <w:divBdr>
            <w:top w:val="none" w:sz="0" w:space="0" w:color="auto"/>
            <w:left w:val="none" w:sz="0" w:space="0" w:color="auto"/>
            <w:bottom w:val="none" w:sz="0" w:space="0" w:color="auto"/>
            <w:right w:val="none" w:sz="0" w:space="0" w:color="auto"/>
          </w:divBdr>
        </w:div>
      </w:divsChild>
    </w:div>
    <w:div w:id="158889906">
      <w:bodyDiv w:val="1"/>
      <w:marLeft w:val="0"/>
      <w:marRight w:val="0"/>
      <w:marTop w:val="0"/>
      <w:marBottom w:val="0"/>
      <w:divBdr>
        <w:top w:val="none" w:sz="0" w:space="0" w:color="auto"/>
        <w:left w:val="none" w:sz="0" w:space="0" w:color="auto"/>
        <w:bottom w:val="none" w:sz="0" w:space="0" w:color="auto"/>
        <w:right w:val="none" w:sz="0" w:space="0" w:color="auto"/>
      </w:divBdr>
      <w:divsChild>
        <w:div w:id="746266791">
          <w:marLeft w:val="0"/>
          <w:marRight w:val="0"/>
          <w:marTop w:val="120"/>
          <w:marBottom w:val="120"/>
          <w:divBdr>
            <w:top w:val="none" w:sz="0" w:space="0" w:color="auto"/>
            <w:left w:val="none" w:sz="0" w:space="0" w:color="auto"/>
            <w:bottom w:val="none" w:sz="0" w:space="0" w:color="auto"/>
            <w:right w:val="none" w:sz="0" w:space="0" w:color="auto"/>
          </w:divBdr>
        </w:div>
        <w:div w:id="814177712">
          <w:marLeft w:val="0"/>
          <w:marRight w:val="0"/>
          <w:marTop w:val="120"/>
          <w:marBottom w:val="120"/>
          <w:divBdr>
            <w:top w:val="none" w:sz="0" w:space="0" w:color="auto"/>
            <w:left w:val="none" w:sz="0" w:space="0" w:color="auto"/>
            <w:bottom w:val="none" w:sz="0" w:space="0" w:color="auto"/>
            <w:right w:val="none" w:sz="0" w:space="0" w:color="auto"/>
          </w:divBdr>
        </w:div>
        <w:div w:id="1201280719">
          <w:marLeft w:val="0"/>
          <w:marRight w:val="0"/>
          <w:marTop w:val="120"/>
          <w:marBottom w:val="120"/>
          <w:divBdr>
            <w:top w:val="none" w:sz="0" w:space="0" w:color="auto"/>
            <w:left w:val="none" w:sz="0" w:space="0" w:color="auto"/>
            <w:bottom w:val="none" w:sz="0" w:space="0" w:color="auto"/>
            <w:right w:val="none" w:sz="0" w:space="0" w:color="auto"/>
          </w:divBdr>
        </w:div>
      </w:divsChild>
    </w:div>
    <w:div w:id="219219385">
      <w:bodyDiv w:val="1"/>
      <w:marLeft w:val="0"/>
      <w:marRight w:val="0"/>
      <w:marTop w:val="0"/>
      <w:marBottom w:val="0"/>
      <w:divBdr>
        <w:top w:val="none" w:sz="0" w:space="0" w:color="auto"/>
        <w:left w:val="none" w:sz="0" w:space="0" w:color="auto"/>
        <w:bottom w:val="none" w:sz="0" w:space="0" w:color="auto"/>
        <w:right w:val="none" w:sz="0" w:space="0" w:color="auto"/>
      </w:divBdr>
    </w:div>
    <w:div w:id="272978054">
      <w:bodyDiv w:val="1"/>
      <w:marLeft w:val="0"/>
      <w:marRight w:val="0"/>
      <w:marTop w:val="0"/>
      <w:marBottom w:val="0"/>
      <w:divBdr>
        <w:top w:val="none" w:sz="0" w:space="0" w:color="auto"/>
        <w:left w:val="none" w:sz="0" w:space="0" w:color="auto"/>
        <w:bottom w:val="none" w:sz="0" w:space="0" w:color="auto"/>
        <w:right w:val="none" w:sz="0" w:space="0" w:color="auto"/>
      </w:divBdr>
    </w:div>
    <w:div w:id="457066071">
      <w:bodyDiv w:val="1"/>
      <w:marLeft w:val="0"/>
      <w:marRight w:val="0"/>
      <w:marTop w:val="0"/>
      <w:marBottom w:val="0"/>
      <w:divBdr>
        <w:top w:val="none" w:sz="0" w:space="0" w:color="auto"/>
        <w:left w:val="none" w:sz="0" w:space="0" w:color="auto"/>
        <w:bottom w:val="none" w:sz="0" w:space="0" w:color="auto"/>
        <w:right w:val="none" w:sz="0" w:space="0" w:color="auto"/>
      </w:divBdr>
      <w:divsChild>
        <w:div w:id="153499119">
          <w:marLeft w:val="0"/>
          <w:marRight w:val="0"/>
          <w:marTop w:val="120"/>
          <w:marBottom w:val="120"/>
          <w:divBdr>
            <w:top w:val="none" w:sz="0" w:space="0" w:color="auto"/>
            <w:left w:val="none" w:sz="0" w:space="0" w:color="auto"/>
            <w:bottom w:val="none" w:sz="0" w:space="0" w:color="auto"/>
            <w:right w:val="none" w:sz="0" w:space="0" w:color="auto"/>
          </w:divBdr>
        </w:div>
        <w:div w:id="1015771113">
          <w:marLeft w:val="0"/>
          <w:marRight w:val="0"/>
          <w:marTop w:val="120"/>
          <w:marBottom w:val="120"/>
          <w:divBdr>
            <w:top w:val="none" w:sz="0" w:space="0" w:color="auto"/>
            <w:left w:val="none" w:sz="0" w:space="0" w:color="auto"/>
            <w:bottom w:val="none" w:sz="0" w:space="0" w:color="auto"/>
            <w:right w:val="none" w:sz="0" w:space="0" w:color="auto"/>
          </w:divBdr>
        </w:div>
        <w:div w:id="1226835952">
          <w:marLeft w:val="0"/>
          <w:marRight w:val="0"/>
          <w:marTop w:val="120"/>
          <w:marBottom w:val="120"/>
          <w:divBdr>
            <w:top w:val="none" w:sz="0" w:space="0" w:color="auto"/>
            <w:left w:val="none" w:sz="0" w:space="0" w:color="auto"/>
            <w:bottom w:val="none" w:sz="0" w:space="0" w:color="auto"/>
            <w:right w:val="none" w:sz="0" w:space="0" w:color="auto"/>
          </w:divBdr>
        </w:div>
        <w:div w:id="1915814696">
          <w:marLeft w:val="0"/>
          <w:marRight w:val="0"/>
          <w:marTop w:val="120"/>
          <w:marBottom w:val="120"/>
          <w:divBdr>
            <w:top w:val="none" w:sz="0" w:space="0" w:color="auto"/>
            <w:left w:val="none" w:sz="0" w:space="0" w:color="auto"/>
            <w:bottom w:val="none" w:sz="0" w:space="0" w:color="auto"/>
            <w:right w:val="none" w:sz="0" w:space="0" w:color="auto"/>
          </w:divBdr>
        </w:div>
      </w:divsChild>
    </w:div>
    <w:div w:id="571742737">
      <w:bodyDiv w:val="1"/>
      <w:marLeft w:val="0"/>
      <w:marRight w:val="0"/>
      <w:marTop w:val="0"/>
      <w:marBottom w:val="0"/>
      <w:divBdr>
        <w:top w:val="none" w:sz="0" w:space="0" w:color="auto"/>
        <w:left w:val="none" w:sz="0" w:space="0" w:color="auto"/>
        <w:bottom w:val="none" w:sz="0" w:space="0" w:color="auto"/>
        <w:right w:val="none" w:sz="0" w:space="0" w:color="auto"/>
      </w:divBdr>
    </w:div>
    <w:div w:id="614561215">
      <w:bodyDiv w:val="1"/>
      <w:marLeft w:val="0"/>
      <w:marRight w:val="0"/>
      <w:marTop w:val="0"/>
      <w:marBottom w:val="0"/>
      <w:divBdr>
        <w:top w:val="none" w:sz="0" w:space="0" w:color="auto"/>
        <w:left w:val="none" w:sz="0" w:space="0" w:color="auto"/>
        <w:bottom w:val="none" w:sz="0" w:space="0" w:color="auto"/>
        <w:right w:val="none" w:sz="0" w:space="0" w:color="auto"/>
      </w:divBdr>
    </w:div>
    <w:div w:id="668875089">
      <w:bodyDiv w:val="1"/>
      <w:marLeft w:val="0"/>
      <w:marRight w:val="0"/>
      <w:marTop w:val="0"/>
      <w:marBottom w:val="0"/>
      <w:divBdr>
        <w:top w:val="none" w:sz="0" w:space="0" w:color="auto"/>
        <w:left w:val="none" w:sz="0" w:space="0" w:color="auto"/>
        <w:bottom w:val="none" w:sz="0" w:space="0" w:color="auto"/>
        <w:right w:val="none" w:sz="0" w:space="0" w:color="auto"/>
      </w:divBdr>
    </w:div>
    <w:div w:id="732045030">
      <w:bodyDiv w:val="1"/>
      <w:marLeft w:val="0"/>
      <w:marRight w:val="0"/>
      <w:marTop w:val="0"/>
      <w:marBottom w:val="0"/>
      <w:divBdr>
        <w:top w:val="none" w:sz="0" w:space="0" w:color="auto"/>
        <w:left w:val="none" w:sz="0" w:space="0" w:color="auto"/>
        <w:bottom w:val="none" w:sz="0" w:space="0" w:color="auto"/>
        <w:right w:val="none" w:sz="0" w:space="0" w:color="auto"/>
      </w:divBdr>
    </w:div>
    <w:div w:id="769862287">
      <w:bodyDiv w:val="1"/>
      <w:marLeft w:val="0"/>
      <w:marRight w:val="0"/>
      <w:marTop w:val="0"/>
      <w:marBottom w:val="0"/>
      <w:divBdr>
        <w:top w:val="none" w:sz="0" w:space="0" w:color="auto"/>
        <w:left w:val="none" w:sz="0" w:space="0" w:color="auto"/>
        <w:bottom w:val="none" w:sz="0" w:space="0" w:color="auto"/>
        <w:right w:val="none" w:sz="0" w:space="0" w:color="auto"/>
      </w:divBdr>
      <w:divsChild>
        <w:div w:id="25524279">
          <w:marLeft w:val="0"/>
          <w:marRight w:val="0"/>
          <w:marTop w:val="120"/>
          <w:marBottom w:val="120"/>
          <w:divBdr>
            <w:top w:val="none" w:sz="0" w:space="0" w:color="auto"/>
            <w:left w:val="none" w:sz="0" w:space="0" w:color="auto"/>
            <w:bottom w:val="none" w:sz="0" w:space="0" w:color="auto"/>
            <w:right w:val="none" w:sz="0" w:space="0" w:color="auto"/>
          </w:divBdr>
        </w:div>
        <w:div w:id="622342698">
          <w:marLeft w:val="0"/>
          <w:marRight w:val="0"/>
          <w:marTop w:val="120"/>
          <w:marBottom w:val="120"/>
          <w:divBdr>
            <w:top w:val="none" w:sz="0" w:space="0" w:color="auto"/>
            <w:left w:val="none" w:sz="0" w:space="0" w:color="auto"/>
            <w:bottom w:val="none" w:sz="0" w:space="0" w:color="auto"/>
            <w:right w:val="none" w:sz="0" w:space="0" w:color="auto"/>
          </w:divBdr>
        </w:div>
        <w:div w:id="649360498">
          <w:marLeft w:val="0"/>
          <w:marRight w:val="0"/>
          <w:marTop w:val="120"/>
          <w:marBottom w:val="120"/>
          <w:divBdr>
            <w:top w:val="none" w:sz="0" w:space="0" w:color="auto"/>
            <w:left w:val="none" w:sz="0" w:space="0" w:color="auto"/>
            <w:bottom w:val="none" w:sz="0" w:space="0" w:color="auto"/>
            <w:right w:val="none" w:sz="0" w:space="0" w:color="auto"/>
          </w:divBdr>
        </w:div>
        <w:div w:id="791051926">
          <w:marLeft w:val="0"/>
          <w:marRight w:val="0"/>
          <w:marTop w:val="120"/>
          <w:marBottom w:val="120"/>
          <w:divBdr>
            <w:top w:val="none" w:sz="0" w:space="0" w:color="auto"/>
            <w:left w:val="none" w:sz="0" w:space="0" w:color="auto"/>
            <w:bottom w:val="none" w:sz="0" w:space="0" w:color="auto"/>
            <w:right w:val="none" w:sz="0" w:space="0" w:color="auto"/>
          </w:divBdr>
        </w:div>
        <w:div w:id="1159614404">
          <w:marLeft w:val="0"/>
          <w:marRight w:val="0"/>
          <w:marTop w:val="120"/>
          <w:marBottom w:val="120"/>
          <w:divBdr>
            <w:top w:val="none" w:sz="0" w:space="0" w:color="auto"/>
            <w:left w:val="none" w:sz="0" w:space="0" w:color="auto"/>
            <w:bottom w:val="none" w:sz="0" w:space="0" w:color="auto"/>
            <w:right w:val="none" w:sz="0" w:space="0" w:color="auto"/>
          </w:divBdr>
        </w:div>
        <w:div w:id="1486431847">
          <w:marLeft w:val="0"/>
          <w:marRight w:val="0"/>
          <w:marTop w:val="120"/>
          <w:marBottom w:val="120"/>
          <w:divBdr>
            <w:top w:val="none" w:sz="0" w:space="0" w:color="auto"/>
            <w:left w:val="none" w:sz="0" w:space="0" w:color="auto"/>
            <w:bottom w:val="none" w:sz="0" w:space="0" w:color="auto"/>
            <w:right w:val="none" w:sz="0" w:space="0" w:color="auto"/>
          </w:divBdr>
        </w:div>
        <w:div w:id="1795981145">
          <w:marLeft w:val="0"/>
          <w:marRight w:val="0"/>
          <w:marTop w:val="120"/>
          <w:marBottom w:val="120"/>
          <w:divBdr>
            <w:top w:val="none" w:sz="0" w:space="0" w:color="auto"/>
            <w:left w:val="none" w:sz="0" w:space="0" w:color="auto"/>
            <w:bottom w:val="none" w:sz="0" w:space="0" w:color="auto"/>
            <w:right w:val="none" w:sz="0" w:space="0" w:color="auto"/>
          </w:divBdr>
        </w:div>
        <w:div w:id="1993098237">
          <w:marLeft w:val="0"/>
          <w:marRight w:val="0"/>
          <w:marTop w:val="120"/>
          <w:marBottom w:val="120"/>
          <w:divBdr>
            <w:top w:val="none" w:sz="0" w:space="0" w:color="auto"/>
            <w:left w:val="none" w:sz="0" w:space="0" w:color="auto"/>
            <w:bottom w:val="none" w:sz="0" w:space="0" w:color="auto"/>
            <w:right w:val="none" w:sz="0" w:space="0" w:color="auto"/>
          </w:divBdr>
        </w:div>
        <w:div w:id="2010909608">
          <w:marLeft w:val="0"/>
          <w:marRight w:val="0"/>
          <w:marTop w:val="120"/>
          <w:marBottom w:val="120"/>
          <w:divBdr>
            <w:top w:val="none" w:sz="0" w:space="0" w:color="auto"/>
            <w:left w:val="none" w:sz="0" w:space="0" w:color="auto"/>
            <w:bottom w:val="none" w:sz="0" w:space="0" w:color="auto"/>
            <w:right w:val="none" w:sz="0" w:space="0" w:color="auto"/>
          </w:divBdr>
        </w:div>
      </w:divsChild>
    </w:div>
    <w:div w:id="786046196">
      <w:bodyDiv w:val="1"/>
      <w:marLeft w:val="0"/>
      <w:marRight w:val="0"/>
      <w:marTop w:val="0"/>
      <w:marBottom w:val="0"/>
      <w:divBdr>
        <w:top w:val="none" w:sz="0" w:space="0" w:color="auto"/>
        <w:left w:val="none" w:sz="0" w:space="0" w:color="auto"/>
        <w:bottom w:val="none" w:sz="0" w:space="0" w:color="auto"/>
        <w:right w:val="none" w:sz="0" w:space="0" w:color="auto"/>
      </w:divBdr>
    </w:div>
    <w:div w:id="919755344">
      <w:bodyDiv w:val="1"/>
      <w:marLeft w:val="0"/>
      <w:marRight w:val="0"/>
      <w:marTop w:val="0"/>
      <w:marBottom w:val="0"/>
      <w:divBdr>
        <w:top w:val="none" w:sz="0" w:space="0" w:color="auto"/>
        <w:left w:val="none" w:sz="0" w:space="0" w:color="auto"/>
        <w:bottom w:val="none" w:sz="0" w:space="0" w:color="auto"/>
        <w:right w:val="none" w:sz="0" w:space="0" w:color="auto"/>
      </w:divBdr>
    </w:div>
    <w:div w:id="1015377011">
      <w:bodyDiv w:val="1"/>
      <w:marLeft w:val="0"/>
      <w:marRight w:val="0"/>
      <w:marTop w:val="0"/>
      <w:marBottom w:val="0"/>
      <w:divBdr>
        <w:top w:val="none" w:sz="0" w:space="0" w:color="auto"/>
        <w:left w:val="none" w:sz="0" w:space="0" w:color="auto"/>
        <w:bottom w:val="none" w:sz="0" w:space="0" w:color="auto"/>
        <w:right w:val="none" w:sz="0" w:space="0" w:color="auto"/>
      </w:divBdr>
    </w:div>
    <w:div w:id="1020543808">
      <w:bodyDiv w:val="1"/>
      <w:marLeft w:val="0"/>
      <w:marRight w:val="0"/>
      <w:marTop w:val="0"/>
      <w:marBottom w:val="0"/>
      <w:divBdr>
        <w:top w:val="none" w:sz="0" w:space="0" w:color="auto"/>
        <w:left w:val="none" w:sz="0" w:space="0" w:color="auto"/>
        <w:bottom w:val="none" w:sz="0" w:space="0" w:color="auto"/>
        <w:right w:val="none" w:sz="0" w:space="0" w:color="auto"/>
      </w:divBdr>
    </w:div>
    <w:div w:id="1037126977">
      <w:bodyDiv w:val="1"/>
      <w:marLeft w:val="0"/>
      <w:marRight w:val="0"/>
      <w:marTop w:val="0"/>
      <w:marBottom w:val="0"/>
      <w:divBdr>
        <w:top w:val="none" w:sz="0" w:space="0" w:color="auto"/>
        <w:left w:val="none" w:sz="0" w:space="0" w:color="auto"/>
        <w:bottom w:val="none" w:sz="0" w:space="0" w:color="auto"/>
        <w:right w:val="none" w:sz="0" w:space="0" w:color="auto"/>
      </w:divBdr>
    </w:div>
    <w:div w:id="1078139419">
      <w:bodyDiv w:val="1"/>
      <w:marLeft w:val="0"/>
      <w:marRight w:val="0"/>
      <w:marTop w:val="0"/>
      <w:marBottom w:val="0"/>
      <w:divBdr>
        <w:top w:val="none" w:sz="0" w:space="0" w:color="auto"/>
        <w:left w:val="none" w:sz="0" w:space="0" w:color="auto"/>
        <w:bottom w:val="none" w:sz="0" w:space="0" w:color="auto"/>
        <w:right w:val="none" w:sz="0" w:space="0" w:color="auto"/>
      </w:divBdr>
      <w:divsChild>
        <w:div w:id="270088159">
          <w:marLeft w:val="0"/>
          <w:marRight w:val="0"/>
          <w:marTop w:val="120"/>
          <w:marBottom w:val="120"/>
          <w:divBdr>
            <w:top w:val="none" w:sz="0" w:space="0" w:color="auto"/>
            <w:left w:val="none" w:sz="0" w:space="0" w:color="auto"/>
            <w:bottom w:val="none" w:sz="0" w:space="0" w:color="auto"/>
            <w:right w:val="none" w:sz="0" w:space="0" w:color="auto"/>
          </w:divBdr>
        </w:div>
        <w:div w:id="906919657">
          <w:marLeft w:val="0"/>
          <w:marRight w:val="0"/>
          <w:marTop w:val="120"/>
          <w:marBottom w:val="120"/>
          <w:divBdr>
            <w:top w:val="none" w:sz="0" w:space="0" w:color="auto"/>
            <w:left w:val="none" w:sz="0" w:space="0" w:color="auto"/>
            <w:bottom w:val="none" w:sz="0" w:space="0" w:color="auto"/>
            <w:right w:val="none" w:sz="0" w:space="0" w:color="auto"/>
          </w:divBdr>
        </w:div>
        <w:div w:id="938489875">
          <w:marLeft w:val="0"/>
          <w:marRight w:val="0"/>
          <w:marTop w:val="120"/>
          <w:marBottom w:val="120"/>
          <w:divBdr>
            <w:top w:val="none" w:sz="0" w:space="0" w:color="auto"/>
            <w:left w:val="none" w:sz="0" w:space="0" w:color="auto"/>
            <w:bottom w:val="none" w:sz="0" w:space="0" w:color="auto"/>
            <w:right w:val="none" w:sz="0" w:space="0" w:color="auto"/>
          </w:divBdr>
        </w:div>
        <w:div w:id="964502265">
          <w:marLeft w:val="0"/>
          <w:marRight w:val="0"/>
          <w:marTop w:val="120"/>
          <w:marBottom w:val="120"/>
          <w:divBdr>
            <w:top w:val="none" w:sz="0" w:space="0" w:color="auto"/>
            <w:left w:val="none" w:sz="0" w:space="0" w:color="auto"/>
            <w:bottom w:val="none" w:sz="0" w:space="0" w:color="auto"/>
            <w:right w:val="none" w:sz="0" w:space="0" w:color="auto"/>
          </w:divBdr>
        </w:div>
        <w:div w:id="1395468213">
          <w:marLeft w:val="0"/>
          <w:marRight w:val="0"/>
          <w:marTop w:val="120"/>
          <w:marBottom w:val="120"/>
          <w:divBdr>
            <w:top w:val="none" w:sz="0" w:space="0" w:color="auto"/>
            <w:left w:val="none" w:sz="0" w:space="0" w:color="auto"/>
            <w:bottom w:val="none" w:sz="0" w:space="0" w:color="auto"/>
            <w:right w:val="none" w:sz="0" w:space="0" w:color="auto"/>
          </w:divBdr>
        </w:div>
        <w:div w:id="1470440871">
          <w:marLeft w:val="0"/>
          <w:marRight w:val="0"/>
          <w:marTop w:val="120"/>
          <w:marBottom w:val="120"/>
          <w:divBdr>
            <w:top w:val="none" w:sz="0" w:space="0" w:color="auto"/>
            <w:left w:val="none" w:sz="0" w:space="0" w:color="auto"/>
            <w:bottom w:val="none" w:sz="0" w:space="0" w:color="auto"/>
            <w:right w:val="none" w:sz="0" w:space="0" w:color="auto"/>
          </w:divBdr>
        </w:div>
        <w:div w:id="1518303782">
          <w:marLeft w:val="0"/>
          <w:marRight w:val="0"/>
          <w:marTop w:val="120"/>
          <w:marBottom w:val="120"/>
          <w:divBdr>
            <w:top w:val="none" w:sz="0" w:space="0" w:color="auto"/>
            <w:left w:val="none" w:sz="0" w:space="0" w:color="auto"/>
            <w:bottom w:val="none" w:sz="0" w:space="0" w:color="auto"/>
            <w:right w:val="none" w:sz="0" w:space="0" w:color="auto"/>
          </w:divBdr>
        </w:div>
        <w:div w:id="2092895655">
          <w:marLeft w:val="0"/>
          <w:marRight w:val="0"/>
          <w:marTop w:val="120"/>
          <w:marBottom w:val="120"/>
          <w:divBdr>
            <w:top w:val="none" w:sz="0" w:space="0" w:color="auto"/>
            <w:left w:val="none" w:sz="0" w:space="0" w:color="auto"/>
            <w:bottom w:val="none" w:sz="0" w:space="0" w:color="auto"/>
            <w:right w:val="none" w:sz="0" w:space="0" w:color="auto"/>
          </w:divBdr>
        </w:div>
      </w:divsChild>
    </w:div>
    <w:div w:id="1083648295">
      <w:bodyDiv w:val="1"/>
      <w:marLeft w:val="0"/>
      <w:marRight w:val="0"/>
      <w:marTop w:val="0"/>
      <w:marBottom w:val="0"/>
      <w:divBdr>
        <w:top w:val="none" w:sz="0" w:space="0" w:color="auto"/>
        <w:left w:val="none" w:sz="0" w:space="0" w:color="auto"/>
        <w:bottom w:val="none" w:sz="0" w:space="0" w:color="auto"/>
        <w:right w:val="none" w:sz="0" w:space="0" w:color="auto"/>
      </w:divBdr>
    </w:div>
    <w:div w:id="1097754270">
      <w:bodyDiv w:val="1"/>
      <w:marLeft w:val="0"/>
      <w:marRight w:val="0"/>
      <w:marTop w:val="0"/>
      <w:marBottom w:val="0"/>
      <w:divBdr>
        <w:top w:val="none" w:sz="0" w:space="0" w:color="auto"/>
        <w:left w:val="none" w:sz="0" w:space="0" w:color="auto"/>
        <w:bottom w:val="none" w:sz="0" w:space="0" w:color="auto"/>
        <w:right w:val="none" w:sz="0" w:space="0" w:color="auto"/>
      </w:divBdr>
    </w:div>
    <w:div w:id="1117795343">
      <w:bodyDiv w:val="1"/>
      <w:marLeft w:val="0"/>
      <w:marRight w:val="0"/>
      <w:marTop w:val="0"/>
      <w:marBottom w:val="0"/>
      <w:divBdr>
        <w:top w:val="none" w:sz="0" w:space="0" w:color="auto"/>
        <w:left w:val="none" w:sz="0" w:space="0" w:color="auto"/>
        <w:bottom w:val="none" w:sz="0" w:space="0" w:color="auto"/>
        <w:right w:val="none" w:sz="0" w:space="0" w:color="auto"/>
      </w:divBdr>
    </w:div>
    <w:div w:id="1145900020">
      <w:bodyDiv w:val="1"/>
      <w:marLeft w:val="0"/>
      <w:marRight w:val="0"/>
      <w:marTop w:val="0"/>
      <w:marBottom w:val="0"/>
      <w:divBdr>
        <w:top w:val="none" w:sz="0" w:space="0" w:color="auto"/>
        <w:left w:val="none" w:sz="0" w:space="0" w:color="auto"/>
        <w:bottom w:val="none" w:sz="0" w:space="0" w:color="auto"/>
        <w:right w:val="none" w:sz="0" w:space="0" w:color="auto"/>
      </w:divBdr>
    </w:div>
    <w:div w:id="1196818928">
      <w:bodyDiv w:val="1"/>
      <w:marLeft w:val="0"/>
      <w:marRight w:val="0"/>
      <w:marTop w:val="0"/>
      <w:marBottom w:val="0"/>
      <w:divBdr>
        <w:top w:val="none" w:sz="0" w:space="0" w:color="auto"/>
        <w:left w:val="none" w:sz="0" w:space="0" w:color="auto"/>
        <w:bottom w:val="none" w:sz="0" w:space="0" w:color="auto"/>
        <w:right w:val="none" w:sz="0" w:space="0" w:color="auto"/>
      </w:divBdr>
    </w:div>
    <w:div w:id="1240166428">
      <w:bodyDiv w:val="1"/>
      <w:marLeft w:val="0"/>
      <w:marRight w:val="0"/>
      <w:marTop w:val="0"/>
      <w:marBottom w:val="0"/>
      <w:divBdr>
        <w:top w:val="none" w:sz="0" w:space="0" w:color="auto"/>
        <w:left w:val="none" w:sz="0" w:space="0" w:color="auto"/>
        <w:bottom w:val="none" w:sz="0" w:space="0" w:color="auto"/>
        <w:right w:val="none" w:sz="0" w:space="0" w:color="auto"/>
      </w:divBdr>
      <w:divsChild>
        <w:div w:id="264922385">
          <w:marLeft w:val="0"/>
          <w:marRight w:val="0"/>
          <w:marTop w:val="120"/>
          <w:marBottom w:val="120"/>
          <w:divBdr>
            <w:top w:val="none" w:sz="0" w:space="0" w:color="auto"/>
            <w:left w:val="none" w:sz="0" w:space="0" w:color="auto"/>
            <w:bottom w:val="none" w:sz="0" w:space="0" w:color="auto"/>
            <w:right w:val="none" w:sz="0" w:space="0" w:color="auto"/>
          </w:divBdr>
        </w:div>
        <w:div w:id="598027265">
          <w:marLeft w:val="0"/>
          <w:marRight w:val="0"/>
          <w:marTop w:val="120"/>
          <w:marBottom w:val="120"/>
          <w:divBdr>
            <w:top w:val="none" w:sz="0" w:space="0" w:color="auto"/>
            <w:left w:val="none" w:sz="0" w:space="0" w:color="auto"/>
            <w:bottom w:val="none" w:sz="0" w:space="0" w:color="auto"/>
            <w:right w:val="none" w:sz="0" w:space="0" w:color="auto"/>
          </w:divBdr>
        </w:div>
        <w:div w:id="1221132474">
          <w:marLeft w:val="0"/>
          <w:marRight w:val="0"/>
          <w:marTop w:val="120"/>
          <w:marBottom w:val="120"/>
          <w:divBdr>
            <w:top w:val="none" w:sz="0" w:space="0" w:color="auto"/>
            <w:left w:val="none" w:sz="0" w:space="0" w:color="auto"/>
            <w:bottom w:val="none" w:sz="0" w:space="0" w:color="auto"/>
            <w:right w:val="none" w:sz="0" w:space="0" w:color="auto"/>
          </w:divBdr>
        </w:div>
        <w:div w:id="1600913685">
          <w:marLeft w:val="0"/>
          <w:marRight w:val="0"/>
          <w:marTop w:val="120"/>
          <w:marBottom w:val="120"/>
          <w:divBdr>
            <w:top w:val="none" w:sz="0" w:space="0" w:color="auto"/>
            <w:left w:val="none" w:sz="0" w:space="0" w:color="auto"/>
            <w:bottom w:val="none" w:sz="0" w:space="0" w:color="auto"/>
            <w:right w:val="none" w:sz="0" w:space="0" w:color="auto"/>
          </w:divBdr>
        </w:div>
        <w:div w:id="1695032056">
          <w:marLeft w:val="0"/>
          <w:marRight w:val="0"/>
          <w:marTop w:val="120"/>
          <w:marBottom w:val="120"/>
          <w:divBdr>
            <w:top w:val="none" w:sz="0" w:space="0" w:color="auto"/>
            <w:left w:val="none" w:sz="0" w:space="0" w:color="auto"/>
            <w:bottom w:val="none" w:sz="0" w:space="0" w:color="auto"/>
            <w:right w:val="none" w:sz="0" w:space="0" w:color="auto"/>
          </w:divBdr>
        </w:div>
        <w:div w:id="1937051067">
          <w:marLeft w:val="0"/>
          <w:marRight w:val="0"/>
          <w:marTop w:val="120"/>
          <w:marBottom w:val="120"/>
          <w:divBdr>
            <w:top w:val="none" w:sz="0" w:space="0" w:color="auto"/>
            <w:left w:val="none" w:sz="0" w:space="0" w:color="auto"/>
            <w:bottom w:val="none" w:sz="0" w:space="0" w:color="auto"/>
            <w:right w:val="none" w:sz="0" w:space="0" w:color="auto"/>
          </w:divBdr>
        </w:div>
      </w:divsChild>
    </w:div>
    <w:div w:id="1403943855">
      <w:bodyDiv w:val="1"/>
      <w:marLeft w:val="0"/>
      <w:marRight w:val="0"/>
      <w:marTop w:val="0"/>
      <w:marBottom w:val="0"/>
      <w:divBdr>
        <w:top w:val="none" w:sz="0" w:space="0" w:color="auto"/>
        <w:left w:val="none" w:sz="0" w:space="0" w:color="auto"/>
        <w:bottom w:val="none" w:sz="0" w:space="0" w:color="auto"/>
        <w:right w:val="none" w:sz="0" w:space="0" w:color="auto"/>
      </w:divBdr>
    </w:div>
    <w:div w:id="1407069835">
      <w:bodyDiv w:val="1"/>
      <w:marLeft w:val="0"/>
      <w:marRight w:val="0"/>
      <w:marTop w:val="0"/>
      <w:marBottom w:val="0"/>
      <w:divBdr>
        <w:top w:val="none" w:sz="0" w:space="0" w:color="auto"/>
        <w:left w:val="none" w:sz="0" w:space="0" w:color="auto"/>
        <w:bottom w:val="none" w:sz="0" w:space="0" w:color="auto"/>
        <w:right w:val="none" w:sz="0" w:space="0" w:color="auto"/>
      </w:divBdr>
    </w:div>
    <w:div w:id="1415315985">
      <w:bodyDiv w:val="1"/>
      <w:marLeft w:val="0"/>
      <w:marRight w:val="0"/>
      <w:marTop w:val="0"/>
      <w:marBottom w:val="0"/>
      <w:divBdr>
        <w:top w:val="none" w:sz="0" w:space="0" w:color="auto"/>
        <w:left w:val="none" w:sz="0" w:space="0" w:color="auto"/>
        <w:bottom w:val="none" w:sz="0" w:space="0" w:color="auto"/>
        <w:right w:val="none" w:sz="0" w:space="0" w:color="auto"/>
      </w:divBdr>
    </w:div>
    <w:div w:id="1433624383">
      <w:bodyDiv w:val="1"/>
      <w:marLeft w:val="0"/>
      <w:marRight w:val="0"/>
      <w:marTop w:val="0"/>
      <w:marBottom w:val="0"/>
      <w:divBdr>
        <w:top w:val="none" w:sz="0" w:space="0" w:color="auto"/>
        <w:left w:val="none" w:sz="0" w:space="0" w:color="auto"/>
        <w:bottom w:val="none" w:sz="0" w:space="0" w:color="auto"/>
        <w:right w:val="none" w:sz="0" w:space="0" w:color="auto"/>
      </w:divBdr>
    </w:div>
    <w:div w:id="1565749391">
      <w:bodyDiv w:val="1"/>
      <w:marLeft w:val="0"/>
      <w:marRight w:val="0"/>
      <w:marTop w:val="0"/>
      <w:marBottom w:val="0"/>
      <w:divBdr>
        <w:top w:val="none" w:sz="0" w:space="0" w:color="auto"/>
        <w:left w:val="none" w:sz="0" w:space="0" w:color="auto"/>
        <w:bottom w:val="none" w:sz="0" w:space="0" w:color="auto"/>
        <w:right w:val="none" w:sz="0" w:space="0" w:color="auto"/>
      </w:divBdr>
      <w:divsChild>
        <w:div w:id="1312443490">
          <w:marLeft w:val="0"/>
          <w:marRight w:val="0"/>
          <w:marTop w:val="120"/>
          <w:marBottom w:val="120"/>
          <w:divBdr>
            <w:top w:val="none" w:sz="0" w:space="0" w:color="auto"/>
            <w:left w:val="none" w:sz="0" w:space="0" w:color="auto"/>
            <w:bottom w:val="none" w:sz="0" w:space="0" w:color="auto"/>
            <w:right w:val="none" w:sz="0" w:space="0" w:color="auto"/>
          </w:divBdr>
        </w:div>
        <w:div w:id="1613710443">
          <w:marLeft w:val="0"/>
          <w:marRight w:val="0"/>
          <w:marTop w:val="120"/>
          <w:marBottom w:val="120"/>
          <w:divBdr>
            <w:top w:val="none" w:sz="0" w:space="0" w:color="auto"/>
            <w:left w:val="none" w:sz="0" w:space="0" w:color="auto"/>
            <w:bottom w:val="none" w:sz="0" w:space="0" w:color="auto"/>
            <w:right w:val="none" w:sz="0" w:space="0" w:color="auto"/>
          </w:divBdr>
        </w:div>
        <w:div w:id="1828552475">
          <w:marLeft w:val="0"/>
          <w:marRight w:val="0"/>
          <w:marTop w:val="120"/>
          <w:marBottom w:val="120"/>
          <w:divBdr>
            <w:top w:val="none" w:sz="0" w:space="0" w:color="auto"/>
            <w:left w:val="none" w:sz="0" w:space="0" w:color="auto"/>
            <w:bottom w:val="none" w:sz="0" w:space="0" w:color="auto"/>
            <w:right w:val="none" w:sz="0" w:space="0" w:color="auto"/>
          </w:divBdr>
          <w:divsChild>
            <w:div w:id="133372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0696">
      <w:bodyDiv w:val="1"/>
      <w:marLeft w:val="0"/>
      <w:marRight w:val="0"/>
      <w:marTop w:val="0"/>
      <w:marBottom w:val="0"/>
      <w:divBdr>
        <w:top w:val="none" w:sz="0" w:space="0" w:color="auto"/>
        <w:left w:val="none" w:sz="0" w:space="0" w:color="auto"/>
        <w:bottom w:val="none" w:sz="0" w:space="0" w:color="auto"/>
        <w:right w:val="none" w:sz="0" w:space="0" w:color="auto"/>
      </w:divBdr>
    </w:div>
    <w:div w:id="1605069620">
      <w:bodyDiv w:val="1"/>
      <w:marLeft w:val="0"/>
      <w:marRight w:val="0"/>
      <w:marTop w:val="0"/>
      <w:marBottom w:val="0"/>
      <w:divBdr>
        <w:top w:val="none" w:sz="0" w:space="0" w:color="auto"/>
        <w:left w:val="none" w:sz="0" w:space="0" w:color="auto"/>
        <w:bottom w:val="none" w:sz="0" w:space="0" w:color="auto"/>
        <w:right w:val="none" w:sz="0" w:space="0" w:color="auto"/>
      </w:divBdr>
    </w:div>
    <w:div w:id="1635451848">
      <w:bodyDiv w:val="1"/>
      <w:marLeft w:val="0"/>
      <w:marRight w:val="0"/>
      <w:marTop w:val="0"/>
      <w:marBottom w:val="0"/>
      <w:divBdr>
        <w:top w:val="none" w:sz="0" w:space="0" w:color="auto"/>
        <w:left w:val="none" w:sz="0" w:space="0" w:color="auto"/>
        <w:bottom w:val="none" w:sz="0" w:space="0" w:color="auto"/>
        <w:right w:val="none" w:sz="0" w:space="0" w:color="auto"/>
      </w:divBdr>
    </w:div>
    <w:div w:id="1824618770">
      <w:bodyDiv w:val="1"/>
      <w:marLeft w:val="0"/>
      <w:marRight w:val="0"/>
      <w:marTop w:val="0"/>
      <w:marBottom w:val="0"/>
      <w:divBdr>
        <w:top w:val="none" w:sz="0" w:space="0" w:color="auto"/>
        <w:left w:val="none" w:sz="0" w:space="0" w:color="auto"/>
        <w:bottom w:val="none" w:sz="0" w:space="0" w:color="auto"/>
        <w:right w:val="none" w:sz="0" w:space="0" w:color="auto"/>
      </w:divBdr>
    </w:div>
    <w:div w:id="1866559065">
      <w:bodyDiv w:val="1"/>
      <w:marLeft w:val="0"/>
      <w:marRight w:val="0"/>
      <w:marTop w:val="0"/>
      <w:marBottom w:val="0"/>
      <w:divBdr>
        <w:top w:val="none" w:sz="0" w:space="0" w:color="auto"/>
        <w:left w:val="none" w:sz="0" w:space="0" w:color="auto"/>
        <w:bottom w:val="none" w:sz="0" w:space="0" w:color="auto"/>
        <w:right w:val="none" w:sz="0" w:space="0" w:color="auto"/>
      </w:divBdr>
    </w:div>
    <w:div w:id="1960453450">
      <w:bodyDiv w:val="1"/>
      <w:marLeft w:val="0"/>
      <w:marRight w:val="0"/>
      <w:marTop w:val="0"/>
      <w:marBottom w:val="0"/>
      <w:divBdr>
        <w:top w:val="none" w:sz="0" w:space="0" w:color="auto"/>
        <w:left w:val="none" w:sz="0" w:space="0" w:color="auto"/>
        <w:bottom w:val="none" w:sz="0" w:space="0" w:color="auto"/>
        <w:right w:val="none" w:sz="0" w:space="0" w:color="auto"/>
      </w:divBdr>
    </w:div>
    <w:div w:id="1962147937">
      <w:bodyDiv w:val="1"/>
      <w:marLeft w:val="0"/>
      <w:marRight w:val="0"/>
      <w:marTop w:val="0"/>
      <w:marBottom w:val="0"/>
      <w:divBdr>
        <w:top w:val="none" w:sz="0" w:space="0" w:color="auto"/>
        <w:left w:val="none" w:sz="0" w:space="0" w:color="auto"/>
        <w:bottom w:val="none" w:sz="0" w:space="0" w:color="auto"/>
        <w:right w:val="none" w:sz="0" w:space="0" w:color="auto"/>
      </w:divBdr>
    </w:div>
    <w:div w:id="2041542781">
      <w:bodyDiv w:val="1"/>
      <w:marLeft w:val="0"/>
      <w:marRight w:val="0"/>
      <w:marTop w:val="0"/>
      <w:marBottom w:val="0"/>
      <w:divBdr>
        <w:top w:val="none" w:sz="0" w:space="0" w:color="auto"/>
        <w:left w:val="none" w:sz="0" w:space="0" w:color="auto"/>
        <w:bottom w:val="none" w:sz="0" w:space="0" w:color="auto"/>
        <w:right w:val="none" w:sz="0" w:space="0" w:color="auto"/>
      </w:divBdr>
    </w:div>
    <w:div w:id="2046056695">
      <w:bodyDiv w:val="1"/>
      <w:marLeft w:val="0"/>
      <w:marRight w:val="0"/>
      <w:marTop w:val="0"/>
      <w:marBottom w:val="0"/>
      <w:divBdr>
        <w:top w:val="none" w:sz="0" w:space="0" w:color="auto"/>
        <w:left w:val="none" w:sz="0" w:space="0" w:color="auto"/>
        <w:bottom w:val="none" w:sz="0" w:space="0" w:color="auto"/>
        <w:right w:val="none" w:sz="0" w:space="0" w:color="auto"/>
      </w:divBdr>
    </w:div>
    <w:div w:id="2108113563">
      <w:bodyDiv w:val="1"/>
      <w:marLeft w:val="0"/>
      <w:marRight w:val="0"/>
      <w:marTop w:val="0"/>
      <w:marBottom w:val="0"/>
      <w:divBdr>
        <w:top w:val="none" w:sz="0" w:space="0" w:color="auto"/>
        <w:left w:val="none" w:sz="0" w:space="0" w:color="auto"/>
        <w:bottom w:val="none" w:sz="0" w:space="0" w:color="auto"/>
        <w:right w:val="none" w:sz="0" w:space="0" w:color="auto"/>
      </w:divBdr>
    </w:div>
    <w:div w:id="2108883691">
      <w:bodyDiv w:val="1"/>
      <w:marLeft w:val="0"/>
      <w:marRight w:val="0"/>
      <w:marTop w:val="0"/>
      <w:marBottom w:val="0"/>
      <w:divBdr>
        <w:top w:val="none" w:sz="0" w:space="0" w:color="auto"/>
        <w:left w:val="none" w:sz="0" w:space="0" w:color="auto"/>
        <w:bottom w:val="none" w:sz="0" w:space="0" w:color="auto"/>
        <w:right w:val="none" w:sz="0" w:space="0" w:color="auto"/>
      </w:divBdr>
    </w:div>
    <w:div w:id="2128313862">
      <w:bodyDiv w:val="1"/>
      <w:marLeft w:val="0"/>
      <w:marRight w:val="0"/>
      <w:marTop w:val="0"/>
      <w:marBottom w:val="0"/>
      <w:divBdr>
        <w:top w:val="none" w:sz="0" w:space="0" w:color="auto"/>
        <w:left w:val="none" w:sz="0" w:space="0" w:color="auto"/>
        <w:bottom w:val="none" w:sz="0" w:space="0" w:color="auto"/>
        <w:right w:val="none" w:sz="0" w:space="0" w:color="auto"/>
      </w:divBdr>
      <w:divsChild>
        <w:div w:id="17853401">
          <w:marLeft w:val="0"/>
          <w:marRight w:val="0"/>
          <w:marTop w:val="120"/>
          <w:marBottom w:val="120"/>
          <w:divBdr>
            <w:top w:val="none" w:sz="0" w:space="0" w:color="auto"/>
            <w:left w:val="none" w:sz="0" w:space="0" w:color="auto"/>
            <w:bottom w:val="none" w:sz="0" w:space="0" w:color="auto"/>
            <w:right w:val="none" w:sz="0" w:space="0" w:color="auto"/>
          </w:divBdr>
        </w:div>
        <w:div w:id="979270380">
          <w:marLeft w:val="0"/>
          <w:marRight w:val="0"/>
          <w:marTop w:val="120"/>
          <w:marBottom w:val="120"/>
          <w:divBdr>
            <w:top w:val="none" w:sz="0" w:space="0" w:color="auto"/>
            <w:left w:val="none" w:sz="0" w:space="0" w:color="auto"/>
            <w:bottom w:val="none" w:sz="0" w:space="0" w:color="auto"/>
            <w:right w:val="none" w:sz="0" w:space="0" w:color="auto"/>
          </w:divBdr>
        </w:div>
        <w:div w:id="1046835878">
          <w:marLeft w:val="0"/>
          <w:marRight w:val="0"/>
          <w:marTop w:val="120"/>
          <w:marBottom w:val="120"/>
          <w:divBdr>
            <w:top w:val="none" w:sz="0" w:space="0" w:color="auto"/>
            <w:left w:val="none" w:sz="0" w:space="0" w:color="auto"/>
            <w:bottom w:val="none" w:sz="0" w:space="0" w:color="auto"/>
            <w:right w:val="none" w:sz="0" w:space="0" w:color="auto"/>
          </w:divBdr>
        </w:div>
        <w:div w:id="1231966864">
          <w:marLeft w:val="0"/>
          <w:marRight w:val="0"/>
          <w:marTop w:val="120"/>
          <w:marBottom w:val="120"/>
          <w:divBdr>
            <w:top w:val="none" w:sz="0" w:space="0" w:color="auto"/>
            <w:left w:val="none" w:sz="0" w:space="0" w:color="auto"/>
            <w:bottom w:val="none" w:sz="0" w:space="0" w:color="auto"/>
            <w:right w:val="none" w:sz="0" w:space="0" w:color="auto"/>
          </w:divBdr>
        </w:div>
        <w:div w:id="1375882317">
          <w:marLeft w:val="0"/>
          <w:marRight w:val="0"/>
          <w:marTop w:val="120"/>
          <w:marBottom w:val="120"/>
          <w:divBdr>
            <w:top w:val="none" w:sz="0" w:space="0" w:color="auto"/>
            <w:left w:val="none" w:sz="0" w:space="0" w:color="auto"/>
            <w:bottom w:val="none" w:sz="0" w:space="0" w:color="auto"/>
            <w:right w:val="none" w:sz="0" w:space="0" w:color="auto"/>
          </w:divBdr>
        </w:div>
        <w:div w:id="1714579382">
          <w:marLeft w:val="0"/>
          <w:marRight w:val="0"/>
          <w:marTop w:val="120"/>
          <w:marBottom w:val="120"/>
          <w:divBdr>
            <w:top w:val="none" w:sz="0" w:space="0" w:color="auto"/>
            <w:left w:val="none" w:sz="0" w:space="0" w:color="auto"/>
            <w:bottom w:val="none" w:sz="0" w:space="0" w:color="auto"/>
            <w:right w:val="none" w:sz="0" w:space="0" w:color="auto"/>
          </w:divBdr>
        </w:div>
        <w:div w:id="2047558569">
          <w:marLeft w:val="0"/>
          <w:marRight w:val="0"/>
          <w:marTop w:val="120"/>
          <w:marBottom w:val="12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3937E-812B-47DB-AA2B-768BB39A1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4512</Words>
  <Characters>25723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30175</CharactersWithSpaces>
  <SharedDoc>false</SharedDoc>
  <HLinks>
    <vt:vector size="84" baseType="variant">
      <vt:variant>
        <vt:i4>5636101</vt:i4>
      </vt:variant>
      <vt:variant>
        <vt:i4>42</vt:i4>
      </vt:variant>
      <vt:variant>
        <vt:i4>0</vt:i4>
      </vt:variant>
      <vt:variant>
        <vt:i4>5</vt:i4>
      </vt:variant>
      <vt:variant>
        <vt:lpwstr>https://thuvienphapluat.vn/van-ban/Tien-te-Ngan-hang/Nghi-dinh-156-2013-ND-CP-quy-dinh-chuc-nang-nhiem-vu-to-chuc-Ngan-hang-Nha-nuoc-Viet-Nam-213153.aspx</vt:lpwstr>
      </vt:variant>
      <vt:variant>
        <vt:lpwstr/>
      </vt:variant>
      <vt:variant>
        <vt:i4>3604599</vt:i4>
      </vt:variant>
      <vt:variant>
        <vt:i4>39</vt:i4>
      </vt:variant>
      <vt:variant>
        <vt:i4>0</vt:i4>
      </vt:variant>
      <vt:variant>
        <vt:i4>5</vt:i4>
      </vt:variant>
      <vt:variant>
        <vt:lpwstr>https://thuvienphapluat.vn/van-ban/Tien-te-Ngan-hang/Luat-cac-to-chuc-tin-dung-2010-108079.aspx</vt:lpwstr>
      </vt:variant>
      <vt:variant>
        <vt:lpwstr/>
      </vt:variant>
      <vt:variant>
        <vt:i4>6750309</vt:i4>
      </vt:variant>
      <vt:variant>
        <vt:i4>36</vt:i4>
      </vt:variant>
      <vt:variant>
        <vt:i4>0</vt:i4>
      </vt:variant>
      <vt:variant>
        <vt:i4>5</vt:i4>
      </vt:variant>
      <vt:variant>
        <vt:lpwstr>https://thuvienphapluat.vn/van-ban/Tien-te-Ngan-hang/Luat-Ngan-hang-Nha-nuoc-Viet-Nam-2010-108078.aspx</vt:lpwstr>
      </vt:variant>
      <vt:variant>
        <vt:lpwstr/>
      </vt:variant>
      <vt:variant>
        <vt:i4>6357049</vt:i4>
      </vt:variant>
      <vt:variant>
        <vt:i4>33</vt:i4>
      </vt:variant>
      <vt:variant>
        <vt:i4>0</vt:i4>
      </vt:variant>
      <vt:variant>
        <vt:i4>5</vt:i4>
      </vt:variant>
      <vt:variant>
        <vt:lpwstr>https://thuvienphapluat.vn/van-ban/Tien-te-Ngan-hang/Luat-Cac-to-chuc-tin-dung-32-2024-QH15-577203.aspx</vt:lpwstr>
      </vt:variant>
      <vt:variant>
        <vt:lpwstr/>
      </vt:variant>
      <vt:variant>
        <vt:i4>6357049</vt:i4>
      </vt:variant>
      <vt:variant>
        <vt:i4>30</vt:i4>
      </vt:variant>
      <vt:variant>
        <vt:i4>0</vt:i4>
      </vt:variant>
      <vt:variant>
        <vt:i4>5</vt:i4>
      </vt:variant>
      <vt:variant>
        <vt:lpwstr>https://thuvienphapluat.vn/van-ban/Tien-te-Ngan-hang/Luat-Cac-to-chuc-tin-dung-32-2024-QH15-577203.aspx</vt:lpwstr>
      </vt:variant>
      <vt:variant>
        <vt:lpwstr/>
      </vt:variant>
      <vt:variant>
        <vt:i4>6357049</vt:i4>
      </vt:variant>
      <vt:variant>
        <vt:i4>27</vt:i4>
      </vt:variant>
      <vt:variant>
        <vt:i4>0</vt:i4>
      </vt:variant>
      <vt:variant>
        <vt:i4>5</vt:i4>
      </vt:variant>
      <vt:variant>
        <vt:lpwstr>https://thuvienphapluat.vn/van-ban/Tien-te-Ngan-hang/Luat-Cac-to-chuc-tin-dung-32-2024-QH15-577203.aspx</vt:lpwstr>
      </vt:variant>
      <vt:variant>
        <vt:lpwstr/>
      </vt:variant>
      <vt:variant>
        <vt:i4>6357049</vt:i4>
      </vt:variant>
      <vt:variant>
        <vt:i4>24</vt:i4>
      </vt:variant>
      <vt:variant>
        <vt:i4>0</vt:i4>
      </vt:variant>
      <vt:variant>
        <vt:i4>5</vt:i4>
      </vt:variant>
      <vt:variant>
        <vt:lpwstr>https://thuvienphapluat.vn/van-ban/Tien-te-Ngan-hang/Luat-Cac-to-chuc-tin-dung-32-2024-QH15-577203.aspx</vt:lpwstr>
      </vt:variant>
      <vt:variant>
        <vt:lpwstr/>
      </vt:variant>
      <vt:variant>
        <vt:i4>5636101</vt:i4>
      </vt:variant>
      <vt:variant>
        <vt:i4>21</vt:i4>
      </vt:variant>
      <vt:variant>
        <vt:i4>0</vt:i4>
      </vt:variant>
      <vt:variant>
        <vt:i4>5</vt:i4>
      </vt:variant>
      <vt:variant>
        <vt:lpwstr>https://thuvienphapluat.vn/van-ban/Tien-te-Ngan-hang/Nghi-dinh-156-2013-ND-CP-quy-dinh-chuc-nang-nhiem-vu-to-chuc-Ngan-hang-Nha-nuoc-Viet-Nam-213153.aspx</vt:lpwstr>
      </vt:variant>
      <vt:variant>
        <vt:lpwstr/>
      </vt:variant>
      <vt:variant>
        <vt:i4>3604599</vt:i4>
      </vt:variant>
      <vt:variant>
        <vt:i4>18</vt:i4>
      </vt:variant>
      <vt:variant>
        <vt:i4>0</vt:i4>
      </vt:variant>
      <vt:variant>
        <vt:i4>5</vt:i4>
      </vt:variant>
      <vt:variant>
        <vt:lpwstr>https://thuvienphapluat.vn/van-ban/Tien-te-Ngan-hang/Luat-cac-to-chuc-tin-dung-2010-108079.aspx</vt:lpwstr>
      </vt:variant>
      <vt:variant>
        <vt:lpwstr/>
      </vt:variant>
      <vt:variant>
        <vt:i4>6750309</vt:i4>
      </vt:variant>
      <vt:variant>
        <vt:i4>15</vt:i4>
      </vt:variant>
      <vt:variant>
        <vt:i4>0</vt:i4>
      </vt:variant>
      <vt:variant>
        <vt:i4>5</vt:i4>
      </vt:variant>
      <vt:variant>
        <vt:lpwstr>https://thuvienphapluat.vn/van-ban/Tien-te-Ngan-hang/Luat-Ngan-hang-Nha-nuoc-Viet-Nam-2010-108078.aspx</vt:lpwstr>
      </vt:variant>
      <vt:variant>
        <vt:lpwstr/>
      </vt:variant>
      <vt:variant>
        <vt:i4>5636101</vt:i4>
      </vt:variant>
      <vt:variant>
        <vt:i4>12</vt:i4>
      </vt:variant>
      <vt:variant>
        <vt:i4>0</vt:i4>
      </vt:variant>
      <vt:variant>
        <vt:i4>5</vt:i4>
      </vt:variant>
      <vt:variant>
        <vt:lpwstr>https://thuvienphapluat.vn/van-ban/Tien-te-Ngan-hang/Nghi-dinh-156-2013-ND-CP-quy-dinh-chuc-nang-nhiem-vu-to-chuc-Ngan-hang-Nha-nuoc-Viet-Nam-213153.aspx</vt:lpwstr>
      </vt:variant>
      <vt:variant>
        <vt:lpwstr/>
      </vt:variant>
      <vt:variant>
        <vt:i4>3604599</vt:i4>
      </vt:variant>
      <vt:variant>
        <vt:i4>9</vt:i4>
      </vt:variant>
      <vt:variant>
        <vt:i4>0</vt:i4>
      </vt:variant>
      <vt:variant>
        <vt:i4>5</vt:i4>
      </vt:variant>
      <vt:variant>
        <vt:lpwstr>https://thuvienphapluat.vn/van-ban/Tien-te-Ngan-hang/Luat-cac-to-chuc-tin-dung-2010-108079.aspx</vt:lpwstr>
      </vt:variant>
      <vt:variant>
        <vt:lpwstr/>
      </vt:variant>
      <vt:variant>
        <vt:i4>6750309</vt:i4>
      </vt:variant>
      <vt:variant>
        <vt:i4>6</vt:i4>
      </vt:variant>
      <vt:variant>
        <vt:i4>0</vt:i4>
      </vt:variant>
      <vt:variant>
        <vt:i4>5</vt:i4>
      </vt:variant>
      <vt:variant>
        <vt:lpwstr>https://thuvienphapluat.vn/van-ban/Tien-te-Ngan-hang/Luat-Ngan-hang-Nha-nuoc-Viet-Nam-2010-108078.aspx</vt:lpwstr>
      </vt:variant>
      <vt:variant>
        <vt:lpwstr/>
      </vt:variant>
      <vt:variant>
        <vt:i4>3604599</vt:i4>
      </vt:variant>
      <vt:variant>
        <vt:i4>0</vt:i4>
      </vt:variant>
      <vt:variant>
        <vt:i4>0</vt:i4>
      </vt:variant>
      <vt:variant>
        <vt:i4>5</vt:i4>
      </vt:variant>
      <vt:variant>
        <vt:lpwstr>https://thuvienphapluat.vn/van-ban/Tien-te-Ngan-hang/Luat-cac-to-chuc-tin-dung-2010-108079.aspx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subject/>
  <dc:creator>LawSoft</dc:creator>
  <cp:keywords/>
  <dc:description/>
  <cp:lastModifiedBy>Ly Minh Tri (TTGSNH)</cp:lastModifiedBy>
  <cp:revision>68</cp:revision>
  <cp:lastPrinted>2026-05-06T07:11:00Z</cp:lastPrinted>
  <dcterms:created xsi:type="dcterms:W3CDTF">2026-04-28T06:20:00Z</dcterms:created>
  <dcterms:modified xsi:type="dcterms:W3CDTF">2026-05-14T11:18:00Z</dcterms:modified>
  <cp:category/>
</cp:coreProperties>
</file>