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70"/>
        <w:gridCol w:w="6490"/>
      </w:tblGrid>
      <w:tr w:rsidR="00D922AA" w:rsidRPr="00072B92" w:rsidTr="00367496">
        <w:tc>
          <w:tcPr>
            <w:tcW w:w="7451" w:type="dxa"/>
            <w:shd w:val="clear" w:color="auto" w:fill="auto"/>
          </w:tcPr>
          <w:p w:rsidR="00D922AA" w:rsidRPr="006147AE" w:rsidRDefault="00D922AA" w:rsidP="003674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14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NGÂN HÀNG NHÀ NƯỚC </w:t>
            </w:r>
          </w:p>
          <w:p w:rsidR="00D922AA" w:rsidRPr="006147AE" w:rsidRDefault="00D922AA" w:rsidP="003674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14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VIỆT NAM</w:t>
            </w:r>
          </w:p>
          <w:p w:rsidR="00D922AA" w:rsidRPr="006147AE" w:rsidRDefault="00D922AA" w:rsidP="0036749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147A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54A1E" wp14:editId="1A694B39">
                      <wp:simplePos x="0" y="0"/>
                      <wp:positionH relativeFrom="column">
                        <wp:posOffset>660621</wp:posOffset>
                      </wp:positionH>
                      <wp:positionV relativeFrom="paragraph">
                        <wp:posOffset>12065</wp:posOffset>
                      </wp:positionV>
                      <wp:extent cx="684000" cy="0"/>
                      <wp:effectExtent l="0" t="0" r="20955" b="19050"/>
                      <wp:wrapNone/>
                      <wp:docPr id="77770689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CFA2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.95pt" to="105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51" w:type="dxa"/>
            <w:shd w:val="clear" w:color="auto" w:fill="auto"/>
          </w:tcPr>
          <w:p w:rsidR="00D922AA" w:rsidRPr="009863F6" w:rsidRDefault="00D922AA" w:rsidP="003674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9863F6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CỘNG HÒA XÃ HỘI CHỦ NGHĨA VIỆT NAM</w:t>
            </w:r>
          </w:p>
          <w:p w:rsidR="00D922AA" w:rsidRPr="009863F6" w:rsidRDefault="00D922AA" w:rsidP="00367496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  <w:r w:rsidRPr="00A857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7"/>
                <w:szCs w:val="27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799E1" wp14:editId="0B573438">
                      <wp:simplePos x="0" y="0"/>
                      <wp:positionH relativeFrom="column">
                        <wp:posOffset>1055140</wp:posOffset>
                      </wp:positionH>
                      <wp:positionV relativeFrom="paragraph">
                        <wp:posOffset>180895</wp:posOffset>
                      </wp:positionV>
                      <wp:extent cx="1902633" cy="0"/>
                      <wp:effectExtent l="0" t="0" r="21590" b="19050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26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A525F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pt,14.25pt" to="232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9863F6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Độc lập – Tự do – Hạnh</w:t>
            </w:r>
            <w:r w:rsidRPr="009863F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9863F6"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  <w:t>phúc</w:t>
            </w:r>
          </w:p>
          <w:p w:rsidR="00D922AA" w:rsidRPr="009863F6" w:rsidRDefault="00D922AA" w:rsidP="003674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vi-VN"/>
              </w:rPr>
            </w:pPr>
          </w:p>
          <w:p w:rsidR="00D922AA" w:rsidRPr="00B20BFA" w:rsidRDefault="00D922AA" w:rsidP="003674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20BFA">
              <w:rPr>
                <w:rFonts w:ascii="Times New Roman" w:hAnsi="Times New Roman" w:cs="Times New Roman"/>
                <w:i/>
                <w:sz w:val="27"/>
                <w:szCs w:val="27"/>
                <w:lang w:val="vi-VN"/>
              </w:rPr>
              <w:t>Hà Nội, ngày        tháng        năm 2025</w:t>
            </w:r>
          </w:p>
        </w:tc>
      </w:tr>
    </w:tbl>
    <w:p w:rsidR="00D922AA" w:rsidRPr="00B20BFA" w:rsidRDefault="00D922AA" w:rsidP="00D922AA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D922AA" w:rsidRPr="006147AE" w:rsidRDefault="00D922AA" w:rsidP="00D922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B20B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 BẢNG TỔNG HỢP</w:t>
      </w:r>
      <w:r w:rsidR="00072B92" w:rsidRPr="00072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,</w:t>
      </w:r>
      <w:bookmarkStart w:id="0" w:name="_GoBack"/>
      <w:bookmarkEnd w:id="0"/>
      <w:r w:rsidR="00072B92" w:rsidRPr="00072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TIẾP THU,</w:t>
      </w:r>
      <w:r w:rsidRPr="00B20B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GIẢI TRÌNH Ý KIẾN CỦA </w:t>
      </w:r>
      <w:r w:rsidR="007B1E88" w:rsidRPr="00072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MẶT TRẬN TỔ QUỐC VIỆT NAM VÀ CÁC </w:t>
      </w:r>
      <w:r w:rsidR="003E7723" w:rsidRPr="00072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BỘ, NGÀNH</w:t>
      </w:r>
      <w:r w:rsidRPr="00B20B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VỀ HỒ SƠ DỰ THẢO LUẬT BẢO HIỂM TIỀN GỬI (SỬA ĐỔI)</w:t>
      </w:r>
    </w:p>
    <w:p w:rsidR="00D922AA" w:rsidRPr="00CC0ECE" w:rsidRDefault="00D922AA" w:rsidP="00D922AA">
      <w:pPr>
        <w:spacing w:before="120" w:after="120"/>
        <w:ind w:left="187" w:firstLine="533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C136E">
        <w:rPr>
          <w:rFonts w:ascii="Times New Roman" w:hAnsi="Times New Roman" w:cs="Times New Roman"/>
          <w:sz w:val="27"/>
          <w:szCs w:val="27"/>
          <w:lang w:val="vi-VN"/>
        </w:rPr>
        <w:t xml:space="preserve">Ngày 26/6/2025, Chính phủ ban hành Nghị quyết </w:t>
      </w:r>
      <w:r w:rsidRPr="00CC0ECE">
        <w:rPr>
          <w:rFonts w:ascii="Times New Roman" w:hAnsi="Times New Roman" w:cs="Times New Roman"/>
          <w:sz w:val="27"/>
          <w:szCs w:val="27"/>
          <w:lang w:val="vi-VN"/>
        </w:rPr>
        <w:t xml:space="preserve">số 191/NQ-CP Nghị quyết </w:t>
      </w:r>
      <w:r w:rsidRPr="00AC136E">
        <w:rPr>
          <w:rFonts w:ascii="Times New Roman" w:hAnsi="Times New Roman" w:cs="Times New Roman"/>
          <w:sz w:val="27"/>
          <w:szCs w:val="27"/>
          <w:lang w:val="vi-VN"/>
        </w:rPr>
        <w:t>phiên họp chuyên đề xây dựng pháp luật tháng 6</w:t>
      </w:r>
      <w:r w:rsidRPr="00CC0ECE">
        <w:rPr>
          <w:rFonts w:ascii="Times New Roman" w:hAnsi="Times New Roman" w:cs="Times New Roman"/>
          <w:sz w:val="27"/>
          <w:szCs w:val="27"/>
          <w:lang w:val="vi-VN"/>
        </w:rPr>
        <w:t xml:space="preserve"> năm 2025</w:t>
      </w:r>
      <w:r w:rsidRPr="00AC136E">
        <w:rPr>
          <w:rFonts w:ascii="Times New Roman" w:hAnsi="Times New Roman" w:cs="Times New Roman"/>
          <w:sz w:val="27"/>
          <w:szCs w:val="27"/>
          <w:lang w:val="vi-VN"/>
        </w:rPr>
        <w:t>. Ngân hàng Nhà nước Việt Nam (NHNN) đã lấy ý kiến</w:t>
      </w:r>
      <w:r w:rsidR="007B1E88" w:rsidRPr="00072B92">
        <w:rPr>
          <w:rFonts w:ascii="Times New Roman" w:hAnsi="Times New Roman" w:cs="Times New Roman"/>
          <w:sz w:val="27"/>
          <w:szCs w:val="27"/>
          <w:lang w:val="vi-VN"/>
        </w:rPr>
        <w:t xml:space="preserve"> Mặt trậ</w:t>
      </w:r>
      <w:r w:rsidR="005379ED" w:rsidRPr="00072B92">
        <w:rPr>
          <w:rFonts w:ascii="Times New Roman" w:hAnsi="Times New Roman" w:cs="Times New Roman"/>
          <w:sz w:val="27"/>
          <w:szCs w:val="27"/>
          <w:lang w:val="vi-VN"/>
        </w:rPr>
        <w:t>n T</w:t>
      </w:r>
      <w:r w:rsidR="007B1E88" w:rsidRPr="00072B92">
        <w:rPr>
          <w:rFonts w:ascii="Times New Roman" w:hAnsi="Times New Roman" w:cs="Times New Roman"/>
          <w:sz w:val="27"/>
          <w:szCs w:val="27"/>
          <w:lang w:val="vi-VN"/>
        </w:rPr>
        <w:t>ổ quốc Việt Nam và</w:t>
      </w:r>
      <w:r w:rsidRPr="00AC136E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3E7723" w:rsidRPr="00072B92">
        <w:rPr>
          <w:rFonts w:ascii="Times New Roman" w:hAnsi="Times New Roman" w:cs="Times New Roman"/>
          <w:sz w:val="27"/>
          <w:szCs w:val="27"/>
          <w:lang w:val="vi-VN"/>
        </w:rPr>
        <w:t>một số bộ, ngành</w:t>
      </w:r>
      <w:r w:rsidRPr="00AC136E">
        <w:rPr>
          <w:rFonts w:ascii="Times New Roman" w:hAnsi="Times New Roman" w:cs="Times New Roman"/>
          <w:sz w:val="27"/>
          <w:szCs w:val="27"/>
          <w:lang w:val="vi-VN"/>
        </w:rPr>
        <w:t xml:space="preserve"> đối với hồ sơ dự thảo Luật Bảo hiểm tiền gửi (sửa đổi)</w:t>
      </w:r>
      <w:r w:rsidRPr="00CC0ECE">
        <w:rPr>
          <w:rFonts w:ascii="Times New Roman" w:hAnsi="Times New Roman" w:cs="Times New Roman"/>
          <w:sz w:val="27"/>
          <w:szCs w:val="27"/>
          <w:lang w:val="vi-VN"/>
        </w:rPr>
        <w:t>.</w:t>
      </w:r>
    </w:p>
    <w:p w:rsidR="00D922AA" w:rsidRPr="00CC0ECE" w:rsidRDefault="00D922AA" w:rsidP="00373912">
      <w:pPr>
        <w:spacing w:before="120" w:after="120"/>
        <w:ind w:left="187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AC136E">
        <w:rPr>
          <w:rFonts w:ascii="Times New Roman" w:hAnsi="Times New Roman" w:cs="Times New Roman"/>
          <w:sz w:val="27"/>
          <w:szCs w:val="27"/>
          <w:lang w:val="vi-VN"/>
        </w:rPr>
        <w:t>1. Đến ngày 0</w:t>
      </w:r>
      <w:r w:rsidRPr="00072B92">
        <w:rPr>
          <w:rFonts w:ascii="Times New Roman" w:hAnsi="Times New Roman" w:cs="Times New Roman"/>
          <w:sz w:val="27"/>
          <w:szCs w:val="27"/>
          <w:lang w:val="vi-VN"/>
        </w:rPr>
        <w:t>6</w:t>
      </w:r>
      <w:r w:rsidRPr="00AC136E">
        <w:rPr>
          <w:rFonts w:ascii="Times New Roman" w:hAnsi="Times New Roman" w:cs="Times New Roman"/>
          <w:sz w:val="27"/>
          <w:szCs w:val="27"/>
          <w:lang w:val="vi-VN"/>
        </w:rPr>
        <w:t>/8/2025, NHNN nhận đượ</w:t>
      </w:r>
      <w:r w:rsidR="00941EEA">
        <w:rPr>
          <w:rFonts w:ascii="Times New Roman" w:hAnsi="Times New Roman" w:cs="Times New Roman"/>
          <w:sz w:val="27"/>
          <w:szCs w:val="27"/>
          <w:lang w:val="vi-VN"/>
        </w:rPr>
        <w:t>c</w:t>
      </w:r>
      <w:r w:rsidR="00373912" w:rsidRPr="00072B92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373912">
        <w:rPr>
          <w:rFonts w:ascii="Times New Roman" w:hAnsi="Times New Roman" w:cs="Times New Roman"/>
          <w:b/>
          <w:sz w:val="27"/>
          <w:szCs w:val="27"/>
          <w:lang w:val="vi-VN"/>
        </w:rPr>
        <w:t>0</w:t>
      </w:r>
      <w:r w:rsidR="007B1E88" w:rsidRPr="00072B92">
        <w:rPr>
          <w:rFonts w:ascii="Times New Roman" w:hAnsi="Times New Roman" w:cs="Times New Roman"/>
          <w:b/>
          <w:sz w:val="27"/>
          <w:szCs w:val="27"/>
          <w:lang w:val="vi-VN"/>
        </w:rPr>
        <w:t>3</w:t>
      </w:r>
      <w:r w:rsidRPr="00373912">
        <w:rPr>
          <w:rFonts w:ascii="Times New Roman" w:hAnsi="Times New Roman" w:cs="Times New Roman"/>
          <w:b/>
          <w:sz w:val="27"/>
          <w:szCs w:val="27"/>
          <w:lang w:val="vi-VN"/>
        </w:rPr>
        <w:t xml:space="preserve"> ý kiến</w:t>
      </w:r>
      <w:r w:rsidR="007B1E88">
        <w:rPr>
          <w:rFonts w:ascii="Times New Roman" w:hAnsi="Times New Roman" w:cs="Times New Roman"/>
          <w:sz w:val="27"/>
          <w:szCs w:val="27"/>
          <w:lang w:val="vi-VN"/>
        </w:rPr>
        <w:t xml:space="preserve"> gồm</w:t>
      </w:r>
      <w:r w:rsidR="00F51B12" w:rsidRPr="00072B92">
        <w:rPr>
          <w:rFonts w:ascii="Times New Roman" w:hAnsi="Times New Roman" w:cs="Times New Roman"/>
          <w:sz w:val="27"/>
          <w:szCs w:val="27"/>
          <w:lang w:val="vi-VN"/>
        </w:rPr>
        <w:t>: Ý</w:t>
      </w:r>
      <w:r w:rsidR="007B1E88" w:rsidRPr="00072B92">
        <w:rPr>
          <w:rFonts w:ascii="Times New Roman" w:hAnsi="Times New Roman" w:cs="Times New Roman"/>
          <w:sz w:val="27"/>
          <w:szCs w:val="27"/>
          <w:lang w:val="vi-VN"/>
        </w:rPr>
        <w:t xml:space="preserve"> kiến của Mặt trậ</w:t>
      </w:r>
      <w:r w:rsidR="005379ED" w:rsidRPr="00072B92">
        <w:rPr>
          <w:rFonts w:ascii="Times New Roman" w:hAnsi="Times New Roman" w:cs="Times New Roman"/>
          <w:sz w:val="27"/>
          <w:szCs w:val="27"/>
          <w:lang w:val="vi-VN"/>
        </w:rPr>
        <w:t>n T</w:t>
      </w:r>
      <w:r w:rsidR="007B1E88" w:rsidRPr="00072B92">
        <w:rPr>
          <w:rFonts w:ascii="Times New Roman" w:hAnsi="Times New Roman" w:cs="Times New Roman"/>
          <w:sz w:val="27"/>
          <w:szCs w:val="27"/>
          <w:lang w:val="vi-VN"/>
        </w:rPr>
        <w:t>ổ quốc Việt Nam và</w:t>
      </w:r>
      <w:r w:rsidR="007B1E88">
        <w:rPr>
          <w:rFonts w:ascii="Times New Roman" w:hAnsi="Times New Roman" w:cs="Times New Roman"/>
          <w:sz w:val="27"/>
          <w:szCs w:val="27"/>
          <w:lang w:val="vi-VN"/>
        </w:rPr>
        <w:t xml:space="preserve"> 02 ý kiến c</w:t>
      </w:r>
      <w:r w:rsidRPr="00CC0ECE">
        <w:rPr>
          <w:rFonts w:ascii="Times New Roman" w:hAnsi="Times New Roman" w:cs="Times New Roman"/>
          <w:sz w:val="27"/>
          <w:szCs w:val="27"/>
          <w:lang w:val="vi-VN"/>
        </w:rPr>
        <w:t xml:space="preserve">ủa Bộ (Bộ Khoa học và Công nghệ, </w:t>
      </w:r>
      <w:r w:rsidRPr="00072B92">
        <w:rPr>
          <w:rFonts w:ascii="Times New Roman" w:hAnsi="Times New Roman" w:cs="Times New Roman"/>
          <w:sz w:val="27"/>
          <w:szCs w:val="27"/>
          <w:lang w:val="vi-VN"/>
        </w:rPr>
        <w:t>Bộ Quốc phòng</w:t>
      </w:r>
      <w:r w:rsidRPr="00CC0ECE">
        <w:rPr>
          <w:rFonts w:ascii="Times New Roman" w:hAnsi="Times New Roman" w:cs="Times New Roman"/>
          <w:sz w:val="27"/>
          <w:szCs w:val="27"/>
          <w:lang w:val="vi-VN"/>
        </w:rPr>
        <w:t>)</w:t>
      </w:r>
    </w:p>
    <w:p w:rsidR="00D922AA" w:rsidRPr="006147AE" w:rsidRDefault="00D922AA" w:rsidP="00D922AA">
      <w:pPr>
        <w:spacing w:after="0"/>
        <w:ind w:left="187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</w:pPr>
      <w:r w:rsidRPr="00B20BFA">
        <w:rPr>
          <w:rFonts w:ascii="Times New Roman" w:hAnsi="Times New Roman" w:cs="Times New Roman"/>
          <w:sz w:val="27"/>
          <w:szCs w:val="27"/>
          <w:lang w:val="vi-VN"/>
        </w:rPr>
        <w:t>2. Kết quả cụ thể như sau:</w:t>
      </w:r>
    </w:p>
    <w:tbl>
      <w:tblPr>
        <w:tblStyle w:val="TableGrid"/>
        <w:tblW w:w="140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36"/>
        <w:gridCol w:w="1350"/>
        <w:gridCol w:w="4050"/>
        <w:gridCol w:w="3780"/>
      </w:tblGrid>
      <w:tr w:rsidR="00D922AA" w:rsidRPr="00CC0ECE" w:rsidTr="00367496">
        <w:tc>
          <w:tcPr>
            <w:tcW w:w="4836" w:type="dxa"/>
          </w:tcPr>
          <w:p w:rsidR="00D922AA" w:rsidRPr="00CC0ECE" w:rsidRDefault="00D922AA" w:rsidP="00367496">
            <w:pPr>
              <w:spacing w:after="0" w:line="340" w:lineRule="exact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HỒ SƠ DỰ THẢO LUẬT</w:t>
            </w:r>
          </w:p>
        </w:tc>
        <w:tc>
          <w:tcPr>
            <w:tcW w:w="1350" w:type="dxa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>ĐƠN VỊ GÓP Ý</w:t>
            </w:r>
          </w:p>
        </w:tc>
        <w:tc>
          <w:tcPr>
            <w:tcW w:w="4050" w:type="dxa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>NỘI DUNG Ý KIẾN</w:t>
            </w:r>
          </w:p>
        </w:tc>
        <w:tc>
          <w:tcPr>
            <w:tcW w:w="3780" w:type="dxa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Ý KIẾN TIẾP THU, GIẢI TRÌNH </w:t>
            </w:r>
          </w:p>
        </w:tc>
      </w:tr>
      <w:tr w:rsidR="00D922AA" w:rsidRPr="00CC0ECE" w:rsidTr="00367496">
        <w:tc>
          <w:tcPr>
            <w:tcW w:w="14016" w:type="dxa"/>
            <w:gridSpan w:val="4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NHẤT TRÍ VỚI DỰ THẢO LUẬT</w:t>
            </w:r>
          </w:p>
        </w:tc>
      </w:tr>
      <w:tr w:rsidR="00425043" w:rsidRPr="00CC0ECE" w:rsidTr="00367496">
        <w:tc>
          <w:tcPr>
            <w:tcW w:w="4836" w:type="dxa"/>
          </w:tcPr>
          <w:p w:rsidR="00425043" w:rsidRPr="00CC0ECE" w:rsidRDefault="00425043" w:rsidP="00367496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5043" w:rsidRPr="003E7723" w:rsidRDefault="00425043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7830" w:type="dxa"/>
            <w:gridSpan w:val="2"/>
          </w:tcPr>
          <w:p w:rsidR="00425043" w:rsidRPr="00CC0ECE" w:rsidRDefault="006F683B" w:rsidP="009A7DFD">
            <w:pPr>
              <w:spacing w:after="0"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bản</w:t>
            </w:r>
            <w:proofErr w:type="spellEnd"/>
          </w:p>
        </w:tc>
      </w:tr>
      <w:tr w:rsidR="00D922AA" w:rsidRPr="00CC0ECE" w:rsidTr="00367496">
        <w:tc>
          <w:tcPr>
            <w:tcW w:w="4836" w:type="dxa"/>
          </w:tcPr>
          <w:p w:rsidR="00D922AA" w:rsidRPr="00CC0ECE" w:rsidRDefault="00D922AA" w:rsidP="00367496">
            <w:pPr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2AA" w:rsidRPr="003E7723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723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3E7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KH&amp;CN</w:t>
            </w:r>
          </w:p>
        </w:tc>
        <w:tc>
          <w:tcPr>
            <w:tcW w:w="7830" w:type="dxa"/>
            <w:gridSpan w:val="2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Nhất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trí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nội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dung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Luật</w:t>
            </w:r>
            <w:proofErr w:type="spellEnd"/>
          </w:p>
        </w:tc>
      </w:tr>
      <w:tr w:rsidR="00D922AA" w:rsidRPr="00CC0ECE" w:rsidTr="00367496">
        <w:tc>
          <w:tcPr>
            <w:tcW w:w="14016" w:type="dxa"/>
            <w:gridSpan w:val="4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Ý KIẾN CỤ THỂ</w:t>
            </w:r>
          </w:p>
        </w:tc>
      </w:tr>
      <w:tr w:rsidR="00D922AA" w:rsidRPr="00CC0ECE" w:rsidTr="00367496">
        <w:tc>
          <w:tcPr>
            <w:tcW w:w="4836" w:type="dxa"/>
          </w:tcPr>
          <w:p w:rsidR="00D922AA" w:rsidRPr="00FF0127" w:rsidRDefault="00D922AA" w:rsidP="00367496">
            <w:pPr>
              <w:spacing w:after="0" w:line="340" w:lineRule="exact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</w:pPr>
            <w:proofErr w:type="spellStart"/>
            <w:r w:rsidRPr="00D7446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Đi</w:t>
            </w:r>
            <w:r w:rsidRPr="008C70C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ề</w:t>
            </w:r>
            <w:r w:rsidRPr="00CF0FF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u</w:t>
            </w:r>
            <w:proofErr w:type="spellEnd"/>
            <w:r w:rsidRPr="00CF0FF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 xml:space="preserve"> 44. </w:t>
            </w:r>
            <w:proofErr w:type="spellStart"/>
            <w:r w:rsidRPr="00CF0FF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Hi</w:t>
            </w:r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ệu</w:t>
            </w:r>
            <w:proofErr w:type="spellEnd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lực</w:t>
            </w:r>
            <w:proofErr w:type="spellEnd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thi</w:t>
            </w:r>
            <w:proofErr w:type="spellEnd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VE"/>
              </w:rPr>
              <w:t>hành</w:t>
            </w:r>
            <w:proofErr w:type="spellEnd"/>
          </w:p>
          <w:p w:rsidR="00D922AA" w:rsidRPr="00FF0127" w:rsidRDefault="00D922AA" w:rsidP="00367496">
            <w:pPr>
              <w:spacing w:after="0" w:line="340" w:lineRule="exact"/>
              <w:ind w:firstLine="7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</w:pP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Luật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này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có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hiệu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lực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thi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hành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từ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ngày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…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tháng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… </w:t>
            </w:r>
            <w:proofErr w:type="spellStart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>năm</w:t>
            </w:r>
            <w:proofErr w:type="spellEnd"/>
            <w:r w:rsidRPr="00FF0127">
              <w:rPr>
                <w:rFonts w:ascii="Times New Roman" w:hAnsi="Times New Roman" w:cs="Times New Roman"/>
                <w:color w:val="0D0D0D"/>
                <w:sz w:val="24"/>
                <w:szCs w:val="24"/>
                <w:lang w:val="es-VE"/>
              </w:rPr>
              <w:t xml:space="preserve"> ...</w:t>
            </w:r>
          </w:p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VE"/>
              </w:rPr>
            </w:pPr>
          </w:p>
        </w:tc>
        <w:tc>
          <w:tcPr>
            <w:tcW w:w="1350" w:type="dxa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</w:pP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lastRenderedPageBreak/>
              <w:t>Bộ</w:t>
            </w:r>
            <w:proofErr w:type="spellEnd"/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>Quốc</w:t>
            </w:r>
            <w:proofErr w:type="spellEnd"/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  <w:lang w:val="es-VE"/>
              </w:rPr>
              <w:t>phòng</w:t>
            </w:r>
            <w:proofErr w:type="spellEnd"/>
          </w:p>
        </w:tc>
        <w:tc>
          <w:tcPr>
            <w:tcW w:w="4050" w:type="dxa"/>
          </w:tcPr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s-VE"/>
              </w:rPr>
            </w:pP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Đề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nghị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nghiên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cứu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,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bổ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sung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tại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Điều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44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của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dự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thảo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(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đổi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)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về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quy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định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hết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hiệu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lực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của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lastRenderedPageBreak/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số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06/2012/QH13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khi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(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đổi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)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có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hiệu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lực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thi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  <w:lang w:val="es-VE"/>
              </w:rPr>
              <w:t>hành</w:t>
            </w:r>
            <w:proofErr w:type="spellEnd"/>
          </w:p>
        </w:tc>
        <w:tc>
          <w:tcPr>
            <w:tcW w:w="3780" w:type="dxa"/>
          </w:tcPr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VE"/>
              </w:rPr>
            </w:pPr>
            <w:proofErr w:type="spellStart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VE"/>
              </w:rPr>
              <w:lastRenderedPageBreak/>
              <w:t>Tiếp</w:t>
            </w:r>
            <w:proofErr w:type="spellEnd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VE"/>
              </w:rPr>
              <w:t xml:space="preserve"> </w:t>
            </w:r>
            <w:proofErr w:type="spellStart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VE"/>
              </w:rPr>
              <w:t>thu</w:t>
            </w:r>
            <w:proofErr w:type="spellEnd"/>
          </w:p>
        </w:tc>
      </w:tr>
      <w:tr w:rsidR="00D922AA" w:rsidRPr="00CC0ECE" w:rsidTr="00367496">
        <w:tc>
          <w:tcPr>
            <w:tcW w:w="14016" w:type="dxa"/>
            <w:gridSpan w:val="4"/>
          </w:tcPr>
          <w:p w:rsidR="00D922AA" w:rsidRPr="00CC0ECE" w:rsidRDefault="00D922AA" w:rsidP="00367496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Ý </w:t>
            </w:r>
            <w:proofErr w:type="spellStart"/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khác</w:t>
            </w:r>
            <w:proofErr w:type="spellEnd"/>
          </w:p>
        </w:tc>
      </w:tr>
      <w:tr w:rsidR="00D922AA" w:rsidRPr="00CC0ECE" w:rsidTr="00367496">
        <w:tc>
          <w:tcPr>
            <w:tcW w:w="4836" w:type="dxa"/>
          </w:tcPr>
          <w:p w:rsidR="00D922AA" w:rsidRPr="00CC0ECE" w:rsidRDefault="00D922AA" w:rsidP="00367496">
            <w:pPr>
              <w:spacing w:after="0" w:line="340" w:lineRule="exact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proofErr w:type="spellEnd"/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>Quốc</w:t>
            </w:r>
            <w:proofErr w:type="spellEnd"/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b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4050" w:type="dxa"/>
          </w:tcPr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tên,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VIII- 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CC0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D922AA" w:rsidRPr="00CC0ECE" w:rsidRDefault="00D922AA" w:rsidP="00367496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</w:p>
        </w:tc>
      </w:tr>
    </w:tbl>
    <w:p w:rsidR="00D922AA" w:rsidRPr="00CC0ECE" w:rsidRDefault="00D922AA" w:rsidP="00D922AA">
      <w:pPr>
        <w:jc w:val="both"/>
        <w:rPr>
          <w:rFonts w:ascii="Times New Roman" w:hAnsi="Times New Roman" w:cs="Times New Roman"/>
          <w:sz w:val="24"/>
          <w:szCs w:val="24"/>
          <w:lang w:val="es-VE"/>
        </w:rPr>
      </w:pPr>
    </w:p>
    <w:p w:rsidR="00D922AA" w:rsidRDefault="00D922AA" w:rsidP="00D922AA"/>
    <w:p w:rsidR="00AD0DE1" w:rsidRDefault="00432779"/>
    <w:sectPr w:rsidR="00AD0DE1" w:rsidSect="003E0720">
      <w:headerReference w:type="defaul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79" w:rsidRDefault="00432779">
      <w:pPr>
        <w:spacing w:after="0" w:line="240" w:lineRule="auto"/>
      </w:pPr>
      <w:r>
        <w:separator/>
      </w:r>
    </w:p>
  </w:endnote>
  <w:endnote w:type="continuationSeparator" w:id="0">
    <w:p w:rsidR="00432779" w:rsidRDefault="004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79" w:rsidRDefault="00432779">
      <w:pPr>
        <w:spacing w:after="0" w:line="240" w:lineRule="auto"/>
      </w:pPr>
      <w:r>
        <w:separator/>
      </w:r>
    </w:p>
  </w:footnote>
  <w:footnote w:type="continuationSeparator" w:id="0">
    <w:p w:rsidR="00432779" w:rsidRDefault="004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151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C0ECE" w:rsidRPr="00A85774" w:rsidRDefault="0037391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5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57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5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B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57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C0ECE" w:rsidRDefault="00432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A"/>
    <w:rsid w:val="00072B92"/>
    <w:rsid w:val="003376FF"/>
    <w:rsid w:val="00373912"/>
    <w:rsid w:val="003E7723"/>
    <w:rsid w:val="00425043"/>
    <w:rsid w:val="00432779"/>
    <w:rsid w:val="005379ED"/>
    <w:rsid w:val="006F683B"/>
    <w:rsid w:val="007B1E88"/>
    <w:rsid w:val="00941EEA"/>
    <w:rsid w:val="009A7DFD"/>
    <w:rsid w:val="00BF7AC7"/>
    <w:rsid w:val="00D922AA"/>
    <w:rsid w:val="00EE5A2A"/>
    <w:rsid w:val="00F2245E"/>
    <w:rsid w:val="00F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02B1"/>
  <w15:chartTrackingRefBased/>
  <w15:docId w15:val="{FD53BDDB-BD32-4128-9482-BAF56F3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A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bullet 1,List Paragraph1,List Paragraph11,List Paragraph12,List Paragraph2,Thang2,VNA - List Paragraph,1.,Table Sequence,lp1,lp11,List Paragraph 1,My checklist,Dot 1,List Paragraph 1.,List Paragraph Char Char,b1,Number_1,Level 2,a)"/>
    <w:basedOn w:val="Normal"/>
    <w:link w:val="ListParagraphChar"/>
    <w:uiPriority w:val="34"/>
    <w:qFormat/>
    <w:rsid w:val="00D922AA"/>
    <w:pPr>
      <w:ind w:left="720"/>
      <w:contextualSpacing/>
    </w:p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p1 Char,lp11 Char,List Paragraph 1 Char,Dot 1 Char"/>
    <w:basedOn w:val="DefaultParagraphFont"/>
    <w:link w:val="ListParagraph"/>
    <w:uiPriority w:val="34"/>
    <w:qFormat/>
    <w:locked/>
    <w:rsid w:val="00D922A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9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A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B4348-2EBC-4401-9BED-846A0E2084DC}"/>
</file>

<file path=customXml/itemProps2.xml><?xml version="1.0" encoding="utf-8"?>
<ds:datastoreItem xmlns:ds="http://schemas.openxmlformats.org/officeDocument/2006/customXml" ds:itemID="{500891B5-1F92-4A06-BEA5-7B6E611B15C9}"/>
</file>

<file path=customXml/itemProps3.xml><?xml version="1.0" encoding="utf-8"?>
<ds:datastoreItem xmlns:ds="http://schemas.openxmlformats.org/officeDocument/2006/customXml" ds:itemID="{4C2B21C0-63D8-4F44-B91E-74DE5D63E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Linh (PC)</dc:creator>
  <cp:keywords/>
  <dc:description/>
  <cp:lastModifiedBy>Dell XPS 13</cp:lastModifiedBy>
  <cp:revision>11</cp:revision>
  <cp:lastPrinted>2025-08-07T12:11:00Z</cp:lastPrinted>
  <dcterms:created xsi:type="dcterms:W3CDTF">2025-08-07T10:10:00Z</dcterms:created>
  <dcterms:modified xsi:type="dcterms:W3CDTF">2025-08-07T17:53:00Z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