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E0DBC" w14:textId="7C9BDCB8" w:rsidR="00F6391B" w:rsidRPr="005239BD" w:rsidRDefault="00F6391B" w:rsidP="005239BD">
      <w:pPr>
        <w:ind w:right="-30"/>
        <w:jc w:val="both"/>
        <w:rPr>
          <w:b/>
          <w:szCs w:val="28"/>
          <w:lang w:val="vi-VN"/>
        </w:rPr>
      </w:pPr>
      <w:bookmarkStart w:id="0" w:name="_GoBack"/>
      <w:bookmarkEnd w:id="0"/>
      <w:r w:rsidRPr="005239BD">
        <w:rPr>
          <w:b/>
          <w:szCs w:val="28"/>
        </w:rPr>
        <w:t>NGÂN HÀNG NHÀ NƯỚC VIỆT NAM</w:t>
      </w:r>
    </w:p>
    <w:p w14:paraId="13DBD697" w14:textId="3E4C4865" w:rsidR="00891E06" w:rsidRPr="005239BD" w:rsidRDefault="00A357C4" w:rsidP="005239BD">
      <w:pPr>
        <w:ind w:right="-30"/>
        <w:jc w:val="both"/>
        <w:rPr>
          <w:b/>
          <w:szCs w:val="28"/>
          <w:lang w:val="vi-VN"/>
        </w:rPr>
      </w:pPr>
      <w:r w:rsidRPr="005239BD">
        <w:rPr>
          <w:b/>
          <w:noProof/>
          <w:szCs w:val="28"/>
        </w:rPr>
        <mc:AlternateContent>
          <mc:Choice Requires="wps">
            <w:drawing>
              <wp:anchor distT="0" distB="0" distL="114300" distR="114300" simplePos="0" relativeHeight="251661312" behindDoc="0" locked="0" layoutInCell="1" allowOverlap="1" wp14:anchorId="6843CBD9" wp14:editId="56FE4A94">
                <wp:simplePos x="0" y="0"/>
                <wp:positionH relativeFrom="column">
                  <wp:posOffset>8348980</wp:posOffset>
                </wp:positionH>
                <wp:positionV relativeFrom="paragraph">
                  <wp:posOffset>10219</wp:posOffset>
                </wp:positionV>
                <wp:extent cx="746150" cy="395020"/>
                <wp:effectExtent l="0" t="0" r="15875" b="24130"/>
                <wp:wrapNone/>
                <wp:docPr id="2" name="Rectangle 2"/>
                <wp:cNvGraphicFramePr/>
                <a:graphic xmlns:a="http://schemas.openxmlformats.org/drawingml/2006/main">
                  <a:graphicData uri="http://schemas.microsoft.com/office/word/2010/wordprocessingShape">
                    <wps:wsp>
                      <wps:cNvSpPr/>
                      <wps:spPr>
                        <a:xfrm>
                          <a:off x="0" y="0"/>
                          <a:ext cx="746150" cy="3950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89508F" w14:textId="20A52682" w:rsidR="00B578E6" w:rsidRPr="00947C06" w:rsidRDefault="00E16DD4" w:rsidP="00F752FB">
                            <w:pPr>
                              <w:rPr>
                                <w:b/>
                                <w:sz w:val="20"/>
                                <w:szCs w:val="20"/>
                              </w:rPr>
                            </w:pPr>
                            <w:r>
                              <w:rPr>
                                <w:b/>
                                <w:sz w:val="20"/>
                                <w:szCs w:val="20"/>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43CBD9" id="Rectangle 2" o:spid="_x0000_s1026" style="position:absolute;left:0;text-align:left;margin-left:657.4pt;margin-top:.8pt;width:58.75pt;height:3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" fillcolor="white [3201]" strokecolor="#70ad47 [3209]" strokeweight="1pt">
                <v:textbox>
                  <w:txbxContent>
                    <w:p w14:paraId="4789508F" w14:textId="20A52682" w:rsidR="00B578E6" w:rsidRPr="00947C06" w:rsidRDefault="00E16DD4" w:rsidP="00F752FB">
                      <w:pPr>
                        <w:rPr>
                          <w:b/>
                          <w:sz w:val="20"/>
                          <w:szCs w:val="20"/>
                        </w:rPr>
                      </w:pPr>
                      <w:r>
                        <w:rPr>
                          <w:b/>
                          <w:sz w:val="20"/>
                          <w:szCs w:val="20"/>
                        </w:rPr>
                        <w:t>Dự thảo</w:t>
                      </w:r>
                      <w:bookmarkStart w:id="1" w:name="_GoBack"/>
                      <w:bookmarkEnd w:id="1"/>
                    </w:p>
                  </w:txbxContent>
                </v:textbox>
              </v:rect>
            </w:pict>
          </mc:Fallback>
        </mc:AlternateContent>
      </w:r>
      <w:r w:rsidR="00891E06" w:rsidRPr="005239BD">
        <w:rPr>
          <w:b/>
          <w:szCs w:val="28"/>
          <w:lang w:val="vi-VN"/>
        </w:rPr>
        <w:t>CỤC AN TOÀN HỆ THỐNG CÁC TCTD</w:t>
      </w:r>
    </w:p>
    <w:p w14:paraId="0C31BF24" w14:textId="4C143544" w:rsidR="00407FBB" w:rsidRPr="005239BD" w:rsidRDefault="009903E3" w:rsidP="005239BD">
      <w:pPr>
        <w:spacing w:before="360"/>
        <w:ind w:right="-30"/>
        <w:jc w:val="center"/>
        <w:rPr>
          <w:b/>
          <w:sz w:val="32"/>
          <w:szCs w:val="28"/>
          <w:lang w:val="vi-VN"/>
        </w:rPr>
      </w:pPr>
      <w:r w:rsidRPr="005239BD">
        <w:rPr>
          <w:b/>
          <w:noProof/>
          <w:sz w:val="32"/>
          <w:szCs w:val="28"/>
        </w:rPr>
        <w:drawing>
          <wp:anchor distT="0" distB="0" distL="114300" distR="114300" simplePos="0" relativeHeight="251658240" behindDoc="0" locked="0" layoutInCell="1" allowOverlap="1" wp14:anchorId="5A803964" wp14:editId="1F89C93B">
            <wp:simplePos x="0" y="0"/>
            <wp:positionH relativeFrom="column">
              <wp:posOffset>105106</wp:posOffset>
            </wp:positionH>
            <wp:positionV relativeFrom="paragraph">
              <wp:posOffset>9525</wp:posOffset>
            </wp:positionV>
            <wp:extent cx="2438400" cy="28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28575"/>
                    </a:xfrm>
                    <a:prstGeom prst="rect">
                      <a:avLst/>
                    </a:prstGeom>
                    <a:noFill/>
                  </pic:spPr>
                </pic:pic>
              </a:graphicData>
            </a:graphic>
            <wp14:sizeRelH relativeFrom="page">
              <wp14:pctWidth>0</wp14:pctWidth>
            </wp14:sizeRelH>
            <wp14:sizeRelV relativeFrom="page">
              <wp14:pctHeight>0</wp14:pctHeight>
            </wp14:sizeRelV>
          </wp:anchor>
        </w:drawing>
      </w:r>
      <w:r w:rsidR="00081B4C" w:rsidRPr="005239BD">
        <w:rPr>
          <w:b/>
          <w:sz w:val="32"/>
          <w:szCs w:val="28"/>
          <w:lang w:val="pt-BR"/>
        </w:rPr>
        <w:t xml:space="preserve">BẢN THUYẾT MINH </w:t>
      </w:r>
    </w:p>
    <w:p w14:paraId="4182C2B2" w14:textId="77777777" w:rsidR="00BC153E" w:rsidRPr="005239BD" w:rsidRDefault="00BC153E" w:rsidP="005239BD">
      <w:pPr>
        <w:ind w:right="-28"/>
        <w:jc w:val="center"/>
        <w:rPr>
          <w:b/>
          <w:sz w:val="12"/>
          <w:szCs w:val="12"/>
          <w:lang w:val="vi-VN"/>
        </w:rPr>
      </w:pPr>
    </w:p>
    <w:p w14:paraId="1C67E959" w14:textId="03C940D2" w:rsidR="0039369F" w:rsidRPr="00AC5DD8" w:rsidRDefault="00407FBB" w:rsidP="005239BD">
      <w:pPr>
        <w:spacing w:line="288" w:lineRule="auto"/>
        <w:jc w:val="center"/>
        <w:rPr>
          <w:rFonts w:eastAsia="Times New Roman"/>
          <w:b/>
          <w:bCs/>
          <w:sz w:val="28"/>
          <w:szCs w:val="28"/>
          <w:lang w:val="vi-VN"/>
        </w:rPr>
      </w:pPr>
      <w:r w:rsidRPr="005239BD">
        <w:rPr>
          <w:b/>
          <w:sz w:val="28"/>
          <w:szCs w:val="28"/>
          <w:lang w:val="pt-BR"/>
        </w:rPr>
        <w:t>D</w:t>
      </w:r>
      <w:r w:rsidR="008459C8" w:rsidRPr="005239BD">
        <w:rPr>
          <w:b/>
          <w:sz w:val="28"/>
          <w:szCs w:val="28"/>
          <w:lang w:val="pt-BR"/>
        </w:rPr>
        <w:t xml:space="preserve">ự thảo </w:t>
      </w:r>
      <w:r w:rsidR="006A60E0" w:rsidRPr="005239BD">
        <w:rPr>
          <w:b/>
          <w:sz w:val="28"/>
          <w:szCs w:val="28"/>
          <w:lang w:val="pt-BR"/>
        </w:rPr>
        <w:t xml:space="preserve">Thông tư thay thế </w:t>
      </w:r>
      <w:r w:rsidR="00C23BC9" w:rsidRPr="005239BD">
        <w:rPr>
          <w:b/>
          <w:sz w:val="28"/>
          <w:szCs w:val="28"/>
          <w:lang w:val="pt-BR"/>
        </w:rPr>
        <w:t>T</w:t>
      </w:r>
      <w:r w:rsidR="0039369F" w:rsidRPr="00AC5DD8">
        <w:rPr>
          <w:b/>
          <w:sz w:val="28"/>
          <w:szCs w:val="28"/>
          <w:lang w:val="vi-VN"/>
        </w:rPr>
        <w:t>hông tư số 32/2015/TT-NHNN</w:t>
      </w:r>
      <w:r w:rsidR="00954F06" w:rsidRPr="00AC5DD8">
        <w:rPr>
          <w:b/>
          <w:sz w:val="28"/>
          <w:szCs w:val="28"/>
          <w:lang w:val="vi-VN"/>
        </w:rPr>
        <w:t xml:space="preserve"> </w:t>
      </w:r>
      <w:r w:rsidR="0039369F" w:rsidRPr="00AC5DD8">
        <w:rPr>
          <w:b/>
          <w:sz w:val="28"/>
          <w:szCs w:val="28"/>
          <w:lang w:val="vi-VN"/>
        </w:rPr>
        <w:t>quy định các giới hạn, tỷ lệ bảo đảm an toàn</w:t>
      </w:r>
      <w:r w:rsidR="00954F06" w:rsidRPr="00AC5DD8">
        <w:rPr>
          <w:b/>
          <w:sz w:val="28"/>
          <w:szCs w:val="28"/>
          <w:lang w:val="vi-VN"/>
        </w:rPr>
        <w:t xml:space="preserve"> </w:t>
      </w:r>
      <w:r w:rsidR="0039369F" w:rsidRPr="00AC5DD8">
        <w:rPr>
          <w:b/>
          <w:sz w:val="28"/>
          <w:szCs w:val="28"/>
          <w:lang w:val="vi-VN"/>
        </w:rPr>
        <w:t>trong hoạt động của quỹ tín dụ</w:t>
      </w:r>
      <w:r w:rsidR="006A60E0" w:rsidRPr="00AC5DD8">
        <w:rPr>
          <w:b/>
          <w:sz w:val="28"/>
          <w:szCs w:val="28"/>
          <w:lang w:val="vi-VN"/>
        </w:rPr>
        <w:t>ng nhân dân (đã được sửa đổi bổ sung năm 2024)</w:t>
      </w:r>
    </w:p>
    <w:p w14:paraId="265A3865" w14:textId="01052E15" w:rsidR="00F86C37" w:rsidRPr="005239BD" w:rsidRDefault="00F86C37" w:rsidP="005239BD">
      <w:pPr>
        <w:spacing w:line="288" w:lineRule="auto"/>
        <w:jc w:val="center"/>
        <w:rPr>
          <w:b/>
          <w:iCs/>
          <w:sz w:val="28"/>
          <w:szCs w:val="28"/>
          <w:lang w:val="pt-BR"/>
        </w:rPr>
      </w:pPr>
      <w:r w:rsidRPr="005239BD">
        <w:rPr>
          <w:noProof/>
        </w:rPr>
        <mc:AlternateContent>
          <mc:Choice Requires="wps">
            <w:drawing>
              <wp:anchor distT="4294967295" distB="4294967295" distL="114300" distR="114300" simplePos="0" relativeHeight="251663360" behindDoc="0" locked="0" layoutInCell="1" allowOverlap="1" wp14:anchorId="1FFF17C9" wp14:editId="78FD8F16">
                <wp:simplePos x="0" y="0"/>
                <wp:positionH relativeFrom="column">
                  <wp:posOffset>3531073</wp:posOffset>
                </wp:positionH>
                <wp:positionV relativeFrom="paragraph">
                  <wp:posOffset>28812</wp:posOffset>
                </wp:positionV>
                <wp:extent cx="1879776" cy="0"/>
                <wp:effectExtent l="0" t="0" r="2540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7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0D5633" id="_x0000_t32" coordsize="21600,21600" o:spt="32" o:oned="t" path="m,l21600,21600e" filled="f">
                <v:path arrowok="t" fillok="f" o:connecttype="none"/>
                <o:lock v:ext="edit" shapetype="t"/>
              </v:shapetype>
              <v:shape id="Straight Arrow Connector 6" o:spid="_x0000_s1026" type="#_x0000_t32" style="position:absolute;margin-left:278.05pt;margin-top:2.25pt;width:148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wX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"/>
            </w:pict>
          </mc:Fallback>
        </mc:AlternateContent>
      </w:r>
    </w:p>
    <w:p w14:paraId="22BBF6FD" w14:textId="404639B9" w:rsidR="0039369F" w:rsidRPr="005239BD" w:rsidRDefault="00F86C37" w:rsidP="005239BD">
      <w:pPr>
        <w:spacing w:line="288" w:lineRule="auto"/>
        <w:jc w:val="center"/>
        <w:rPr>
          <w:iCs/>
          <w:spacing w:val="-2"/>
          <w:sz w:val="28"/>
          <w:szCs w:val="28"/>
          <w:lang w:val="pt-BR"/>
        </w:rPr>
      </w:pPr>
      <w:r w:rsidRPr="005239BD">
        <w:rPr>
          <w:b/>
          <w:iCs/>
          <w:spacing w:val="-2"/>
          <w:sz w:val="28"/>
          <w:szCs w:val="28"/>
          <w:lang w:val="pt-BR"/>
        </w:rPr>
        <w:t xml:space="preserve">Tên dự thảo Thông tư: </w:t>
      </w:r>
      <w:r w:rsidRPr="005239BD">
        <w:rPr>
          <w:iCs/>
          <w:spacing w:val="-2"/>
          <w:sz w:val="28"/>
          <w:szCs w:val="28"/>
          <w:lang w:val="pt-BR"/>
        </w:rPr>
        <w:t xml:space="preserve">Thông tư </w:t>
      </w:r>
      <w:r w:rsidRPr="00AC5DD8">
        <w:rPr>
          <w:spacing w:val="-2"/>
          <w:sz w:val="28"/>
          <w:szCs w:val="28"/>
          <w:lang w:val="pt-BR"/>
        </w:rPr>
        <w:t>quy định các giới hạn, tỷ lệ bảo đảm an toàn trong hoạt động của quỹ tín dụng nhân dân</w:t>
      </w:r>
    </w:p>
    <w:p w14:paraId="255B46E7" w14:textId="77777777" w:rsidR="005369E4" w:rsidRPr="005239BD" w:rsidRDefault="005369E4" w:rsidP="005239BD">
      <w:pPr>
        <w:jc w:val="both"/>
        <w:rPr>
          <w:sz w:val="4"/>
          <w:szCs w:val="28"/>
          <w:lang w:val="vi-VN"/>
        </w:rPr>
      </w:pPr>
    </w:p>
    <w:tbl>
      <w:tblPr>
        <w:tblStyle w:val="TableGrid1"/>
        <w:tblW w:w="15451" w:type="dxa"/>
        <w:tblInd w:w="-1139" w:type="dxa"/>
        <w:tblLayout w:type="fixed"/>
        <w:tblLook w:val="04A0" w:firstRow="1" w:lastRow="0" w:firstColumn="1" w:lastColumn="0" w:noHBand="0" w:noVBand="1"/>
      </w:tblPr>
      <w:tblGrid>
        <w:gridCol w:w="680"/>
        <w:gridCol w:w="5416"/>
        <w:gridCol w:w="5386"/>
        <w:gridCol w:w="3969"/>
      </w:tblGrid>
      <w:tr w:rsidR="00864CA1" w:rsidRPr="005239BD" w14:paraId="46B74B2F" w14:textId="77777777" w:rsidTr="004141EF">
        <w:trPr>
          <w:tblHeader/>
        </w:trPr>
        <w:tc>
          <w:tcPr>
            <w:tcW w:w="680" w:type="dxa"/>
          </w:tcPr>
          <w:p w14:paraId="0C05D51C" w14:textId="53629AD5" w:rsidR="00965C03" w:rsidRPr="005239BD" w:rsidRDefault="00F662DB" w:rsidP="005239BD">
            <w:pPr>
              <w:spacing w:before="120" w:after="120"/>
              <w:ind w:right="0"/>
              <w:jc w:val="center"/>
              <w:rPr>
                <w:rFonts w:cs="Times New Roman"/>
                <w:b/>
              </w:rPr>
            </w:pPr>
            <w:r w:rsidRPr="005239BD">
              <w:rPr>
                <w:b/>
              </w:rPr>
              <w:t>STT</w:t>
            </w:r>
          </w:p>
        </w:tc>
        <w:tc>
          <w:tcPr>
            <w:tcW w:w="5416" w:type="dxa"/>
          </w:tcPr>
          <w:p w14:paraId="56CD3A35" w14:textId="4612ECA9" w:rsidR="00965C03" w:rsidRPr="005239BD" w:rsidRDefault="00D919CB" w:rsidP="005239BD">
            <w:pPr>
              <w:tabs>
                <w:tab w:val="left" w:pos="2311"/>
              </w:tabs>
              <w:spacing w:before="120" w:after="120"/>
              <w:ind w:right="0"/>
              <w:jc w:val="center"/>
              <w:rPr>
                <w:rFonts w:cs="Times New Roman"/>
                <w:b/>
              </w:rPr>
            </w:pPr>
            <w:r w:rsidRPr="005239BD">
              <w:rPr>
                <w:b/>
              </w:rPr>
              <w:t>Quy định tại Thông tư hiện hành</w:t>
            </w:r>
          </w:p>
        </w:tc>
        <w:tc>
          <w:tcPr>
            <w:tcW w:w="5386" w:type="dxa"/>
          </w:tcPr>
          <w:p w14:paraId="620E771D" w14:textId="201C767A" w:rsidR="00965C03" w:rsidRPr="005239BD" w:rsidRDefault="00647A44" w:rsidP="005239BD">
            <w:pPr>
              <w:tabs>
                <w:tab w:val="left" w:pos="2311"/>
              </w:tabs>
              <w:spacing w:before="120" w:after="120"/>
              <w:ind w:right="0"/>
              <w:jc w:val="center"/>
              <w:rPr>
                <w:b/>
              </w:rPr>
            </w:pPr>
            <w:r w:rsidRPr="005239BD">
              <w:rPr>
                <w:b/>
              </w:rPr>
              <w:t>Quy định tại dự thảo Thông tư</w:t>
            </w:r>
          </w:p>
        </w:tc>
        <w:tc>
          <w:tcPr>
            <w:tcW w:w="3969" w:type="dxa"/>
          </w:tcPr>
          <w:p w14:paraId="7C5AE95B" w14:textId="125C64BF" w:rsidR="00965C03" w:rsidRPr="005239BD" w:rsidRDefault="00965C03" w:rsidP="005239BD">
            <w:pPr>
              <w:tabs>
                <w:tab w:val="left" w:pos="2311"/>
              </w:tabs>
              <w:spacing w:before="120" w:after="120"/>
              <w:ind w:right="0"/>
              <w:jc w:val="center"/>
              <w:rPr>
                <w:b/>
              </w:rPr>
            </w:pPr>
            <w:r w:rsidRPr="005239BD">
              <w:rPr>
                <w:b/>
              </w:rPr>
              <w:t>Lý do sửa đổi, bổ sung</w:t>
            </w:r>
          </w:p>
        </w:tc>
      </w:tr>
      <w:tr w:rsidR="006A60E0" w:rsidRPr="005239BD" w14:paraId="315B1658" w14:textId="77777777" w:rsidTr="00275928">
        <w:tc>
          <w:tcPr>
            <w:tcW w:w="680" w:type="dxa"/>
            <w:vAlign w:val="center"/>
          </w:tcPr>
          <w:p w14:paraId="4AA63C90" w14:textId="47B41568" w:rsidR="006A60E0" w:rsidRPr="005239BD" w:rsidRDefault="006A60E0" w:rsidP="005239BD">
            <w:pPr>
              <w:spacing w:before="120" w:after="120"/>
              <w:ind w:right="0"/>
              <w:jc w:val="center"/>
              <w:rPr>
                <w:b/>
                <w:iCs/>
                <w:noProof/>
              </w:rPr>
            </w:pPr>
            <w:r w:rsidRPr="005239BD">
              <w:rPr>
                <w:b/>
                <w:iCs/>
                <w:noProof/>
              </w:rPr>
              <w:t>I</w:t>
            </w:r>
          </w:p>
        </w:tc>
        <w:tc>
          <w:tcPr>
            <w:tcW w:w="14771" w:type="dxa"/>
            <w:gridSpan w:val="3"/>
            <w:vAlign w:val="center"/>
          </w:tcPr>
          <w:p w14:paraId="41AD5322" w14:textId="20B56791" w:rsidR="006A60E0" w:rsidRPr="005239BD" w:rsidRDefault="006A60E0" w:rsidP="005239BD">
            <w:pPr>
              <w:tabs>
                <w:tab w:val="left" w:pos="2311"/>
              </w:tabs>
              <w:spacing w:before="120" w:after="120"/>
              <w:ind w:right="0"/>
              <w:jc w:val="center"/>
              <w:rPr>
                <w:b/>
                <w:lang w:val="nl-NL"/>
              </w:rPr>
            </w:pPr>
            <w:r w:rsidRPr="005239BD">
              <w:rPr>
                <w:rFonts w:eastAsia="Calibri"/>
                <w:b/>
              </w:rPr>
              <w:t>Thông tư số 32/2015/TT-NHNN (đã được sửa đổi, bổ sung bởi Thông tư số 13/2024/TT-NHNN)</w:t>
            </w:r>
          </w:p>
        </w:tc>
      </w:tr>
      <w:tr w:rsidR="00544165" w:rsidRPr="005239BD" w14:paraId="2732A13D" w14:textId="77777777" w:rsidTr="004141EF">
        <w:tc>
          <w:tcPr>
            <w:tcW w:w="680" w:type="dxa"/>
            <w:vAlign w:val="center"/>
          </w:tcPr>
          <w:p w14:paraId="5A2BF298" w14:textId="5C6055D5" w:rsidR="00544165" w:rsidRPr="005239BD" w:rsidRDefault="00544165" w:rsidP="005239BD">
            <w:pPr>
              <w:spacing w:before="120" w:after="120"/>
              <w:ind w:right="0"/>
              <w:jc w:val="center"/>
              <w:rPr>
                <w:b/>
                <w:iCs/>
                <w:noProof/>
              </w:rPr>
            </w:pPr>
            <w:r w:rsidRPr="005239BD">
              <w:rPr>
                <w:b/>
                <w:iCs/>
                <w:noProof/>
              </w:rPr>
              <w:t>1</w:t>
            </w:r>
          </w:p>
        </w:tc>
        <w:tc>
          <w:tcPr>
            <w:tcW w:w="5416" w:type="dxa"/>
            <w:vAlign w:val="center"/>
          </w:tcPr>
          <w:p w14:paraId="63069F23" w14:textId="1F1CBA2C" w:rsidR="00544165" w:rsidRPr="005239BD" w:rsidRDefault="00544165" w:rsidP="005239BD">
            <w:pPr>
              <w:tabs>
                <w:tab w:val="left" w:pos="2311"/>
              </w:tabs>
              <w:spacing w:before="120" w:after="120"/>
              <w:ind w:right="0"/>
              <w:jc w:val="center"/>
              <w:rPr>
                <w:b/>
              </w:rPr>
            </w:pPr>
            <w:r w:rsidRPr="005239BD">
              <w:rPr>
                <w:rFonts w:eastAsia="Calibri"/>
                <w:b/>
              </w:rPr>
              <w:t>Điều 1. Phạm vi điều chỉnh và đối tượng áp dụng</w:t>
            </w:r>
          </w:p>
        </w:tc>
        <w:tc>
          <w:tcPr>
            <w:tcW w:w="5386" w:type="dxa"/>
            <w:vAlign w:val="center"/>
          </w:tcPr>
          <w:p w14:paraId="1013ED77" w14:textId="5AFF63A9" w:rsidR="00544165" w:rsidRPr="005239BD" w:rsidRDefault="00544165" w:rsidP="005239BD">
            <w:pPr>
              <w:tabs>
                <w:tab w:val="left" w:pos="2311"/>
              </w:tabs>
              <w:spacing w:before="120" w:after="120"/>
              <w:ind w:right="0"/>
              <w:jc w:val="left"/>
              <w:rPr>
                <w:rFonts w:eastAsia="Times New Roman"/>
                <w:b/>
                <w:bCs/>
                <w:color w:val="000000"/>
                <w:lang w:val="vi-VN"/>
              </w:rPr>
            </w:pPr>
            <w:r w:rsidRPr="005239BD">
              <w:rPr>
                <w:rFonts w:eastAsia="Calibri"/>
                <w:b/>
              </w:rPr>
              <w:t>Điều 1. Phạm vi điều chỉ</w:t>
            </w:r>
            <w:r w:rsidR="00206BB2" w:rsidRPr="005239BD">
              <w:rPr>
                <w:rFonts w:eastAsia="Calibri"/>
                <w:b/>
              </w:rPr>
              <w:t>nh</w:t>
            </w:r>
          </w:p>
        </w:tc>
        <w:tc>
          <w:tcPr>
            <w:tcW w:w="3969" w:type="dxa"/>
          </w:tcPr>
          <w:p w14:paraId="6789A959" w14:textId="77777777" w:rsidR="00544165" w:rsidRPr="005239BD" w:rsidRDefault="00544165" w:rsidP="005239BD">
            <w:pPr>
              <w:spacing w:before="60" w:after="60" w:line="276" w:lineRule="auto"/>
              <w:ind w:right="0"/>
              <w:rPr>
                <w:noProof/>
              </w:rPr>
            </w:pPr>
          </w:p>
        </w:tc>
      </w:tr>
      <w:tr w:rsidR="00544165" w:rsidRPr="00AC5DD8" w14:paraId="5319BB60" w14:textId="77777777" w:rsidTr="004141EF">
        <w:tc>
          <w:tcPr>
            <w:tcW w:w="680" w:type="dxa"/>
            <w:vAlign w:val="center"/>
          </w:tcPr>
          <w:p w14:paraId="342FC416" w14:textId="58421960" w:rsidR="00544165" w:rsidRPr="005239BD" w:rsidRDefault="00544165" w:rsidP="005239BD">
            <w:pPr>
              <w:spacing w:before="120" w:after="120"/>
              <w:ind w:right="0"/>
              <w:jc w:val="center"/>
              <w:rPr>
                <w:iCs/>
                <w:noProof/>
              </w:rPr>
            </w:pPr>
            <w:r w:rsidRPr="005239BD">
              <w:rPr>
                <w:iCs/>
                <w:noProof/>
              </w:rPr>
              <w:t>1.1</w:t>
            </w:r>
          </w:p>
        </w:tc>
        <w:tc>
          <w:tcPr>
            <w:tcW w:w="5416" w:type="dxa"/>
          </w:tcPr>
          <w:p w14:paraId="49635F46" w14:textId="77777777" w:rsidR="00544165" w:rsidRPr="005239BD" w:rsidRDefault="00544165" w:rsidP="005239BD">
            <w:pPr>
              <w:spacing w:after="120" w:line="234" w:lineRule="atLeast"/>
              <w:ind w:right="0"/>
              <w:rPr>
                <w:rFonts w:eastAsia="Times New Roman" w:cs="Times New Roman"/>
                <w:shd w:val="clear" w:color="auto" w:fill="FFFFFF"/>
              </w:rPr>
            </w:pPr>
            <w:r w:rsidRPr="005239BD">
              <w:rPr>
                <w:rFonts w:eastAsia="Times New Roman" w:cs="Times New Roman"/>
                <w:shd w:val="clear" w:color="auto" w:fill="FFFFFF"/>
              </w:rPr>
              <w:t>1. Thông tư này quy định về các hạn chế, giới hạn, tỷ lệ bảo đảm an toàn trong hoạt động của quỹ tín dụng nhân dân bao gồm:</w:t>
            </w:r>
          </w:p>
          <w:p w14:paraId="044AE1C5" w14:textId="77777777" w:rsidR="00544165" w:rsidRPr="005239BD" w:rsidRDefault="00544165" w:rsidP="005239BD">
            <w:pPr>
              <w:spacing w:before="120" w:after="120"/>
              <w:ind w:right="0"/>
              <w:rPr>
                <w:rFonts w:eastAsia="Times New Roman" w:cs="Times New Roman"/>
                <w:shd w:val="clear" w:color="auto" w:fill="FFFFFF"/>
              </w:rPr>
            </w:pPr>
            <w:r w:rsidRPr="005239BD">
              <w:rPr>
                <w:rFonts w:eastAsia="Times New Roman" w:cs="Times New Roman"/>
                <w:shd w:val="clear" w:color="auto" w:fill="FFFFFF"/>
              </w:rPr>
              <w:t>a) Tỷ lệ an toàn vốn;</w:t>
            </w:r>
          </w:p>
          <w:p w14:paraId="47C3E4CF" w14:textId="77777777" w:rsidR="00544165" w:rsidRPr="005239BD" w:rsidRDefault="00544165" w:rsidP="005239BD">
            <w:pPr>
              <w:spacing w:before="120" w:after="120"/>
              <w:ind w:right="0"/>
              <w:rPr>
                <w:rFonts w:eastAsia="Times New Roman" w:cs="Times New Roman"/>
                <w:shd w:val="clear" w:color="auto" w:fill="FFFFFF"/>
              </w:rPr>
            </w:pPr>
            <w:r w:rsidRPr="005239BD">
              <w:rPr>
                <w:rFonts w:eastAsia="Times New Roman" w:cs="Times New Roman"/>
                <w:shd w:val="clear" w:color="auto" w:fill="FFFFFF"/>
              </w:rPr>
              <w:t>b) Tỷ lệ khả năng chi trả;</w:t>
            </w:r>
          </w:p>
          <w:p w14:paraId="412DB36A" w14:textId="77777777" w:rsidR="00544165" w:rsidRPr="005239BD" w:rsidRDefault="00544165" w:rsidP="005239BD">
            <w:pPr>
              <w:spacing w:before="120" w:after="120"/>
              <w:ind w:right="0"/>
              <w:rPr>
                <w:rFonts w:eastAsia="Times New Roman" w:cs="Times New Roman"/>
                <w:shd w:val="clear" w:color="auto" w:fill="FFFFFF"/>
              </w:rPr>
            </w:pPr>
            <w:r w:rsidRPr="005239BD">
              <w:rPr>
                <w:rFonts w:eastAsia="Times New Roman" w:cs="Times New Roman"/>
                <w:shd w:val="clear" w:color="auto" w:fill="FFFFFF"/>
              </w:rPr>
              <w:t xml:space="preserve">c) Tỷ lệ </w:t>
            </w:r>
            <w:r w:rsidRPr="005A502B">
              <w:rPr>
                <w:rFonts w:eastAsia="Times New Roman" w:cs="Times New Roman"/>
                <w:u w:val="single"/>
                <w:shd w:val="clear" w:color="auto" w:fill="FFFFFF"/>
              </w:rPr>
              <w:t>tối đa của</w:t>
            </w:r>
            <w:r w:rsidRPr="005239BD">
              <w:rPr>
                <w:rFonts w:eastAsia="Times New Roman" w:cs="Times New Roman"/>
                <w:shd w:val="clear" w:color="auto" w:fill="FFFFFF"/>
              </w:rPr>
              <w:t xml:space="preserve"> nguồn vốn ngắn hạn được sử dụng để cho vay trung hạn và dài hạn;</w:t>
            </w:r>
          </w:p>
          <w:p w14:paraId="1148B7A9" w14:textId="77777777" w:rsidR="00544165" w:rsidRPr="005239BD" w:rsidRDefault="00544165" w:rsidP="005239BD">
            <w:pPr>
              <w:spacing w:before="120" w:after="120"/>
              <w:ind w:right="0"/>
              <w:rPr>
                <w:rFonts w:eastAsia="Times New Roman" w:cs="Times New Roman"/>
                <w:shd w:val="clear" w:color="auto" w:fill="FFFFFF"/>
              </w:rPr>
            </w:pPr>
            <w:r w:rsidRPr="005239BD">
              <w:rPr>
                <w:rFonts w:eastAsia="Times New Roman" w:cs="Times New Roman"/>
                <w:shd w:val="clear" w:color="auto" w:fill="FFFFFF"/>
              </w:rPr>
              <w:t>d) Hạn chế, giới hạn cho vay;</w:t>
            </w:r>
          </w:p>
          <w:p w14:paraId="2DBA932E" w14:textId="77777777" w:rsidR="00544165" w:rsidRPr="005239BD" w:rsidRDefault="00544165" w:rsidP="005239BD">
            <w:pPr>
              <w:spacing w:before="120" w:after="120"/>
              <w:ind w:right="0"/>
              <w:rPr>
                <w:rFonts w:eastAsia="Times New Roman" w:cs="Times New Roman"/>
                <w:shd w:val="clear" w:color="auto" w:fill="FFFFFF"/>
              </w:rPr>
            </w:pPr>
            <w:r w:rsidRPr="005239BD">
              <w:rPr>
                <w:rFonts w:eastAsia="Times New Roman" w:cs="Times New Roman"/>
                <w:shd w:val="clear" w:color="auto" w:fill="FFFFFF"/>
              </w:rPr>
              <w:t>đ) Tỷ lệ tổng mức nhận tiền gửi so với vốn chủ sở hữu.</w:t>
            </w:r>
          </w:p>
          <w:p w14:paraId="278244A1" w14:textId="77777777" w:rsidR="00544165" w:rsidRPr="005239BD" w:rsidRDefault="00544165" w:rsidP="005239BD">
            <w:pPr>
              <w:spacing w:line="234" w:lineRule="atLeast"/>
              <w:ind w:right="0"/>
              <w:rPr>
                <w:rFonts w:eastAsia="Times New Roman"/>
                <w:b/>
                <w:bCs/>
                <w:color w:val="000000"/>
                <w:lang w:val="vi-VN"/>
              </w:rPr>
            </w:pPr>
          </w:p>
        </w:tc>
        <w:tc>
          <w:tcPr>
            <w:tcW w:w="5386" w:type="dxa"/>
          </w:tcPr>
          <w:p w14:paraId="741DD3EF" w14:textId="1A7538B3" w:rsidR="00544165" w:rsidRPr="00AC5DD8" w:rsidRDefault="00544165" w:rsidP="005239BD">
            <w:pPr>
              <w:spacing w:before="120" w:after="120"/>
              <w:ind w:right="0"/>
              <w:rPr>
                <w:rFonts w:eastAsia="Times New Roman" w:cs="Times New Roman"/>
                <w:shd w:val="clear" w:color="auto" w:fill="FFFFFF"/>
                <w:lang w:val="vi-VN"/>
              </w:rPr>
            </w:pPr>
            <w:r w:rsidRPr="00AC5DD8">
              <w:rPr>
                <w:rFonts w:eastAsia="Times New Roman" w:cs="Times New Roman"/>
                <w:shd w:val="clear" w:color="auto" w:fill="FFFFFF"/>
                <w:lang w:val="vi-VN"/>
              </w:rPr>
              <w:t>1. Thông tư này quy định về các hạn chế, giới hạn, tỷ lệ bảo đảm an toàn trong hoạt động của quỹ tín dụng nhân dân bao gồm:</w:t>
            </w:r>
          </w:p>
          <w:p w14:paraId="37585E54" w14:textId="77777777" w:rsidR="00544165" w:rsidRPr="005239BD" w:rsidRDefault="00544165" w:rsidP="005239BD">
            <w:pPr>
              <w:spacing w:before="120" w:after="120"/>
              <w:ind w:right="0"/>
              <w:rPr>
                <w:rFonts w:eastAsia="Times New Roman" w:cs="Times New Roman"/>
                <w:shd w:val="clear" w:color="auto" w:fill="FFFFFF"/>
              </w:rPr>
            </w:pPr>
            <w:r w:rsidRPr="005239BD">
              <w:rPr>
                <w:rFonts w:eastAsia="Times New Roman"/>
                <w:shd w:val="clear" w:color="auto" w:fill="FFFFFF"/>
              </w:rPr>
              <w:t>a) Tỷ lệ an toàn vốn;</w:t>
            </w:r>
          </w:p>
          <w:p w14:paraId="54278293" w14:textId="77777777" w:rsidR="00544165" w:rsidRPr="005239BD" w:rsidRDefault="00544165" w:rsidP="005239BD">
            <w:pPr>
              <w:spacing w:before="120" w:after="120"/>
              <w:ind w:right="0"/>
              <w:rPr>
                <w:rFonts w:eastAsia="Times New Roman" w:cs="Times New Roman"/>
                <w:shd w:val="clear" w:color="auto" w:fill="FFFFFF"/>
              </w:rPr>
            </w:pPr>
            <w:r w:rsidRPr="005239BD">
              <w:rPr>
                <w:rFonts w:eastAsia="Times New Roman"/>
                <w:shd w:val="clear" w:color="auto" w:fill="FFFFFF"/>
              </w:rPr>
              <w:t>b) Tỷ lệ khả năng chi trả;</w:t>
            </w:r>
          </w:p>
          <w:p w14:paraId="0AC914E0" w14:textId="06A925E5" w:rsidR="00544165" w:rsidRPr="005239BD" w:rsidRDefault="00544165" w:rsidP="005239BD">
            <w:pPr>
              <w:spacing w:before="120" w:after="120"/>
              <w:ind w:right="0"/>
              <w:rPr>
                <w:rFonts w:eastAsia="Times New Roman" w:cs="Times New Roman"/>
                <w:shd w:val="clear" w:color="auto" w:fill="FFFFFF"/>
              </w:rPr>
            </w:pPr>
            <w:r w:rsidRPr="005239BD">
              <w:rPr>
                <w:rFonts w:eastAsia="Times New Roman"/>
                <w:shd w:val="clear" w:color="auto" w:fill="FFFFFF"/>
              </w:rPr>
              <w:t>c) Tỷ lệ nguồn vốn ngắn hạn được sử dụng để cho vay trung hạn và dài hạn;</w:t>
            </w:r>
          </w:p>
          <w:p w14:paraId="5F329630" w14:textId="77777777" w:rsidR="00544165" w:rsidRPr="005239BD" w:rsidRDefault="00544165" w:rsidP="005239BD">
            <w:pPr>
              <w:spacing w:before="120" w:after="120"/>
              <w:ind w:right="0"/>
              <w:rPr>
                <w:rFonts w:eastAsia="Times New Roman" w:cs="Times New Roman"/>
                <w:shd w:val="clear" w:color="auto" w:fill="FFFFFF"/>
              </w:rPr>
            </w:pPr>
            <w:r w:rsidRPr="005239BD">
              <w:rPr>
                <w:rFonts w:eastAsia="Times New Roman"/>
                <w:shd w:val="clear" w:color="auto" w:fill="FFFFFF"/>
              </w:rPr>
              <w:t>d) Hạn chế, giới hạn cho vay;</w:t>
            </w:r>
          </w:p>
          <w:p w14:paraId="32B88DD9" w14:textId="77777777" w:rsidR="00544165" w:rsidRPr="005239BD" w:rsidRDefault="00544165" w:rsidP="005239BD">
            <w:pPr>
              <w:spacing w:before="120" w:after="120"/>
              <w:ind w:right="0"/>
              <w:rPr>
                <w:rFonts w:eastAsia="Times New Roman" w:cs="Times New Roman"/>
                <w:shd w:val="clear" w:color="auto" w:fill="FFFFFF"/>
              </w:rPr>
            </w:pPr>
            <w:r w:rsidRPr="005239BD">
              <w:rPr>
                <w:rFonts w:eastAsia="Times New Roman"/>
                <w:shd w:val="clear" w:color="auto" w:fill="FFFFFF"/>
              </w:rPr>
              <w:t>đ) Tỷ lệ tổng mức nhận tiền gửi so với vốn chủ sở hữu;</w:t>
            </w:r>
          </w:p>
          <w:p w14:paraId="4B8F96A6" w14:textId="5E73DD0F" w:rsidR="00544165" w:rsidRPr="005239BD" w:rsidRDefault="00D34644" w:rsidP="00C71A02">
            <w:pPr>
              <w:spacing w:before="120" w:after="120"/>
              <w:ind w:right="0"/>
              <w:rPr>
                <w:rFonts w:eastAsia="Times New Roman"/>
                <w:b/>
                <w:bCs/>
                <w:lang w:val="vi-VN"/>
              </w:rPr>
            </w:pPr>
            <w:r w:rsidRPr="005239BD">
              <w:rPr>
                <w:rFonts w:eastAsia="Times New Roman"/>
                <w:i/>
                <w:shd w:val="clear" w:color="auto" w:fill="FFFFFF"/>
              </w:rPr>
              <w:t>2. Việc</w:t>
            </w:r>
            <w:r w:rsidR="00544165" w:rsidRPr="005239BD">
              <w:rPr>
                <w:rFonts w:eastAsia="Times New Roman"/>
                <w:i/>
                <w:shd w:val="clear" w:color="auto" w:fill="FFFFFF"/>
              </w:rPr>
              <w:t xml:space="preserve"> </w:t>
            </w:r>
            <w:r w:rsidRPr="005239BD">
              <w:rPr>
                <w:rFonts w:eastAsia="Times New Roman"/>
                <w:i/>
                <w:shd w:val="clear" w:color="auto" w:fill="FFFFFF"/>
              </w:rPr>
              <w:t>x</w:t>
            </w:r>
            <w:r w:rsidR="00C71A02">
              <w:rPr>
                <w:rFonts w:eastAsia="Times New Roman"/>
                <w:i/>
                <w:shd w:val="clear" w:color="auto" w:fill="FFFFFF"/>
              </w:rPr>
              <w:t>ử</w:t>
            </w:r>
            <w:r w:rsidRPr="005239BD">
              <w:rPr>
                <w:rFonts w:eastAsia="Times New Roman"/>
                <w:i/>
                <w:shd w:val="clear" w:color="auto" w:fill="FFFFFF"/>
              </w:rPr>
              <w:t xml:space="preserve"> </w:t>
            </w:r>
            <w:r w:rsidR="00544165" w:rsidRPr="005239BD">
              <w:rPr>
                <w:rFonts w:eastAsia="Times New Roman"/>
                <w:i/>
                <w:shd w:val="clear" w:color="auto" w:fill="FFFFFF"/>
              </w:rPr>
              <w:t xml:space="preserve">lý </w:t>
            </w:r>
            <w:r w:rsidRPr="005239BD">
              <w:rPr>
                <w:rFonts w:eastAsia="Times New Roman"/>
                <w:i/>
                <w:shd w:val="clear" w:color="auto" w:fill="FFFFFF"/>
              </w:rPr>
              <w:t xml:space="preserve">trường hợp </w:t>
            </w:r>
            <w:r w:rsidR="00544165" w:rsidRPr="005239BD">
              <w:rPr>
                <w:rFonts w:eastAsia="Times New Roman"/>
                <w:i/>
                <w:shd w:val="clear" w:color="auto" w:fill="FFFFFF"/>
              </w:rPr>
              <w:t>giá trị thực</w:t>
            </w:r>
            <w:r w:rsidR="00544165" w:rsidRPr="005239BD">
              <w:rPr>
                <w:rFonts w:eastAsia="Times New Roman"/>
                <w:shd w:val="clear" w:color="auto" w:fill="FFFFFF"/>
              </w:rPr>
              <w:t xml:space="preserve"> </w:t>
            </w:r>
            <w:r w:rsidR="00544165" w:rsidRPr="005239BD">
              <w:rPr>
                <w:rFonts w:eastAsia="Times New Roman"/>
                <w:i/>
                <w:shd w:val="clear" w:color="auto" w:fill="FFFFFF"/>
              </w:rPr>
              <w:t>của vốn điều lệ giảm thấp hơn mức vốn pháp định</w:t>
            </w:r>
            <w:r w:rsidRPr="005239BD">
              <w:rPr>
                <w:rFonts w:eastAsia="Times New Roman"/>
                <w:i/>
                <w:shd w:val="clear" w:color="auto" w:fill="FFFFFF"/>
              </w:rPr>
              <w:t>.</w:t>
            </w:r>
          </w:p>
        </w:tc>
        <w:tc>
          <w:tcPr>
            <w:tcW w:w="3969" w:type="dxa"/>
          </w:tcPr>
          <w:p w14:paraId="0E4881AA" w14:textId="77777777" w:rsidR="004B5E8B" w:rsidRDefault="004B5E8B" w:rsidP="005239BD">
            <w:pPr>
              <w:spacing w:before="60" w:after="60" w:line="276" w:lineRule="auto"/>
              <w:ind w:right="0"/>
              <w:rPr>
                <w:noProof/>
                <w:lang w:val="vi-VN"/>
              </w:rPr>
            </w:pPr>
          </w:p>
          <w:p w14:paraId="0EA307B0" w14:textId="77777777" w:rsidR="004B5E8B" w:rsidRDefault="004B5E8B" w:rsidP="005239BD">
            <w:pPr>
              <w:spacing w:before="60" w:after="60" w:line="276" w:lineRule="auto"/>
              <w:ind w:right="0"/>
              <w:rPr>
                <w:noProof/>
                <w:lang w:val="vi-VN"/>
              </w:rPr>
            </w:pPr>
          </w:p>
          <w:p w14:paraId="1F6AB5DE" w14:textId="77777777" w:rsidR="004B5E8B" w:rsidRDefault="004B5E8B" w:rsidP="005239BD">
            <w:pPr>
              <w:spacing w:before="60" w:after="60" w:line="276" w:lineRule="auto"/>
              <w:ind w:right="0"/>
              <w:rPr>
                <w:noProof/>
                <w:lang w:val="vi-VN"/>
              </w:rPr>
            </w:pPr>
          </w:p>
          <w:p w14:paraId="5BCFD1B3" w14:textId="77777777" w:rsidR="004B5E8B" w:rsidRDefault="004B5E8B" w:rsidP="005239BD">
            <w:pPr>
              <w:spacing w:before="60" w:after="60" w:line="276" w:lineRule="auto"/>
              <w:ind w:right="0"/>
              <w:rPr>
                <w:noProof/>
                <w:lang w:val="vi-VN"/>
              </w:rPr>
            </w:pPr>
          </w:p>
          <w:p w14:paraId="4EACA7E1" w14:textId="77777777" w:rsidR="004B5E8B" w:rsidRDefault="004B5E8B" w:rsidP="005239BD">
            <w:pPr>
              <w:spacing w:before="60" w:after="60" w:line="276" w:lineRule="auto"/>
              <w:ind w:right="0"/>
              <w:rPr>
                <w:noProof/>
                <w:lang w:val="vi-VN"/>
              </w:rPr>
            </w:pPr>
          </w:p>
          <w:p w14:paraId="47AE3710" w14:textId="42837591" w:rsidR="005A502B" w:rsidRPr="00F5125C" w:rsidRDefault="005A502B" w:rsidP="005A502B">
            <w:pPr>
              <w:spacing w:before="60" w:after="60" w:line="276" w:lineRule="auto"/>
              <w:ind w:right="0"/>
              <w:rPr>
                <w:noProof/>
              </w:rPr>
            </w:pPr>
            <w:r>
              <w:rPr>
                <w:noProof/>
              </w:rPr>
              <w:t>- Điểm c: Lược bỏ cụm từ “tối đa” cho rõ ràng hơn tên tỷ lệ.</w:t>
            </w:r>
          </w:p>
          <w:p w14:paraId="39039BBC" w14:textId="77777777" w:rsidR="004B5E8B" w:rsidRDefault="004B5E8B" w:rsidP="005239BD">
            <w:pPr>
              <w:spacing w:before="60" w:after="60" w:line="276" w:lineRule="auto"/>
              <w:ind w:right="0"/>
              <w:rPr>
                <w:noProof/>
                <w:lang w:val="vi-VN"/>
              </w:rPr>
            </w:pPr>
          </w:p>
          <w:p w14:paraId="5A7A42DA" w14:textId="77777777" w:rsidR="004B5E8B" w:rsidRDefault="004B5E8B" w:rsidP="005239BD">
            <w:pPr>
              <w:spacing w:before="60" w:after="60" w:line="276" w:lineRule="auto"/>
              <w:ind w:right="0"/>
              <w:rPr>
                <w:noProof/>
                <w:lang w:val="vi-VN"/>
              </w:rPr>
            </w:pPr>
          </w:p>
          <w:p w14:paraId="5E93470E" w14:textId="2D704198" w:rsidR="00544165" w:rsidRPr="00AC5DD8" w:rsidRDefault="004B5E8B" w:rsidP="005239BD">
            <w:pPr>
              <w:spacing w:before="60" w:after="60" w:line="276" w:lineRule="auto"/>
              <w:ind w:right="0"/>
              <w:rPr>
                <w:noProof/>
                <w:lang w:val="vi-VN"/>
              </w:rPr>
            </w:pPr>
            <w:r>
              <w:rPr>
                <w:noProof/>
              </w:rPr>
              <w:t xml:space="preserve">- </w:t>
            </w:r>
            <w:r w:rsidR="00544165" w:rsidRPr="00AC5DD8">
              <w:rPr>
                <w:noProof/>
                <w:lang w:val="vi-VN"/>
              </w:rPr>
              <w:t>Bổ sung quy định về</w:t>
            </w:r>
            <w:r w:rsidR="00D34644" w:rsidRPr="00AC5DD8">
              <w:rPr>
                <w:noProof/>
                <w:lang w:val="vi-VN"/>
              </w:rPr>
              <w:t xml:space="preserve"> việc</w:t>
            </w:r>
            <w:r w:rsidR="00544165" w:rsidRPr="00AC5DD8">
              <w:rPr>
                <w:noProof/>
                <w:lang w:val="vi-VN"/>
              </w:rPr>
              <w:t xml:space="preserve"> xử lý </w:t>
            </w:r>
            <w:r w:rsidR="00D34644" w:rsidRPr="00AC5DD8">
              <w:rPr>
                <w:noProof/>
                <w:lang w:val="vi-VN"/>
              </w:rPr>
              <w:t xml:space="preserve">trường hợp </w:t>
            </w:r>
            <w:r w:rsidR="00544165" w:rsidRPr="00AC5DD8">
              <w:rPr>
                <w:noProof/>
                <w:lang w:val="vi-VN"/>
              </w:rPr>
              <w:t>giá trị thực của vốn điều lệ giảm thấp h</w:t>
            </w:r>
            <w:r w:rsidR="006B7872">
              <w:rPr>
                <w:noProof/>
              </w:rPr>
              <w:t>ơn</w:t>
            </w:r>
            <w:r w:rsidR="00544165" w:rsidRPr="00AC5DD8">
              <w:rPr>
                <w:noProof/>
                <w:lang w:val="vi-VN"/>
              </w:rPr>
              <w:t xml:space="preserve"> mức vốn pháp định để đảm bảo phù hợp với quy định</w:t>
            </w:r>
            <w:r w:rsidR="00544165" w:rsidRPr="005239BD">
              <w:rPr>
                <w:lang w:val="nl-NL"/>
              </w:rPr>
              <w:t xml:space="preserve"> tại khoản 4 Điều 28 Luật Các TCTD năm 2024.</w:t>
            </w:r>
          </w:p>
        </w:tc>
      </w:tr>
      <w:tr w:rsidR="00864CA1" w:rsidRPr="00AC5DD8" w14:paraId="40CB1DA4" w14:textId="77777777" w:rsidTr="004141EF">
        <w:tc>
          <w:tcPr>
            <w:tcW w:w="680" w:type="dxa"/>
            <w:vAlign w:val="center"/>
          </w:tcPr>
          <w:p w14:paraId="06350BDC" w14:textId="5BD45BB7" w:rsidR="006B0307" w:rsidRPr="005239BD" w:rsidRDefault="006B0307" w:rsidP="005239BD">
            <w:pPr>
              <w:spacing w:before="120" w:after="120"/>
              <w:ind w:right="0"/>
              <w:jc w:val="center"/>
              <w:rPr>
                <w:b/>
                <w:iCs/>
                <w:noProof/>
              </w:rPr>
            </w:pPr>
            <w:r w:rsidRPr="005239BD">
              <w:rPr>
                <w:iCs/>
                <w:noProof/>
              </w:rPr>
              <w:lastRenderedPageBreak/>
              <w:t>1</w:t>
            </w:r>
            <w:r w:rsidR="00544165" w:rsidRPr="005239BD">
              <w:rPr>
                <w:iCs/>
                <w:noProof/>
              </w:rPr>
              <w:t>.2</w:t>
            </w:r>
          </w:p>
        </w:tc>
        <w:tc>
          <w:tcPr>
            <w:tcW w:w="5416" w:type="dxa"/>
          </w:tcPr>
          <w:p w14:paraId="3C14A9A6" w14:textId="30803C3F" w:rsidR="006B0307" w:rsidRPr="005239BD" w:rsidRDefault="006A60E0" w:rsidP="005239BD">
            <w:pPr>
              <w:spacing w:before="120" w:after="120"/>
              <w:ind w:right="0"/>
              <w:rPr>
                <w:rFonts w:eastAsiaTheme="majorEastAsia"/>
                <w:lang w:val="vi-VN"/>
              </w:rPr>
            </w:pPr>
            <w:r w:rsidRPr="005239BD">
              <w:rPr>
                <w:rFonts w:eastAsia="Times New Roman" w:cs="Times New Roman"/>
                <w:shd w:val="clear" w:color="auto" w:fill="FFFFFF"/>
              </w:rPr>
              <w:t xml:space="preserve">2. Căn cứ kết quả giám sát, thanh tra đối với quỹ tín dụng nhân dân, trong trường hợp cần thiết để bảo đảm an toàn trong hoạt động của quỹ tín dụng nhân dân, tùy theo tính chất, mức độ rủi ro, </w:t>
            </w:r>
            <w:r w:rsidRPr="005239BD">
              <w:rPr>
                <w:rFonts w:eastAsia="Times New Roman"/>
                <w:u w:val="single"/>
                <w:shd w:val="clear" w:color="auto" w:fill="FFFFFF"/>
              </w:rPr>
              <w:t>Ngân hàng Nhà nước chi nhánh tỉnh, thành phố</w:t>
            </w:r>
            <w:r w:rsidRPr="005239BD">
              <w:rPr>
                <w:rFonts w:eastAsia="Times New Roman"/>
                <w:shd w:val="clear" w:color="auto" w:fill="FFFFFF"/>
              </w:rPr>
              <w:t xml:space="preserve"> </w:t>
            </w:r>
            <w:r w:rsidRPr="005239BD">
              <w:rPr>
                <w:rFonts w:eastAsia="Times New Roman" w:cs="Times New Roman"/>
                <w:shd w:val="clear" w:color="auto" w:fill="FFFFFF"/>
              </w:rPr>
              <w:t xml:space="preserve">yêu cầu quỹ tín dụng nhân dân duy trì một hoặc một số </w:t>
            </w:r>
            <w:r w:rsidRPr="005239BD">
              <w:rPr>
                <w:rFonts w:eastAsia="Times New Roman" w:cs="Times New Roman"/>
                <w:u w:val="single"/>
                <w:shd w:val="clear" w:color="auto" w:fill="FFFFFF"/>
              </w:rPr>
              <w:t>giới hạn thấp hơn</w:t>
            </w:r>
            <w:r w:rsidRPr="005239BD">
              <w:rPr>
                <w:rFonts w:eastAsia="Times New Roman" w:cs="Times New Roman"/>
                <w:shd w:val="clear" w:color="auto" w:fill="FFFFFF"/>
              </w:rPr>
              <w:t>, tỷ lệ bảo đảm an toàn chặt chẽ hơn so với mức quy định tại Thông tư này.</w:t>
            </w:r>
          </w:p>
        </w:tc>
        <w:tc>
          <w:tcPr>
            <w:tcW w:w="5386" w:type="dxa"/>
          </w:tcPr>
          <w:p w14:paraId="7FBD1E04" w14:textId="20A97F76" w:rsidR="006B0307" w:rsidRPr="00AC5DD8" w:rsidRDefault="00830048" w:rsidP="005239BD">
            <w:pPr>
              <w:spacing w:before="120" w:after="120"/>
              <w:ind w:right="0"/>
              <w:rPr>
                <w:rFonts w:eastAsiaTheme="majorEastAsia"/>
                <w:lang w:val="vi-VN"/>
              </w:rPr>
            </w:pPr>
            <w:r w:rsidRPr="00AC5DD8">
              <w:rPr>
                <w:rFonts w:eastAsia="Times New Roman"/>
                <w:shd w:val="clear" w:color="auto" w:fill="FFFFFF"/>
                <w:lang w:val="vi-VN"/>
              </w:rPr>
              <w:t>3</w:t>
            </w:r>
            <w:r w:rsidR="00B373E4" w:rsidRPr="00AC5DD8">
              <w:rPr>
                <w:rFonts w:eastAsia="Times New Roman"/>
                <w:shd w:val="clear" w:color="auto" w:fill="FFFFFF"/>
                <w:lang w:val="vi-VN"/>
              </w:rPr>
              <w:t xml:space="preserve">. Căn cứ kết quả </w:t>
            </w:r>
            <w:r w:rsidR="00CD4510" w:rsidRPr="00AC5DD8">
              <w:rPr>
                <w:rFonts w:eastAsia="Times New Roman"/>
                <w:shd w:val="clear" w:color="auto" w:fill="FFFFFF"/>
                <w:lang w:val="vi-VN"/>
              </w:rPr>
              <w:t>giám sát</w:t>
            </w:r>
            <w:r w:rsidR="00C33ADD" w:rsidRPr="00AC5DD8">
              <w:rPr>
                <w:rFonts w:eastAsia="Times New Roman"/>
                <w:shd w:val="clear" w:color="auto" w:fill="FFFFFF"/>
                <w:lang w:val="vi-VN"/>
              </w:rPr>
              <w:t xml:space="preserve">, </w:t>
            </w:r>
            <w:r w:rsidR="00B373E4" w:rsidRPr="00AC5DD8">
              <w:rPr>
                <w:rFonts w:eastAsia="Times New Roman"/>
                <w:shd w:val="clear" w:color="auto" w:fill="FFFFFF"/>
                <w:lang w:val="vi-VN"/>
              </w:rPr>
              <w:t xml:space="preserve">thanh tra, </w:t>
            </w:r>
            <w:r w:rsidR="00B373E4" w:rsidRPr="00AC5DD8">
              <w:rPr>
                <w:rFonts w:eastAsia="Times New Roman"/>
                <w:i/>
                <w:shd w:val="clear" w:color="auto" w:fill="FFFFFF"/>
                <w:lang w:val="vi-VN"/>
              </w:rPr>
              <w:t>kiểm tra</w:t>
            </w:r>
            <w:r w:rsidR="005F75D2" w:rsidRPr="00AC5DD8">
              <w:rPr>
                <w:rFonts w:eastAsia="Times New Roman"/>
                <w:shd w:val="clear" w:color="auto" w:fill="FFFFFF"/>
                <w:lang w:val="vi-VN"/>
              </w:rPr>
              <w:t xml:space="preserve"> </w:t>
            </w:r>
            <w:r w:rsidR="00B373E4" w:rsidRPr="00AC5DD8">
              <w:rPr>
                <w:rFonts w:eastAsia="Times New Roman"/>
                <w:shd w:val="clear" w:color="auto" w:fill="FFFFFF"/>
                <w:lang w:val="vi-VN"/>
              </w:rPr>
              <w:t xml:space="preserve">đối với quỹ tín dụng nhân dân, trong trường hợp cần thiết để bảo đảm an toàn trong hoạt động của quỹ tín dụng nhân dân, tùy theo tính chất, mức độ rủi ro, </w:t>
            </w:r>
            <w:r w:rsidR="00B373E4" w:rsidRPr="00AC5DD8">
              <w:rPr>
                <w:rFonts w:eastAsia="Times New Roman"/>
                <w:i/>
                <w:shd w:val="clear" w:color="auto" w:fill="FFFFFF"/>
                <w:lang w:val="vi-VN"/>
              </w:rPr>
              <w:t>Ngân hàng Nhà nước chi nhánh Khu vực</w:t>
            </w:r>
            <w:r w:rsidR="00B373E4" w:rsidRPr="00AC5DD8">
              <w:rPr>
                <w:rFonts w:eastAsia="Times New Roman"/>
                <w:shd w:val="clear" w:color="auto" w:fill="FFFFFF"/>
                <w:lang w:val="vi-VN"/>
              </w:rPr>
              <w:t xml:space="preserve"> yêu cầu quỹ tín dụng nhân dân duy trì một hoặc một số</w:t>
            </w:r>
            <w:r w:rsidR="009311F2" w:rsidRPr="00AC5DD8">
              <w:rPr>
                <w:rFonts w:eastAsia="Times New Roman"/>
                <w:shd w:val="clear" w:color="auto" w:fill="FFFFFF"/>
                <w:lang w:val="vi-VN"/>
              </w:rPr>
              <w:t xml:space="preserve"> </w:t>
            </w:r>
            <w:r w:rsidR="009311F2" w:rsidRPr="00AC5DD8">
              <w:rPr>
                <w:rFonts w:eastAsia="Times New Roman"/>
                <w:i/>
                <w:shd w:val="clear" w:color="auto" w:fill="FFFFFF"/>
                <w:lang w:val="vi-VN"/>
              </w:rPr>
              <w:t>hạn chế,</w:t>
            </w:r>
            <w:r w:rsidR="00B373E4" w:rsidRPr="00AC5DD8">
              <w:rPr>
                <w:rFonts w:eastAsia="Times New Roman"/>
                <w:shd w:val="clear" w:color="auto" w:fill="FFFFFF"/>
                <w:lang w:val="vi-VN"/>
              </w:rPr>
              <w:t xml:space="preserve"> </w:t>
            </w:r>
            <w:r w:rsidR="00B373E4" w:rsidRPr="00AC5DD8">
              <w:rPr>
                <w:rFonts w:eastAsia="Times New Roman"/>
                <w:i/>
                <w:shd w:val="clear" w:color="auto" w:fill="FFFFFF"/>
                <w:lang w:val="vi-VN"/>
              </w:rPr>
              <w:t>giới hạn</w:t>
            </w:r>
            <w:r w:rsidR="00B373E4" w:rsidRPr="00AC5DD8">
              <w:rPr>
                <w:rFonts w:eastAsia="Times New Roman"/>
                <w:shd w:val="clear" w:color="auto" w:fill="FFFFFF"/>
                <w:lang w:val="vi-VN"/>
              </w:rPr>
              <w:t>, tỷ lệ bảo đảm an toàn chặt chẽ hơn so với mức quy định tại Thông tư này.</w:t>
            </w:r>
          </w:p>
        </w:tc>
        <w:tc>
          <w:tcPr>
            <w:tcW w:w="3969" w:type="dxa"/>
          </w:tcPr>
          <w:p w14:paraId="53073175" w14:textId="1BB91D26" w:rsidR="006B0307" w:rsidRPr="005239BD" w:rsidRDefault="006B51AA" w:rsidP="005239BD">
            <w:pPr>
              <w:ind w:right="0"/>
              <w:rPr>
                <w:lang w:val="nl-NL"/>
              </w:rPr>
            </w:pPr>
            <w:r w:rsidRPr="005239BD">
              <w:rPr>
                <w:lang w:val="nl-NL"/>
              </w:rPr>
              <w:t xml:space="preserve">- </w:t>
            </w:r>
            <w:r w:rsidR="006B0307" w:rsidRPr="005239BD">
              <w:rPr>
                <w:lang w:val="nl-NL"/>
              </w:rPr>
              <w:t>Để phù hợp với Nghị định số 26/2025/NĐ-CP và các Quyết định số 301-315/QĐ-NHNN của Thống đốc NHNN quy định về chức năng, nhiệm vụ, quyền hạn và cơ cấu tổ chức của các NHNN chi nhánh Khu vực.</w:t>
            </w:r>
          </w:p>
          <w:p w14:paraId="1535820E" w14:textId="005965AE" w:rsidR="006B0307" w:rsidRPr="005239BD" w:rsidRDefault="006B51AA" w:rsidP="005239BD">
            <w:pPr>
              <w:ind w:right="0"/>
              <w:rPr>
                <w:lang w:val="nl-NL"/>
              </w:rPr>
            </w:pPr>
            <w:r w:rsidRPr="005239BD">
              <w:rPr>
                <w:lang w:val="nl-NL"/>
              </w:rPr>
              <w:t xml:space="preserve">- Bỏ </w:t>
            </w:r>
            <w:r w:rsidR="00DF509B" w:rsidRPr="005239BD">
              <w:rPr>
                <w:lang w:val="nl-NL"/>
              </w:rPr>
              <w:t>cụm từ</w:t>
            </w:r>
            <w:r w:rsidRPr="005239BD">
              <w:rPr>
                <w:lang w:val="nl-NL"/>
              </w:rPr>
              <w:t xml:space="preserve"> </w:t>
            </w:r>
            <w:r w:rsidRPr="005239BD">
              <w:rPr>
                <w:i/>
                <w:lang w:val="nl-NL"/>
              </w:rPr>
              <w:t>“thấp hơn”</w:t>
            </w:r>
            <w:r w:rsidRPr="005239BD">
              <w:rPr>
                <w:lang w:val="nl-NL"/>
              </w:rPr>
              <w:t xml:space="preserve"> do một số tỷ lệ đảm bảo an toàn trong hoạt động của quỹ tín dụng nhân dân quy định giới hạn trần.</w:t>
            </w:r>
          </w:p>
        </w:tc>
      </w:tr>
      <w:tr w:rsidR="00544165" w:rsidRPr="00AC5DD8" w14:paraId="22212D4D" w14:textId="77777777" w:rsidTr="004141EF">
        <w:tc>
          <w:tcPr>
            <w:tcW w:w="680" w:type="dxa"/>
            <w:vAlign w:val="center"/>
          </w:tcPr>
          <w:p w14:paraId="3E8183EB" w14:textId="092428E9" w:rsidR="00544165" w:rsidRPr="005239BD" w:rsidRDefault="00544165" w:rsidP="005239BD">
            <w:pPr>
              <w:spacing w:before="120" w:after="120"/>
              <w:ind w:right="0"/>
              <w:jc w:val="center"/>
              <w:rPr>
                <w:iCs/>
                <w:noProof/>
              </w:rPr>
            </w:pPr>
            <w:r w:rsidRPr="005239BD">
              <w:rPr>
                <w:iCs/>
                <w:noProof/>
              </w:rPr>
              <w:t>1.3</w:t>
            </w:r>
          </w:p>
        </w:tc>
        <w:tc>
          <w:tcPr>
            <w:tcW w:w="5416" w:type="dxa"/>
          </w:tcPr>
          <w:p w14:paraId="09AE93C2" w14:textId="317A6B6E" w:rsidR="00544165" w:rsidRPr="005239BD" w:rsidDel="00544165" w:rsidRDefault="00544165" w:rsidP="005239BD">
            <w:pPr>
              <w:spacing w:before="120" w:after="120"/>
              <w:ind w:right="0"/>
              <w:rPr>
                <w:rFonts w:eastAsia="Times New Roman"/>
                <w:b/>
                <w:bCs/>
                <w:color w:val="000000"/>
                <w:lang w:val="vi-VN"/>
              </w:rPr>
            </w:pPr>
            <w:r w:rsidRPr="005239BD">
              <w:rPr>
                <w:rFonts w:eastAsia="Times New Roman" w:cs="Times New Roman"/>
                <w:color w:val="000000"/>
                <w:kern w:val="36"/>
                <w:lang w:val="vi-VN"/>
              </w:rPr>
              <w:t xml:space="preserve">3. Quỹ tín dụng nhân dân được kiểm soát đặc biệt </w:t>
            </w:r>
            <w:r w:rsidRPr="00F54ADC">
              <w:rPr>
                <w:rFonts w:eastAsia="Times New Roman"/>
                <w:color w:val="000000"/>
                <w:kern w:val="36"/>
                <w:lang w:val="vi-VN"/>
              </w:rPr>
              <w:t>không phải tuân thủ các giới hạn, tỷ lệ bảo đảm an toàn quy định tại Thông tư này</w:t>
            </w:r>
            <w:r w:rsidRPr="005239BD">
              <w:rPr>
                <w:rFonts w:eastAsia="Times New Roman" w:cs="Times New Roman"/>
                <w:color w:val="000000"/>
                <w:kern w:val="36"/>
                <w:lang w:val="vi-VN"/>
              </w:rPr>
              <w:t>.</w:t>
            </w:r>
          </w:p>
        </w:tc>
        <w:tc>
          <w:tcPr>
            <w:tcW w:w="5386" w:type="dxa"/>
          </w:tcPr>
          <w:p w14:paraId="09673499" w14:textId="61FCCBA7" w:rsidR="00544165" w:rsidRPr="00AC5DD8" w:rsidDel="00544165" w:rsidRDefault="00917977" w:rsidP="005239BD">
            <w:pPr>
              <w:spacing w:before="120" w:after="120"/>
              <w:ind w:right="0"/>
              <w:rPr>
                <w:rFonts w:eastAsia="Times New Roman"/>
                <w:b/>
                <w:bCs/>
                <w:lang w:val="vi-VN"/>
              </w:rPr>
            </w:pPr>
            <w:r w:rsidRPr="00AC5DD8">
              <w:rPr>
                <w:rFonts w:eastAsia="Times New Roman"/>
                <w:kern w:val="36"/>
                <w:lang w:val="vi-VN"/>
              </w:rPr>
              <w:t>4</w:t>
            </w:r>
            <w:r w:rsidRPr="005239BD">
              <w:rPr>
                <w:rFonts w:eastAsia="Times New Roman"/>
                <w:kern w:val="36"/>
                <w:lang w:val="vi-VN"/>
              </w:rPr>
              <w:t xml:space="preserve">. Quỹ tín dụng nhân dân được kiểm soát đặc biệt </w:t>
            </w:r>
            <w:r w:rsidR="00611A19" w:rsidRPr="00AC5DD8">
              <w:rPr>
                <w:rFonts w:eastAsia="Times New Roman"/>
                <w:kern w:val="36"/>
                <w:lang w:val="vi-VN"/>
              </w:rPr>
              <w:t xml:space="preserve">không phải tuân thủ các </w:t>
            </w:r>
            <w:r w:rsidR="00611A19" w:rsidRPr="00AC5DD8">
              <w:rPr>
                <w:rFonts w:eastAsia="Times New Roman"/>
                <w:i/>
                <w:kern w:val="36"/>
                <w:lang w:val="vi-VN"/>
              </w:rPr>
              <w:t xml:space="preserve">hạn chế, </w:t>
            </w:r>
            <w:r w:rsidR="00611A19" w:rsidRPr="00AC5DD8">
              <w:rPr>
                <w:rFonts w:eastAsia="Times New Roman"/>
                <w:kern w:val="36"/>
                <w:lang w:val="vi-VN"/>
              </w:rPr>
              <w:t>giới hạn, tỷ lệ bảo đảm an toàn quy định tại Thông tư này</w:t>
            </w:r>
            <w:r w:rsidRPr="00AC5DD8">
              <w:rPr>
                <w:rFonts w:eastAsia="Times New Roman"/>
                <w:kern w:val="36"/>
                <w:lang w:val="vi-VN"/>
              </w:rPr>
              <w:t>.</w:t>
            </w:r>
          </w:p>
        </w:tc>
        <w:tc>
          <w:tcPr>
            <w:tcW w:w="3969" w:type="dxa"/>
          </w:tcPr>
          <w:p w14:paraId="5759911F" w14:textId="703B62FF" w:rsidR="00544165" w:rsidRPr="00AC5DD8" w:rsidRDefault="00611A19" w:rsidP="005239BD">
            <w:pPr>
              <w:spacing w:before="60" w:after="60" w:line="276" w:lineRule="auto"/>
              <w:ind w:right="0"/>
              <w:rPr>
                <w:noProof/>
                <w:lang w:val="vi-VN"/>
              </w:rPr>
            </w:pPr>
            <w:r w:rsidRPr="00AC5DD8">
              <w:rPr>
                <w:noProof/>
                <w:lang w:val="vi-VN"/>
              </w:rPr>
              <w:t xml:space="preserve">Bổ sung cụm từ </w:t>
            </w:r>
            <w:r w:rsidRPr="00AC5DD8">
              <w:rPr>
                <w:i/>
                <w:noProof/>
                <w:lang w:val="vi-VN"/>
              </w:rPr>
              <w:t>“hạn chế”</w:t>
            </w:r>
            <w:r w:rsidRPr="00AC5DD8">
              <w:rPr>
                <w:noProof/>
                <w:lang w:val="vi-VN"/>
              </w:rPr>
              <w:t xml:space="preserve"> cho phù hợp với phạm vi điều chỉnh của DTTT.</w:t>
            </w:r>
          </w:p>
        </w:tc>
      </w:tr>
      <w:tr w:rsidR="00206BB2" w:rsidRPr="00AC5DD8" w14:paraId="00050CE7" w14:textId="77777777" w:rsidTr="004141EF">
        <w:tc>
          <w:tcPr>
            <w:tcW w:w="680" w:type="dxa"/>
            <w:vAlign w:val="center"/>
          </w:tcPr>
          <w:p w14:paraId="0D01B62D" w14:textId="5B85CFCC" w:rsidR="00206BB2" w:rsidRPr="005A502B" w:rsidRDefault="00622FAA" w:rsidP="005239BD">
            <w:pPr>
              <w:spacing w:before="120" w:after="120"/>
              <w:ind w:right="0"/>
              <w:jc w:val="center"/>
              <w:rPr>
                <w:b/>
                <w:iCs/>
                <w:noProof/>
              </w:rPr>
            </w:pPr>
            <w:r w:rsidRPr="005A502B">
              <w:rPr>
                <w:b/>
                <w:iCs/>
                <w:noProof/>
              </w:rPr>
              <w:t>2</w:t>
            </w:r>
          </w:p>
        </w:tc>
        <w:tc>
          <w:tcPr>
            <w:tcW w:w="5416" w:type="dxa"/>
          </w:tcPr>
          <w:p w14:paraId="15B69F69" w14:textId="227BD1BC" w:rsidR="00206BB2" w:rsidRPr="005239BD" w:rsidRDefault="00206BB2" w:rsidP="005239BD">
            <w:pPr>
              <w:spacing w:before="120" w:after="120"/>
              <w:ind w:right="0"/>
              <w:rPr>
                <w:rFonts w:eastAsia="Times New Roman"/>
                <w:color w:val="000000"/>
                <w:kern w:val="36"/>
                <w:lang w:val="vi-VN"/>
              </w:rPr>
            </w:pPr>
          </w:p>
        </w:tc>
        <w:tc>
          <w:tcPr>
            <w:tcW w:w="5386" w:type="dxa"/>
          </w:tcPr>
          <w:p w14:paraId="1A0E486D" w14:textId="4402E680" w:rsidR="00206BB2" w:rsidRPr="00AC5DD8" w:rsidRDefault="00206BB2" w:rsidP="005239BD">
            <w:pPr>
              <w:spacing w:before="120" w:after="120"/>
              <w:ind w:right="0"/>
              <w:rPr>
                <w:rFonts w:eastAsia="Times New Roman"/>
                <w:kern w:val="36"/>
                <w:lang w:val="vi-VN"/>
              </w:rPr>
            </w:pPr>
            <w:r w:rsidRPr="00AC5DD8">
              <w:rPr>
                <w:rFonts w:eastAsia="Calibri"/>
                <w:b/>
                <w:lang w:val="vi-VN"/>
              </w:rPr>
              <w:t>Điề</w:t>
            </w:r>
            <w:r w:rsidR="00B578E6">
              <w:rPr>
                <w:rFonts w:eastAsia="Calibri"/>
                <w:b/>
                <w:lang w:val="vi-VN"/>
              </w:rPr>
              <w:t>u 2.</w:t>
            </w:r>
            <w:r w:rsidRPr="00AC5DD8">
              <w:rPr>
                <w:rFonts w:eastAsia="Calibri"/>
                <w:b/>
                <w:lang w:val="vi-VN"/>
              </w:rPr>
              <w:t xml:space="preserve"> Đối tượng áp dụng</w:t>
            </w:r>
          </w:p>
        </w:tc>
        <w:tc>
          <w:tcPr>
            <w:tcW w:w="3969" w:type="dxa"/>
          </w:tcPr>
          <w:p w14:paraId="30FD49CD" w14:textId="77777777" w:rsidR="00206BB2" w:rsidRPr="00AC5DD8" w:rsidRDefault="00206BB2" w:rsidP="005239BD">
            <w:pPr>
              <w:spacing w:before="60" w:after="60" w:line="276" w:lineRule="auto"/>
              <w:ind w:right="0"/>
              <w:rPr>
                <w:noProof/>
                <w:lang w:val="vi-VN"/>
              </w:rPr>
            </w:pPr>
          </w:p>
        </w:tc>
      </w:tr>
      <w:tr w:rsidR="00206BB2" w:rsidRPr="00AC5DD8" w14:paraId="4D8624FF" w14:textId="77777777" w:rsidTr="004141EF">
        <w:tc>
          <w:tcPr>
            <w:tcW w:w="680" w:type="dxa"/>
            <w:vAlign w:val="center"/>
          </w:tcPr>
          <w:p w14:paraId="4BEA277A" w14:textId="3781BC65" w:rsidR="00206BB2" w:rsidRPr="005A502B" w:rsidRDefault="00622FAA" w:rsidP="005239BD">
            <w:pPr>
              <w:spacing w:before="120" w:after="120"/>
              <w:ind w:right="0"/>
              <w:jc w:val="center"/>
              <w:rPr>
                <w:iCs/>
                <w:noProof/>
              </w:rPr>
            </w:pPr>
            <w:r>
              <w:rPr>
                <w:iCs/>
                <w:noProof/>
              </w:rPr>
              <w:t>2.1</w:t>
            </w:r>
          </w:p>
        </w:tc>
        <w:tc>
          <w:tcPr>
            <w:tcW w:w="5416" w:type="dxa"/>
          </w:tcPr>
          <w:p w14:paraId="70F94D02" w14:textId="77777777" w:rsidR="00206BB2" w:rsidRPr="005239BD" w:rsidRDefault="00206BB2" w:rsidP="005239BD">
            <w:pPr>
              <w:spacing w:before="120" w:after="120"/>
              <w:ind w:right="0"/>
              <w:rPr>
                <w:rFonts w:eastAsia="Times New Roman"/>
                <w:color w:val="000000"/>
                <w:kern w:val="36"/>
                <w:lang w:val="vi-VN"/>
              </w:rPr>
            </w:pPr>
          </w:p>
        </w:tc>
        <w:tc>
          <w:tcPr>
            <w:tcW w:w="5386" w:type="dxa"/>
          </w:tcPr>
          <w:p w14:paraId="598015E0" w14:textId="5E540B94" w:rsidR="00BB16C2" w:rsidRPr="00143BF7" w:rsidRDefault="00206BB2" w:rsidP="005239BD">
            <w:pPr>
              <w:spacing w:before="120" w:after="120"/>
              <w:ind w:right="0"/>
            </w:pPr>
            <w:r w:rsidRPr="00AC5DD8">
              <w:rPr>
                <w:lang w:val="vi-VN"/>
              </w:rPr>
              <w:t>1. Quỹ tín dụng nhân dân</w:t>
            </w:r>
            <w:r w:rsidR="00F04A09">
              <w:t>.</w:t>
            </w:r>
          </w:p>
          <w:p w14:paraId="270C2FD4" w14:textId="615104B2" w:rsidR="005B5A5A" w:rsidRPr="00AC5DD8" w:rsidRDefault="005B5A5A" w:rsidP="005239BD">
            <w:pPr>
              <w:spacing w:before="120" w:after="120"/>
              <w:ind w:right="0"/>
              <w:rPr>
                <w:lang w:val="vi-VN"/>
              </w:rPr>
            </w:pPr>
            <w:r w:rsidRPr="00AC5DD8">
              <w:rPr>
                <w:lang w:val="vi-VN"/>
              </w:rPr>
              <w:t>2. Các tổ chức, cá nhân có liên quan đến</w:t>
            </w:r>
            <w:r w:rsidR="00F04A09">
              <w:t xml:space="preserve"> các hạn chế, giới hạn, tỷ lệ đảm bảo an toàn trong</w:t>
            </w:r>
            <w:r w:rsidRPr="00AC5DD8">
              <w:rPr>
                <w:lang w:val="vi-VN"/>
              </w:rPr>
              <w:t xml:space="preserve"> hoạt động của quỹ tín dụng nhân dân.</w:t>
            </w:r>
          </w:p>
        </w:tc>
        <w:tc>
          <w:tcPr>
            <w:tcW w:w="3969" w:type="dxa"/>
          </w:tcPr>
          <w:p w14:paraId="19939349" w14:textId="5711EB10" w:rsidR="00206BB2" w:rsidRPr="00143BF7" w:rsidRDefault="00F72BB4" w:rsidP="006C7241">
            <w:pPr>
              <w:spacing w:before="60" w:after="60" w:line="276" w:lineRule="auto"/>
              <w:ind w:right="0"/>
              <w:rPr>
                <w:noProof/>
              </w:rPr>
            </w:pPr>
            <w:r w:rsidRPr="00AC5DD8">
              <w:rPr>
                <w:noProof/>
                <w:lang w:val="vi-VN"/>
              </w:rPr>
              <w:t>Bổ sung đối tượng áp dụng cụ thể của Thông tư</w:t>
            </w:r>
            <w:r w:rsidR="00577645">
              <w:rPr>
                <w:noProof/>
              </w:rPr>
              <w:t>.</w:t>
            </w:r>
          </w:p>
        </w:tc>
      </w:tr>
      <w:tr w:rsidR="00544165" w:rsidRPr="005239BD" w14:paraId="116230B9" w14:textId="77777777" w:rsidTr="004141EF">
        <w:tc>
          <w:tcPr>
            <w:tcW w:w="680" w:type="dxa"/>
            <w:vAlign w:val="center"/>
          </w:tcPr>
          <w:p w14:paraId="41FF632E" w14:textId="46913298" w:rsidR="00544165" w:rsidRPr="005239BD" w:rsidRDefault="00622FAA" w:rsidP="005239BD">
            <w:pPr>
              <w:spacing w:before="120" w:after="120"/>
              <w:ind w:right="0"/>
              <w:jc w:val="center"/>
              <w:rPr>
                <w:b/>
                <w:iCs/>
                <w:noProof/>
              </w:rPr>
            </w:pPr>
            <w:r>
              <w:rPr>
                <w:b/>
                <w:iCs/>
                <w:noProof/>
              </w:rPr>
              <w:t>3</w:t>
            </w:r>
          </w:p>
        </w:tc>
        <w:tc>
          <w:tcPr>
            <w:tcW w:w="5416" w:type="dxa"/>
          </w:tcPr>
          <w:p w14:paraId="18C34BA6" w14:textId="77777777" w:rsidR="00544165" w:rsidRPr="005239BD" w:rsidRDefault="00544165" w:rsidP="005239BD">
            <w:pPr>
              <w:rPr>
                <w:rFonts w:eastAsia="Times New Roman"/>
                <w:b/>
                <w:bCs/>
              </w:rPr>
            </w:pPr>
            <w:r w:rsidRPr="005239BD">
              <w:rPr>
                <w:rFonts w:eastAsia="Times New Roman"/>
                <w:b/>
                <w:bCs/>
              </w:rPr>
              <w:t>Điều 2. Giải thích từ ngữ</w:t>
            </w:r>
          </w:p>
          <w:p w14:paraId="7D8CB625" w14:textId="47D7E52E" w:rsidR="00544165" w:rsidRPr="005239BD" w:rsidRDefault="00544165" w:rsidP="005239BD">
            <w:pPr>
              <w:spacing w:before="120" w:after="120"/>
              <w:ind w:right="0"/>
              <w:rPr>
                <w:rFonts w:eastAsia="Times New Roman"/>
                <w:b/>
                <w:bCs/>
              </w:rPr>
            </w:pPr>
            <w:r w:rsidRPr="005239BD">
              <w:rPr>
                <w:rFonts w:eastAsia="Times New Roman" w:cs="Times New Roman"/>
                <w:color w:val="000000"/>
                <w:kern w:val="36"/>
                <w:lang w:val="vi-VN"/>
              </w:rPr>
              <w:t>Trong Thông tư này, các từ ngữ dưới đây được hiểu như sau:</w:t>
            </w:r>
          </w:p>
        </w:tc>
        <w:tc>
          <w:tcPr>
            <w:tcW w:w="5386" w:type="dxa"/>
          </w:tcPr>
          <w:p w14:paraId="5388BEF3" w14:textId="50EEA87D" w:rsidR="00544165" w:rsidRPr="005239BD" w:rsidRDefault="00544165" w:rsidP="005239BD">
            <w:pPr>
              <w:ind w:right="34"/>
              <w:rPr>
                <w:rFonts w:eastAsiaTheme="majorEastAsia"/>
                <w:b/>
              </w:rPr>
            </w:pPr>
            <w:r w:rsidRPr="005239BD">
              <w:rPr>
                <w:rFonts w:eastAsiaTheme="majorEastAsia"/>
                <w:b/>
              </w:rPr>
              <w:t xml:space="preserve">Điều </w:t>
            </w:r>
            <w:r w:rsidR="00512F3C" w:rsidRPr="005239BD">
              <w:rPr>
                <w:rFonts w:eastAsiaTheme="majorEastAsia"/>
                <w:b/>
              </w:rPr>
              <w:t>3</w:t>
            </w:r>
            <w:r w:rsidRPr="005239BD">
              <w:rPr>
                <w:rFonts w:eastAsiaTheme="majorEastAsia"/>
                <w:b/>
              </w:rPr>
              <w:t>. Giải thích từ ngữ</w:t>
            </w:r>
          </w:p>
          <w:p w14:paraId="1A34B2DD" w14:textId="06F07E95" w:rsidR="00544165" w:rsidRPr="005239BD" w:rsidRDefault="00544165" w:rsidP="005239BD">
            <w:pPr>
              <w:spacing w:before="120" w:after="120"/>
              <w:ind w:right="0"/>
              <w:rPr>
                <w:rFonts w:eastAsiaTheme="majorEastAsia"/>
                <w:b/>
              </w:rPr>
            </w:pPr>
            <w:r w:rsidRPr="005239BD">
              <w:rPr>
                <w:rFonts w:eastAsia="Times New Roman"/>
                <w:kern w:val="36"/>
                <w:lang w:val="vi-VN"/>
              </w:rPr>
              <w:t>Trong Thông tư này, các từ ngữ dưới đây được hiểu như sau:</w:t>
            </w:r>
          </w:p>
        </w:tc>
        <w:tc>
          <w:tcPr>
            <w:tcW w:w="3969" w:type="dxa"/>
          </w:tcPr>
          <w:p w14:paraId="72BE80DA" w14:textId="77777777" w:rsidR="00544165" w:rsidRPr="005239BD" w:rsidRDefault="00544165" w:rsidP="005239BD">
            <w:pPr>
              <w:ind w:right="0"/>
              <w:rPr>
                <w:lang w:val="nl-NL"/>
              </w:rPr>
            </w:pPr>
          </w:p>
        </w:tc>
      </w:tr>
      <w:tr w:rsidR="00544165" w:rsidRPr="005239BD" w14:paraId="60B8471A" w14:textId="77777777" w:rsidTr="004141EF">
        <w:tc>
          <w:tcPr>
            <w:tcW w:w="680" w:type="dxa"/>
            <w:vAlign w:val="center"/>
          </w:tcPr>
          <w:p w14:paraId="1EB34655" w14:textId="4B4ECAE8" w:rsidR="00544165" w:rsidRPr="005239BD" w:rsidRDefault="00622FAA" w:rsidP="005239BD">
            <w:pPr>
              <w:spacing w:before="120" w:after="120"/>
              <w:ind w:right="0"/>
              <w:jc w:val="center"/>
              <w:rPr>
                <w:iCs/>
                <w:noProof/>
              </w:rPr>
            </w:pPr>
            <w:r>
              <w:rPr>
                <w:iCs/>
                <w:noProof/>
              </w:rPr>
              <w:t>3</w:t>
            </w:r>
            <w:r w:rsidR="00544165" w:rsidRPr="005239BD">
              <w:rPr>
                <w:iCs/>
                <w:noProof/>
              </w:rPr>
              <w:t>.1</w:t>
            </w:r>
          </w:p>
        </w:tc>
        <w:tc>
          <w:tcPr>
            <w:tcW w:w="5416" w:type="dxa"/>
          </w:tcPr>
          <w:p w14:paraId="5E9E0038" w14:textId="4E7E63BE" w:rsidR="00544165" w:rsidRPr="005239BD" w:rsidRDefault="00544165" w:rsidP="005239BD">
            <w:pPr>
              <w:ind w:right="0"/>
              <w:rPr>
                <w:rFonts w:eastAsia="Times New Roman"/>
                <w:b/>
                <w:bCs/>
              </w:rPr>
            </w:pPr>
            <w:r w:rsidRPr="005239BD">
              <w:rPr>
                <w:rFonts w:eastAsia="Times New Roman" w:cs="Times New Roman"/>
                <w:color w:val="000000"/>
                <w:kern w:val="36"/>
                <w:lang w:val="vi-VN"/>
              </w:rPr>
              <w:t>1. </w:t>
            </w:r>
            <w:r w:rsidRPr="00B578E6">
              <w:rPr>
                <w:rFonts w:eastAsia="Times New Roman" w:cs="Times New Roman"/>
                <w:color w:val="000000"/>
                <w:kern w:val="36"/>
                <w:u w:val="single"/>
                <w:lang w:val="vi-VN"/>
              </w:rPr>
              <w:t>Khách hàng vay vốn của quỹ tín dụng nhân dân</w:t>
            </w:r>
            <w:r w:rsidRPr="005239BD">
              <w:rPr>
                <w:rFonts w:eastAsia="Times New Roman" w:cs="Times New Roman"/>
                <w:color w:val="000000"/>
                <w:kern w:val="36"/>
                <w:lang w:val="vi-VN"/>
              </w:rPr>
              <w:t xml:space="preserve"> bao gồm thành viên của quỹ tín dụng nhân dân; pháp nhân, cá nhân không phải là thành viên có tiền gửi tại quỹ tín dụng nhân dân; thành viên của hộ nghèo </w:t>
            </w:r>
            <w:r w:rsidRPr="00B578E6">
              <w:rPr>
                <w:rFonts w:eastAsia="Times New Roman" w:cs="Times New Roman"/>
                <w:color w:val="000000"/>
                <w:kern w:val="36"/>
                <w:u w:val="single"/>
                <w:lang w:val="vi-VN"/>
              </w:rPr>
              <w:t>theo quy định của Ngân hàng Nhà nước về quỹ tín dụng nhân dân</w:t>
            </w:r>
            <w:r w:rsidRPr="005239BD">
              <w:rPr>
                <w:rFonts w:eastAsia="Times New Roman" w:cs="Times New Roman"/>
                <w:color w:val="000000"/>
                <w:kern w:val="36"/>
                <w:lang w:val="vi-VN"/>
              </w:rPr>
              <w:t>.</w:t>
            </w:r>
          </w:p>
        </w:tc>
        <w:tc>
          <w:tcPr>
            <w:tcW w:w="5386" w:type="dxa"/>
          </w:tcPr>
          <w:p w14:paraId="19C195AF" w14:textId="0D242615" w:rsidR="00B578E6" w:rsidRPr="00B578E6" w:rsidRDefault="00544165" w:rsidP="00B578E6">
            <w:pPr>
              <w:spacing w:before="120" w:after="120"/>
              <w:ind w:right="0"/>
              <w:rPr>
                <w:rFonts w:eastAsia="Times New Roman"/>
                <w:kern w:val="36"/>
                <w:lang w:val="vi-VN"/>
              </w:rPr>
            </w:pPr>
            <w:r w:rsidRPr="005239BD">
              <w:rPr>
                <w:rFonts w:eastAsia="Times New Roman"/>
                <w:kern w:val="36"/>
                <w:lang w:val="vi-VN"/>
              </w:rPr>
              <w:t xml:space="preserve">1. </w:t>
            </w:r>
            <w:r w:rsidR="00B578E6" w:rsidRPr="00B578E6">
              <w:rPr>
                <w:rFonts w:eastAsia="Times New Roman"/>
                <w:i/>
                <w:kern w:val="36"/>
                <w:lang w:val="vi-VN"/>
              </w:rPr>
              <w:t>Khách hàng</w:t>
            </w:r>
            <w:r w:rsidR="00B578E6" w:rsidRPr="00B578E6">
              <w:rPr>
                <w:rFonts w:eastAsia="Times New Roman"/>
                <w:kern w:val="36"/>
                <w:lang w:val="vi-VN"/>
              </w:rPr>
              <w:t xml:space="preserve"> bao gồm:</w:t>
            </w:r>
          </w:p>
          <w:p w14:paraId="329828F3" w14:textId="77777777" w:rsidR="00B578E6" w:rsidRPr="00B578E6" w:rsidRDefault="00B578E6" w:rsidP="00B578E6">
            <w:pPr>
              <w:spacing w:before="120" w:after="120"/>
              <w:ind w:right="0"/>
              <w:rPr>
                <w:rFonts w:eastAsia="Times New Roman"/>
                <w:kern w:val="36"/>
                <w:lang w:val="vi-VN"/>
              </w:rPr>
            </w:pPr>
            <w:r w:rsidRPr="00B578E6">
              <w:rPr>
                <w:rFonts w:eastAsia="Times New Roman"/>
                <w:kern w:val="36"/>
                <w:lang w:val="vi-VN"/>
              </w:rPr>
              <w:t xml:space="preserve">a) Thành viên của quỹ tín dụng nhân dân; </w:t>
            </w:r>
          </w:p>
          <w:p w14:paraId="1267CBF8" w14:textId="77777777" w:rsidR="00B578E6" w:rsidRPr="00B578E6" w:rsidRDefault="00B578E6" w:rsidP="00B578E6">
            <w:pPr>
              <w:spacing w:before="120" w:after="120"/>
              <w:ind w:right="0"/>
              <w:rPr>
                <w:rFonts w:eastAsia="Times New Roman"/>
                <w:kern w:val="36"/>
                <w:lang w:val="vi-VN"/>
              </w:rPr>
            </w:pPr>
            <w:r w:rsidRPr="00B578E6">
              <w:rPr>
                <w:rFonts w:eastAsia="Times New Roman"/>
                <w:kern w:val="36"/>
                <w:lang w:val="vi-VN"/>
              </w:rPr>
              <w:t xml:space="preserve">b) Pháp nhân, cá nhân không phải là thành viên có tiền gửi tại quỹ tín dụng nhân dân; </w:t>
            </w:r>
          </w:p>
          <w:p w14:paraId="6E7B6046" w14:textId="27C7AAA6" w:rsidR="00544165" w:rsidRPr="005239BD" w:rsidRDefault="00B578E6" w:rsidP="00B578E6">
            <w:pPr>
              <w:spacing w:before="120" w:after="120"/>
              <w:ind w:right="0"/>
              <w:rPr>
                <w:rFonts w:eastAsiaTheme="majorEastAsia"/>
                <w:b/>
              </w:rPr>
            </w:pPr>
            <w:r w:rsidRPr="00B578E6">
              <w:rPr>
                <w:rFonts w:eastAsia="Times New Roman"/>
                <w:kern w:val="36"/>
                <w:lang w:val="vi-VN"/>
              </w:rPr>
              <w:lastRenderedPageBreak/>
              <w:t xml:space="preserve">c) Thành viên của hộ nghèo </w:t>
            </w:r>
            <w:r w:rsidRPr="00D523C0">
              <w:rPr>
                <w:rFonts w:eastAsia="Times New Roman"/>
                <w:i/>
                <w:kern w:val="36"/>
                <w:lang w:val="vi-VN"/>
              </w:rPr>
              <w:t>không phải thành viên của quỹ tín dụng nhân dân có đăng ký thường trú trên địa bàn hoạt động của quỹ tín dụng nhân d</w:t>
            </w:r>
            <w:r w:rsidR="00544165" w:rsidRPr="00D523C0">
              <w:rPr>
                <w:rFonts w:eastAsia="Times New Roman"/>
                <w:i/>
                <w:kern w:val="36"/>
                <w:lang w:val="vi-VN"/>
              </w:rPr>
              <w:t>ân</w:t>
            </w:r>
            <w:r w:rsidR="00544165" w:rsidRPr="005239BD">
              <w:rPr>
                <w:rFonts w:eastAsia="Times New Roman"/>
                <w:kern w:val="36"/>
                <w:lang w:val="vi-VN"/>
              </w:rPr>
              <w:t>.</w:t>
            </w:r>
          </w:p>
        </w:tc>
        <w:tc>
          <w:tcPr>
            <w:tcW w:w="3969" w:type="dxa"/>
          </w:tcPr>
          <w:p w14:paraId="0E2947E8" w14:textId="05AF300C" w:rsidR="00544165" w:rsidRPr="005239BD" w:rsidRDefault="00D34644" w:rsidP="005239BD">
            <w:pPr>
              <w:ind w:right="0"/>
              <w:rPr>
                <w:lang w:val="nl-NL"/>
              </w:rPr>
            </w:pPr>
            <w:r w:rsidRPr="005239BD">
              <w:rPr>
                <w:noProof/>
              </w:rPr>
              <w:lastRenderedPageBreak/>
              <w:t>Chỉnh sửa kỹ thuật nội dung cho rõ ràng hơn</w:t>
            </w:r>
            <w:r w:rsidR="00821CAE" w:rsidRPr="005239BD">
              <w:rPr>
                <w:noProof/>
              </w:rPr>
              <w:t>.</w:t>
            </w:r>
          </w:p>
        </w:tc>
      </w:tr>
      <w:tr w:rsidR="00544165" w:rsidRPr="00AC5DD8" w14:paraId="45FA617D" w14:textId="77777777" w:rsidTr="004141EF">
        <w:trPr>
          <w:trHeight w:val="301"/>
        </w:trPr>
        <w:tc>
          <w:tcPr>
            <w:tcW w:w="680" w:type="dxa"/>
            <w:vAlign w:val="center"/>
          </w:tcPr>
          <w:p w14:paraId="451E6FA1" w14:textId="28CB1062" w:rsidR="00544165" w:rsidRPr="005239BD" w:rsidRDefault="00622FAA" w:rsidP="005239BD">
            <w:pPr>
              <w:spacing w:before="120" w:after="120"/>
              <w:ind w:right="0"/>
              <w:jc w:val="center"/>
              <w:rPr>
                <w:iCs/>
                <w:noProof/>
              </w:rPr>
            </w:pPr>
            <w:r>
              <w:rPr>
                <w:iCs/>
                <w:noProof/>
              </w:rPr>
              <w:lastRenderedPageBreak/>
              <w:t>3</w:t>
            </w:r>
            <w:r w:rsidR="00544165" w:rsidRPr="005239BD">
              <w:rPr>
                <w:iCs/>
                <w:noProof/>
              </w:rPr>
              <w:t>.2</w:t>
            </w:r>
          </w:p>
        </w:tc>
        <w:tc>
          <w:tcPr>
            <w:tcW w:w="5416" w:type="dxa"/>
            <w:vAlign w:val="center"/>
          </w:tcPr>
          <w:p w14:paraId="3BAD4E87" w14:textId="517018ED" w:rsidR="00544165" w:rsidRPr="005239BD" w:rsidRDefault="00544165" w:rsidP="005239BD">
            <w:pPr>
              <w:ind w:right="0"/>
              <w:jc w:val="left"/>
              <w:rPr>
                <w:rFonts w:eastAsia="Times New Roman"/>
                <w:color w:val="000000"/>
                <w:kern w:val="36"/>
                <w:lang w:val="vi-VN"/>
              </w:rPr>
            </w:pPr>
            <w:r w:rsidRPr="005239BD">
              <w:rPr>
                <w:rFonts w:eastAsia="Times New Roman"/>
                <w:color w:val="FF0000"/>
                <w:kern w:val="36"/>
                <w:lang w:val="vi-VN"/>
              </w:rPr>
              <w:t>2.</w:t>
            </w:r>
            <w:r w:rsidRPr="005239BD">
              <w:rPr>
                <w:rFonts w:eastAsia="Times New Roman"/>
                <w:color w:val="FF0000"/>
                <w:kern w:val="36"/>
              </w:rPr>
              <w:t xml:space="preserve"> </w:t>
            </w:r>
            <w:r w:rsidRPr="005239BD">
              <w:rPr>
                <w:rFonts w:eastAsia="Times New Roman"/>
                <w:i/>
                <w:color w:val="FF0000"/>
                <w:kern w:val="36"/>
              </w:rPr>
              <w:t>Người có liên quan</w:t>
            </w:r>
            <w:r w:rsidRPr="005239BD">
              <w:rPr>
                <w:rFonts w:eastAsia="Times New Roman"/>
                <w:color w:val="FF0000"/>
                <w:kern w:val="36"/>
                <w:lang w:val="vi-VN"/>
              </w:rPr>
              <w:t> </w:t>
            </w:r>
            <w:r w:rsidRPr="005239BD">
              <w:rPr>
                <w:rFonts w:eastAsia="Times New Roman"/>
                <w:b/>
                <w:i/>
                <w:color w:val="FF0000"/>
                <w:kern w:val="36"/>
                <w:lang w:val="vi-VN"/>
              </w:rPr>
              <w:t>(được bãi bỏ)</w:t>
            </w:r>
          </w:p>
        </w:tc>
        <w:tc>
          <w:tcPr>
            <w:tcW w:w="5386" w:type="dxa"/>
          </w:tcPr>
          <w:p w14:paraId="02AA5F1F" w14:textId="77777777" w:rsidR="00544165" w:rsidRPr="005239BD" w:rsidRDefault="00544165" w:rsidP="005239BD">
            <w:pPr>
              <w:spacing w:before="120" w:after="120"/>
              <w:ind w:right="0"/>
              <w:rPr>
                <w:rFonts w:eastAsia="Times New Roman"/>
                <w:kern w:val="36"/>
                <w:lang w:val="vi-VN"/>
              </w:rPr>
            </w:pPr>
          </w:p>
        </w:tc>
        <w:tc>
          <w:tcPr>
            <w:tcW w:w="3969" w:type="dxa"/>
          </w:tcPr>
          <w:p w14:paraId="5D0FE613" w14:textId="1985B4EB" w:rsidR="00544165" w:rsidRPr="00AC5DD8" w:rsidRDefault="00072465" w:rsidP="005239BD">
            <w:pPr>
              <w:ind w:right="0"/>
              <w:rPr>
                <w:noProof/>
                <w:lang w:val="vi-VN"/>
              </w:rPr>
            </w:pPr>
            <w:r w:rsidRPr="005239BD">
              <w:rPr>
                <w:noProof/>
                <w:lang w:val="nl-NL"/>
              </w:rPr>
              <w:t>Đã được bãi bỏ bởi Thông tư số 13/2024/TT-NHNN</w:t>
            </w:r>
          </w:p>
        </w:tc>
      </w:tr>
      <w:tr w:rsidR="00544165" w:rsidRPr="005239BD" w14:paraId="6E9CBB15" w14:textId="77777777" w:rsidTr="004141EF">
        <w:tc>
          <w:tcPr>
            <w:tcW w:w="680" w:type="dxa"/>
            <w:vAlign w:val="center"/>
          </w:tcPr>
          <w:p w14:paraId="085B3320" w14:textId="681F4A7C" w:rsidR="00544165" w:rsidRPr="005239BD" w:rsidRDefault="00622FAA" w:rsidP="005239BD">
            <w:pPr>
              <w:spacing w:before="120" w:after="120"/>
              <w:ind w:right="0"/>
              <w:jc w:val="center"/>
              <w:rPr>
                <w:iCs/>
                <w:noProof/>
              </w:rPr>
            </w:pPr>
            <w:r>
              <w:rPr>
                <w:iCs/>
                <w:noProof/>
              </w:rPr>
              <w:t>3</w:t>
            </w:r>
            <w:r w:rsidR="00544165" w:rsidRPr="005239BD">
              <w:rPr>
                <w:iCs/>
                <w:noProof/>
              </w:rPr>
              <w:t>.3</w:t>
            </w:r>
          </w:p>
        </w:tc>
        <w:tc>
          <w:tcPr>
            <w:tcW w:w="5416" w:type="dxa"/>
          </w:tcPr>
          <w:p w14:paraId="2DC4FAA3" w14:textId="7DFA19BA" w:rsidR="00544165" w:rsidRPr="005239BD" w:rsidDel="00544165" w:rsidRDefault="00544165" w:rsidP="005239BD">
            <w:pPr>
              <w:spacing w:before="120" w:after="120"/>
              <w:ind w:right="0"/>
              <w:rPr>
                <w:rFonts w:eastAsia="Times New Roman"/>
                <w:b/>
                <w:bCs/>
              </w:rPr>
            </w:pPr>
            <w:r w:rsidRPr="005239BD">
              <w:rPr>
                <w:rFonts w:eastAsia="Times New Roman" w:cs="Times New Roman"/>
                <w:color w:val="000000"/>
                <w:kern w:val="36"/>
                <w:lang w:val="vi-VN"/>
              </w:rPr>
              <w:t>3. </w:t>
            </w:r>
            <w:r w:rsidRPr="005239BD">
              <w:rPr>
                <w:rFonts w:eastAsia="Times New Roman" w:cs="Times New Roman"/>
                <w:i/>
                <w:color w:val="000000"/>
                <w:kern w:val="36"/>
                <w:lang w:val="vi-VN"/>
              </w:rPr>
              <w:t>Lợi nhuận không chia</w:t>
            </w:r>
            <w:r w:rsidRPr="005239BD">
              <w:rPr>
                <w:rFonts w:eastAsia="Times New Roman" w:cs="Times New Roman"/>
                <w:color w:val="000000"/>
                <w:kern w:val="36"/>
                <w:lang w:val="vi-VN"/>
              </w:rPr>
              <w:t> của quỹ tín dụng nhân dân là phần lợi nhuận chưa phân phối, được xác định sau khi có báo cáo tài chính năm (đối với quỹ tín dụng nhân dân phải kiểm toán độc lập theo quy định của Ngân hàng Nhà nước là báo cáo tài chính năm được kiểm toán độc lập) và được Đại hội thành viên quỹ tín dụng nhân dân quyết định giữ lại nhằm mục đích bổ sung vốn cho quỹ tín dụng nhân dân.</w:t>
            </w:r>
          </w:p>
        </w:tc>
        <w:tc>
          <w:tcPr>
            <w:tcW w:w="5386" w:type="dxa"/>
          </w:tcPr>
          <w:p w14:paraId="78D018E7" w14:textId="30206850" w:rsidR="00544165" w:rsidRPr="005239BD" w:rsidDel="00544165" w:rsidRDefault="00544165" w:rsidP="005239BD">
            <w:pPr>
              <w:spacing w:before="120" w:after="120"/>
              <w:ind w:right="0"/>
              <w:rPr>
                <w:rFonts w:eastAsiaTheme="majorEastAsia"/>
                <w:b/>
              </w:rPr>
            </w:pPr>
          </w:p>
        </w:tc>
        <w:tc>
          <w:tcPr>
            <w:tcW w:w="3969" w:type="dxa"/>
          </w:tcPr>
          <w:p w14:paraId="62584004" w14:textId="27714275" w:rsidR="00544165" w:rsidRPr="005239BD" w:rsidRDefault="00512F3C" w:rsidP="005239BD">
            <w:pPr>
              <w:ind w:right="0"/>
              <w:rPr>
                <w:lang w:val="nl-NL"/>
              </w:rPr>
            </w:pPr>
            <w:r w:rsidRPr="005239BD">
              <w:rPr>
                <w:lang w:val="nl-NL"/>
              </w:rPr>
              <w:t>Bỏ. Để phù hợp với</w:t>
            </w:r>
            <w:r w:rsidR="00ED74C7" w:rsidRPr="005239BD">
              <w:rPr>
                <w:lang w:val="nl-NL"/>
              </w:rPr>
              <w:t xml:space="preserve"> khoản 45 Điều 4 và </w:t>
            </w:r>
            <w:r w:rsidRPr="005239BD">
              <w:rPr>
                <w:lang w:val="nl-NL"/>
              </w:rPr>
              <w:t>khoản 3 Điều 28 Luật Các tổ chức tín dụ</w:t>
            </w:r>
            <w:r w:rsidR="00ED74C7" w:rsidRPr="005239BD">
              <w:rPr>
                <w:lang w:val="nl-NL"/>
              </w:rPr>
              <w:t>ng 2024.</w:t>
            </w:r>
            <w:r w:rsidRPr="005239BD">
              <w:rPr>
                <w:lang w:val="nl-NL"/>
              </w:rPr>
              <w:t xml:space="preserve"> </w:t>
            </w:r>
          </w:p>
        </w:tc>
      </w:tr>
      <w:tr w:rsidR="00864CA1" w:rsidRPr="005239BD" w14:paraId="1B1CE081" w14:textId="77777777" w:rsidTr="004141EF">
        <w:tc>
          <w:tcPr>
            <w:tcW w:w="680" w:type="dxa"/>
            <w:vAlign w:val="center"/>
          </w:tcPr>
          <w:p w14:paraId="00D5DAE7" w14:textId="13797035" w:rsidR="006B0307" w:rsidRPr="005239BD" w:rsidRDefault="00622FAA" w:rsidP="005239BD">
            <w:pPr>
              <w:spacing w:before="120" w:after="120"/>
              <w:ind w:right="0"/>
              <w:jc w:val="center"/>
              <w:rPr>
                <w:iCs/>
                <w:noProof/>
              </w:rPr>
            </w:pPr>
            <w:r>
              <w:rPr>
                <w:iCs/>
                <w:noProof/>
              </w:rPr>
              <w:t>3</w:t>
            </w:r>
            <w:r w:rsidR="00544165" w:rsidRPr="005239BD">
              <w:rPr>
                <w:iCs/>
                <w:noProof/>
              </w:rPr>
              <w:t>.4</w:t>
            </w:r>
          </w:p>
        </w:tc>
        <w:tc>
          <w:tcPr>
            <w:tcW w:w="5416" w:type="dxa"/>
          </w:tcPr>
          <w:p w14:paraId="273B7D67" w14:textId="703C88FC" w:rsidR="006B0307" w:rsidRPr="005239BD" w:rsidRDefault="00FD0325" w:rsidP="005239BD">
            <w:pPr>
              <w:spacing w:before="120" w:after="120"/>
              <w:ind w:right="0"/>
              <w:rPr>
                <w:rFonts w:eastAsia="Times New Roman"/>
                <w:b/>
                <w:shd w:val="clear" w:color="auto" w:fill="FFFFFF"/>
              </w:rPr>
            </w:pPr>
            <w:r w:rsidRPr="005239BD">
              <w:rPr>
                <w:rFonts w:eastAsia="Times New Roman" w:cs="Times New Roman"/>
                <w:color w:val="000000"/>
                <w:kern w:val="36"/>
                <w:lang w:val="vi-VN"/>
              </w:rPr>
              <w:t>4. </w:t>
            </w:r>
            <w:r w:rsidRPr="00AC5DD8">
              <w:rPr>
                <w:rFonts w:eastAsia="Times New Roman"/>
                <w:i/>
                <w:color w:val="000000"/>
                <w:kern w:val="36"/>
                <w:lang w:val="vi-VN"/>
              </w:rPr>
              <w:t>Ngân hàng Nhà nước chi nhánh tỉnh, thành phố</w:t>
            </w:r>
            <w:r w:rsidRPr="00AC5DD8">
              <w:rPr>
                <w:rFonts w:eastAsia="Times New Roman"/>
                <w:color w:val="000000"/>
                <w:kern w:val="36"/>
                <w:lang w:val="vi-VN"/>
              </w:rPr>
              <w:t> là Ngân hàng Nhà nước chi nhánh tỉnh, thành phố trực thuộc Trung ương</w:t>
            </w:r>
            <w:r w:rsidRPr="005239BD">
              <w:rPr>
                <w:rFonts w:eastAsia="Times New Roman" w:cs="Times New Roman"/>
                <w:color w:val="000000"/>
                <w:kern w:val="36"/>
                <w:lang w:val="vi-VN"/>
              </w:rPr>
              <w:t xml:space="preserve"> nơi quỹ tín dụng nhân dân đặt trụ sở chính.</w:t>
            </w:r>
          </w:p>
        </w:tc>
        <w:tc>
          <w:tcPr>
            <w:tcW w:w="5386" w:type="dxa"/>
          </w:tcPr>
          <w:p w14:paraId="304695B6" w14:textId="54BF5134" w:rsidR="006B0307" w:rsidRPr="005239BD" w:rsidDel="00BD0F9F" w:rsidRDefault="006B0307" w:rsidP="005239BD">
            <w:pPr>
              <w:spacing w:before="120" w:after="120"/>
              <w:ind w:right="0"/>
              <w:rPr>
                <w:rFonts w:eastAsiaTheme="majorEastAsia"/>
                <w:b/>
              </w:rPr>
            </w:pPr>
          </w:p>
        </w:tc>
        <w:tc>
          <w:tcPr>
            <w:tcW w:w="3969" w:type="dxa"/>
          </w:tcPr>
          <w:p w14:paraId="1EEA3C6D" w14:textId="3CBE852E" w:rsidR="006B0307" w:rsidRPr="005239BD" w:rsidRDefault="0017323F" w:rsidP="005239BD">
            <w:pPr>
              <w:ind w:right="0"/>
              <w:rPr>
                <w:lang w:val="nl-NL"/>
              </w:rPr>
            </w:pPr>
            <w:r w:rsidRPr="005239BD">
              <w:rPr>
                <w:lang w:val="nl-NL"/>
              </w:rPr>
              <w:t xml:space="preserve">Bỏ. </w:t>
            </w:r>
            <w:r w:rsidR="00821CAE" w:rsidRPr="005239BD">
              <w:rPr>
                <w:lang w:val="nl-NL"/>
              </w:rPr>
              <w:t>Quy định không cần thiết.</w:t>
            </w:r>
          </w:p>
        </w:tc>
      </w:tr>
      <w:tr w:rsidR="009560DD" w:rsidRPr="005239BD" w14:paraId="5EAC3906" w14:textId="77777777" w:rsidTr="004141EF">
        <w:tc>
          <w:tcPr>
            <w:tcW w:w="680" w:type="dxa"/>
            <w:vAlign w:val="center"/>
          </w:tcPr>
          <w:p w14:paraId="5D4249E0" w14:textId="34D27014" w:rsidR="009560DD" w:rsidRPr="005239BD" w:rsidRDefault="00622FAA" w:rsidP="005239BD">
            <w:pPr>
              <w:spacing w:before="120" w:after="120"/>
              <w:ind w:right="0"/>
              <w:jc w:val="center"/>
              <w:rPr>
                <w:iCs/>
                <w:noProof/>
              </w:rPr>
            </w:pPr>
            <w:r>
              <w:rPr>
                <w:iCs/>
                <w:noProof/>
              </w:rPr>
              <w:t>3</w:t>
            </w:r>
            <w:r w:rsidR="009560DD">
              <w:rPr>
                <w:iCs/>
                <w:noProof/>
              </w:rPr>
              <w:t>.5</w:t>
            </w:r>
          </w:p>
        </w:tc>
        <w:tc>
          <w:tcPr>
            <w:tcW w:w="5416" w:type="dxa"/>
          </w:tcPr>
          <w:p w14:paraId="53190F62" w14:textId="4646F93A" w:rsidR="009560DD" w:rsidRPr="00AC5DD8" w:rsidRDefault="009560DD" w:rsidP="005239BD">
            <w:pPr>
              <w:spacing w:before="120" w:after="120"/>
              <w:ind w:right="0"/>
              <w:rPr>
                <w:rFonts w:eastAsia="Times New Roman"/>
                <w:color w:val="000000"/>
                <w:kern w:val="36"/>
              </w:rPr>
            </w:pPr>
          </w:p>
        </w:tc>
        <w:tc>
          <w:tcPr>
            <w:tcW w:w="5386" w:type="dxa"/>
          </w:tcPr>
          <w:p w14:paraId="037009DB" w14:textId="6750E083" w:rsidR="009560DD" w:rsidRPr="00AC5DD8" w:rsidDel="00BD0F9F" w:rsidRDefault="0089277E" w:rsidP="005239BD">
            <w:pPr>
              <w:spacing w:before="120" w:after="120"/>
              <w:ind w:right="0"/>
              <w:rPr>
                <w:rFonts w:eastAsiaTheme="majorEastAsia"/>
                <w:b/>
                <w:i/>
              </w:rPr>
            </w:pPr>
            <w:r w:rsidRPr="00AC5DD8">
              <w:rPr>
                <w:rFonts w:eastAsia="Times New Roman"/>
                <w:i/>
                <w:color w:val="000000"/>
                <w:kern w:val="36"/>
              </w:rPr>
              <w:t xml:space="preserve">2. </w:t>
            </w:r>
            <w:r w:rsidR="009560DD" w:rsidRPr="00AC5DD8">
              <w:rPr>
                <w:rFonts w:eastAsia="Times New Roman"/>
                <w:i/>
                <w:color w:val="000000"/>
                <w:kern w:val="36"/>
              </w:rPr>
              <w:t>Tổ chức tín dụng, chi nhánh ngân hàng nước ngoài là tổ chức tín dụng, chi nhánh ngân hàng nước ngoài được thành lập và hoạt động tại Việt Nam theo quy định của pháp luật Việt Nam.</w:t>
            </w:r>
          </w:p>
        </w:tc>
        <w:tc>
          <w:tcPr>
            <w:tcW w:w="3969" w:type="dxa"/>
          </w:tcPr>
          <w:p w14:paraId="7C36D592" w14:textId="25232FE3" w:rsidR="009560DD" w:rsidRPr="005239BD" w:rsidRDefault="009560DD">
            <w:pPr>
              <w:ind w:right="0"/>
              <w:rPr>
                <w:lang w:val="nl-NL"/>
              </w:rPr>
            </w:pPr>
            <w:r>
              <w:rPr>
                <w:lang w:val="nl-NL"/>
              </w:rPr>
              <w:t>Bổ</w:t>
            </w:r>
            <w:r w:rsidR="00D164A4">
              <w:rPr>
                <w:lang w:val="nl-NL"/>
              </w:rPr>
              <w:t xml:space="preserve"> sung để làm căn cứ xác định giá trị các khoản mục liên quan nghĩa vụ, tài sản trong quan hệ với QTDND khi tính các tỷ lệ đảm bảo an toàn.</w:t>
            </w:r>
          </w:p>
        </w:tc>
      </w:tr>
      <w:tr w:rsidR="009560DD" w:rsidRPr="005239BD" w14:paraId="2ACC7B34" w14:textId="77777777" w:rsidTr="004141EF">
        <w:tc>
          <w:tcPr>
            <w:tcW w:w="680" w:type="dxa"/>
            <w:vAlign w:val="center"/>
          </w:tcPr>
          <w:p w14:paraId="59F86D33" w14:textId="08228C68" w:rsidR="009560DD" w:rsidRDefault="00622FAA" w:rsidP="005239BD">
            <w:pPr>
              <w:spacing w:before="120" w:after="120"/>
              <w:ind w:right="0"/>
              <w:jc w:val="center"/>
              <w:rPr>
                <w:iCs/>
                <w:noProof/>
              </w:rPr>
            </w:pPr>
            <w:r>
              <w:rPr>
                <w:iCs/>
                <w:noProof/>
              </w:rPr>
              <w:t>3</w:t>
            </w:r>
            <w:r w:rsidR="0089277E">
              <w:rPr>
                <w:iCs/>
                <w:noProof/>
              </w:rPr>
              <w:t>.6</w:t>
            </w:r>
          </w:p>
        </w:tc>
        <w:tc>
          <w:tcPr>
            <w:tcW w:w="5416" w:type="dxa"/>
          </w:tcPr>
          <w:p w14:paraId="2A822142" w14:textId="77777777" w:rsidR="009560DD" w:rsidRPr="009560DD" w:rsidRDefault="009560DD" w:rsidP="005239BD">
            <w:pPr>
              <w:spacing w:before="120" w:after="120"/>
              <w:ind w:right="0"/>
              <w:rPr>
                <w:rFonts w:eastAsia="Times New Roman"/>
                <w:color w:val="000000"/>
                <w:kern w:val="36"/>
              </w:rPr>
            </w:pPr>
          </w:p>
        </w:tc>
        <w:tc>
          <w:tcPr>
            <w:tcW w:w="5386" w:type="dxa"/>
          </w:tcPr>
          <w:p w14:paraId="1105B5B2" w14:textId="77777777" w:rsidR="00F742D2" w:rsidRPr="00F742D2" w:rsidRDefault="0089277E" w:rsidP="00F742D2">
            <w:pPr>
              <w:spacing w:before="120" w:after="120"/>
              <w:ind w:right="0"/>
              <w:rPr>
                <w:rFonts w:eastAsia="Times New Roman"/>
                <w:i/>
                <w:color w:val="000000"/>
                <w:kern w:val="36"/>
              </w:rPr>
            </w:pPr>
            <w:r w:rsidRPr="00AC5DD8">
              <w:rPr>
                <w:rFonts w:eastAsia="Times New Roman"/>
                <w:i/>
                <w:color w:val="000000"/>
                <w:kern w:val="36"/>
              </w:rPr>
              <w:t xml:space="preserve">3. </w:t>
            </w:r>
            <w:r w:rsidR="00F742D2" w:rsidRPr="00F742D2">
              <w:rPr>
                <w:rFonts w:eastAsia="Times New Roman"/>
                <w:i/>
                <w:color w:val="000000"/>
                <w:kern w:val="36"/>
              </w:rPr>
              <w:t>Tổ chức tài chính bao gồm:</w:t>
            </w:r>
          </w:p>
          <w:p w14:paraId="23181FB8" w14:textId="77777777" w:rsidR="00F742D2" w:rsidRPr="00F742D2" w:rsidRDefault="00F742D2" w:rsidP="00F742D2">
            <w:pPr>
              <w:spacing w:before="120" w:after="120"/>
              <w:ind w:right="0"/>
              <w:rPr>
                <w:rFonts w:eastAsia="Times New Roman"/>
                <w:i/>
                <w:color w:val="000000"/>
                <w:kern w:val="36"/>
              </w:rPr>
            </w:pPr>
            <w:r w:rsidRPr="00F742D2">
              <w:rPr>
                <w:rFonts w:eastAsia="Times New Roman"/>
                <w:i/>
                <w:color w:val="000000"/>
                <w:kern w:val="36"/>
              </w:rPr>
              <w:t>a) Tổ chức được cấp giấy phép thành lập và hoạt động theo quy định pháp luật về ngân hàng, bảo hiểm, chứng khoán tại Việt Nam;</w:t>
            </w:r>
          </w:p>
          <w:p w14:paraId="5D42B1BF" w14:textId="314F9151" w:rsidR="009560DD" w:rsidRPr="00AC5DD8" w:rsidRDefault="00F742D2" w:rsidP="00F742D2">
            <w:pPr>
              <w:spacing w:before="120" w:after="120"/>
              <w:ind w:right="0"/>
              <w:rPr>
                <w:rFonts w:eastAsia="Times New Roman"/>
                <w:i/>
                <w:color w:val="000000"/>
                <w:kern w:val="36"/>
              </w:rPr>
            </w:pPr>
            <w:r w:rsidRPr="00F742D2">
              <w:rPr>
                <w:rFonts w:eastAsia="Times New Roman"/>
                <w:i/>
                <w:color w:val="000000"/>
                <w:kern w:val="36"/>
              </w:rPr>
              <w:t xml:space="preserve">b) Tổ chức khác, trừ các tổ chức quy định tại điểm a khoản này được cấp giấy phép thực hiện một hoặc một số hoạt động sau đây: Nhận tiền gửi; cho vay; cho </w:t>
            </w:r>
            <w:r w:rsidRPr="00F742D2">
              <w:rPr>
                <w:rFonts w:eastAsia="Times New Roman"/>
                <w:i/>
                <w:color w:val="000000"/>
                <w:kern w:val="36"/>
              </w:rPr>
              <w:lastRenderedPageBreak/>
              <w:t>thuê tài chính; dịch vụ thanh toán; phát hành công cụ chuyển nhượng, thẻ tín dụng, thẻ ghi nợ, lệnh chuyển tiền, tiền điện tử; bảo lãnh ngân hàng và cam kết tài chính; cung ứng dịch vụ ngoại hối, các công cụ tiền tệ trên thị trường tiền tệ; tư vấn, bảo lãnh phát hành chứng khoán, đại lý phân phối chứng khoán; quản lý danh mục vốn đầu tư; quản lý tiền mặt hoặc chứng khoán cho tổ chức, cá nhân khác; cung ứng dịch vụ bảo hiểm; hoạt động đầu tư có liên quan đến bảo hiểm nhân thọ; đổi tiền.</w:t>
            </w:r>
          </w:p>
        </w:tc>
        <w:tc>
          <w:tcPr>
            <w:tcW w:w="3969" w:type="dxa"/>
          </w:tcPr>
          <w:p w14:paraId="62A9E53F" w14:textId="5CE39B83" w:rsidR="009560DD" w:rsidRPr="005239BD" w:rsidRDefault="00D164A4" w:rsidP="005239BD">
            <w:pPr>
              <w:ind w:right="0"/>
              <w:rPr>
                <w:lang w:val="nl-NL"/>
              </w:rPr>
            </w:pPr>
            <w:r>
              <w:rPr>
                <w:lang w:val="nl-NL"/>
              </w:rPr>
              <w:lastRenderedPageBreak/>
              <w:t>Bổ sung để làm căn cứ xác định giá trị các khoản mục liên quan nghĩa vụ, tài sản trong quan hệ với QTDND khi tính các tỷ lệ đảm bảo an toàn.</w:t>
            </w:r>
          </w:p>
        </w:tc>
      </w:tr>
      <w:tr w:rsidR="009560DD" w:rsidRPr="005239BD" w14:paraId="4FBFD000" w14:textId="77777777" w:rsidTr="004141EF">
        <w:tc>
          <w:tcPr>
            <w:tcW w:w="680" w:type="dxa"/>
            <w:vAlign w:val="center"/>
          </w:tcPr>
          <w:p w14:paraId="00DF1012" w14:textId="30711CCB" w:rsidR="009560DD" w:rsidRDefault="00622FAA" w:rsidP="005239BD">
            <w:pPr>
              <w:spacing w:before="120" w:after="120"/>
              <w:ind w:right="0"/>
              <w:jc w:val="center"/>
              <w:rPr>
                <w:iCs/>
                <w:noProof/>
              </w:rPr>
            </w:pPr>
            <w:r>
              <w:rPr>
                <w:iCs/>
                <w:noProof/>
              </w:rPr>
              <w:lastRenderedPageBreak/>
              <w:t>3</w:t>
            </w:r>
            <w:r w:rsidR="0062549F">
              <w:rPr>
                <w:iCs/>
                <w:noProof/>
              </w:rPr>
              <w:t>.7</w:t>
            </w:r>
          </w:p>
        </w:tc>
        <w:tc>
          <w:tcPr>
            <w:tcW w:w="5416" w:type="dxa"/>
          </w:tcPr>
          <w:p w14:paraId="0878459B" w14:textId="77777777" w:rsidR="009560DD" w:rsidRPr="009560DD" w:rsidRDefault="009560DD" w:rsidP="005239BD">
            <w:pPr>
              <w:spacing w:before="120" w:after="120"/>
              <w:ind w:right="0"/>
              <w:rPr>
                <w:rFonts w:eastAsia="Times New Roman"/>
                <w:color w:val="000000"/>
                <w:kern w:val="36"/>
              </w:rPr>
            </w:pPr>
          </w:p>
        </w:tc>
        <w:tc>
          <w:tcPr>
            <w:tcW w:w="5386" w:type="dxa"/>
          </w:tcPr>
          <w:p w14:paraId="0912EE3B" w14:textId="3C2F661A" w:rsidR="009560DD" w:rsidRPr="00AC5DD8" w:rsidRDefault="000E2146" w:rsidP="005239BD">
            <w:pPr>
              <w:spacing w:before="120" w:after="120"/>
              <w:ind w:right="0"/>
              <w:rPr>
                <w:rFonts w:eastAsia="Times New Roman"/>
                <w:i/>
                <w:color w:val="000000"/>
                <w:kern w:val="36"/>
              </w:rPr>
            </w:pPr>
            <w:r w:rsidRPr="00AC5DD8">
              <w:rPr>
                <w:rFonts w:eastAsia="Times New Roman"/>
                <w:i/>
                <w:color w:val="000000"/>
                <w:kern w:val="36"/>
              </w:rPr>
              <w:t xml:space="preserve">4. </w:t>
            </w:r>
            <w:r w:rsidR="0089277E" w:rsidRPr="00AC5DD8">
              <w:rPr>
                <w:rFonts w:eastAsia="Times New Roman"/>
                <w:i/>
                <w:color w:val="000000"/>
                <w:kern w:val="36"/>
              </w:rPr>
              <w:t xml:space="preserve">Tổ chức tài chính nhà nước </w:t>
            </w:r>
            <w:r w:rsidRPr="00AC5DD8">
              <w:rPr>
                <w:rFonts w:eastAsia="Times New Roman"/>
                <w:i/>
                <w:color w:val="000000"/>
                <w:kern w:val="36"/>
              </w:rPr>
              <w:t>là tổ chức tài chính quy định tại khoản 3 Điều này do Nhà nước nắm giữ trên 50% vốn điều lệ, tổng số cổ phần có quyền biểu quyết.</w:t>
            </w:r>
          </w:p>
        </w:tc>
        <w:tc>
          <w:tcPr>
            <w:tcW w:w="3969" w:type="dxa"/>
          </w:tcPr>
          <w:p w14:paraId="3649FEC6" w14:textId="22D1C9C2" w:rsidR="009560DD" w:rsidRPr="005239BD" w:rsidRDefault="00D164A4" w:rsidP="005239BD">
            <w:pPr>
              <w:ind w:right="0"/>
              <w:rPr>
                <w:lang w:val="nl-NL"/>
              </w:rPr>
            </w:pPr>
            <w:r>
              <w:rPr>
                <w:lang w:val="nl-NL"/>
              </w:rPr>
              <w:t>Bổ sung để làm căn cứ xác định giá trị các khoản mục liên quan nghĩa vụ, tài sản trong quan hệ với QTDND khi tính các tỷ lệ đảm bảo an toàn.</w:t>
            </w:r>
          </w:p>
        </w:tc>
      </w:tr>
      <w:tr w:rsidR="00821CAE" w:rsidRPr="00AC5DD8" w14:paraId="21D7E4A6" w14:textId="77777777" w:rsidTr="004141EF">
        <w:tc>
          <w:tcPr>
            <w:tcW w:w="680" w:type="dxa"/>
            <w:vMerge w:val="restart"/>
            <w:vAlign w:val="center"/>
          </w:tcPr>
          <w:p w14:paraId="5C2C9717" w14:textId="7E6A5542" w:rsidR="00821CAE" w:rsidRPr="005239BD" w:rsidRDefault="00622FAA" w:rsidP="005239BD">
            <w:pPr>
              <w:spacing w:before="120" w:after="120"/>
              <w:ind w:right="0"/>
              <w:jc w:val="center"/>
              <w:rPr>
                <w:b/>
                <w:iCs/>
                <w:noProof/>
              </w:rPr>
            </w:pPr>
            <w:r>
              <w:rPr>
                <w:b/>
                <w:iCs/>
                <w:noProof/>
              </w:rPr>
              <w:t>4</w:t>
            </w:r>
          </w:p>
        </w:tc>
        <w:tc>
          <w:tcPr>
            <w:tcW w:w="5416" w:type="dxa"/>
          </w:tcPr>
          <w:p w14:paraId="7A3FF824" w14:textId="781254A2" w:rsidR="00821CAE" w:rsidRPr="005239BD" w:rsidRDefault="00821CAE" w:rsidP="005239BD">
            <w:pPr>
              <w:pBdr>
                <w:top w:val="nil"/>
                <w:left w:val="nil"/>
                <w:bottom w:val="nil"/>
                <w:right w:val="nil"/>
                <w:between w:val="nil"/>
              </w:pBdr>
              <w:ind w:right="0"/>
              <w:jc w:val="left"/>
              <w:rPr>
                <w:b/>
                <w:lang w:val="nb-NO"/>
              </w:rPr>
            </w:pPr>
            <w:r w:rsidRPr="005239BD">
              <w:rPr>
                <w:b/>
                <w:lang w:val="nb-NO"/>
              </w:rPr>
              <w:t>Điều 3. Hệ thống</w:t>
            </w:r>
            <w:r w:rsidR="001B7049">
              <w:rPr>
                <w:b/>
                <w:lang w:val="nb-NO"/>
              </w:rPr>
              <w:t xml:space="preserve"> công nghệ</w:t>
            </w:r>
            <w:r w:rsidRPr="005239BD">
              <w:rPr>
                <w:b/>
                <w:lang w:val="nb-NO"/>
              </w:rPr>
              <w:t xml:space="preserve"> thông tin</w:t>
            </w:r>
          </w:p>
          <w:p w14:paraId="21FB40B2" w14:textId="77777777" w:rsidR="00821CAE" w:rsidRPr="005239BD" w:rsidRDefault="00821CAE"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Quỹ tín dụng nhân dân phải có hệ thống công nghệ thông tin để thực hiện các quy định tại Thông tư này, đảm bảo các yêu cầu tối thiểu sau:</w:t>
            </w:r>
          </w:p>
          <w:p w14:paraId="0C2B0043" w14:textId="77777777" w:rsidR="00821CAE" w:rsidRPr="005239BD" w:rsidRDefault="00821CAE"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1. Lưu giữ, truy cập, bổ sung cơ sở dữ liệu về khách hàng, bảo đảm quản lý rủi ro theo quy định của Ngân hàng Nhà nước và quy định nội bộ của quỹ tín dụng nhân dân.</w:t>
            </w:r>
          </w:p>
          <w:p w14:paraId="35AD2912" w14:textId="382DA920" w:rsidR="00821CAE" w:rsidRPr="005239BD" w:rsidRDefault="00821CAE" w:rsidP="005239BD">
            <w:pPr>
              <w:spacing w:before="120" w:after="120"/>
              <w:ind w:right="0"/>
              <w:rPr>
                <w:b/>
                <w:lang w:val="nb-NO"/>
              </w:rPr>
            </w:pPr>
            <w:r w:rsidRPr="005239BD">
              <w:rPr>
                <w:rFonts w:eastAsia="Times New Roman" w:cs="Times New Roman"/>
                <w:color w:val="000000"/>
                <w:kern w:val="36"/>
                <w:lang w:val="vi-VN"/>
              </w:rPr>
              <w:t>2. Thống kê, theo dõi các khoản mục vốn, tài sản, nợ phải trả; tính toán, quản lý, giám sát các hạn chế, giới hạn, tỷ lệ bảo đảm an toàn trong hoạt động tại Thông tư này.</w:t>
            </w:r>
          </w:p>
        </w:tc>
        <w:tc>
          <w:tcPr>
            <w:tcW w:w="5386" w:type="dxa"/>
            <w:vAlign w:val="center"/>
          </w:tcPr>
          <w:p w14:paraId="040698BC" w14:textId="0E8C08A0" w:rsidR="00821CAE" w:rsidRPr="005239BD" w:rsidRDefault="00821CAE" w:rsidP="005239BD">
            <w:pPr>
              <w:pBdr>
                <w:top w:val="nil"/>
                <w:left w:val="nil"/>
                <w:bottom w:val="nil"/>
                <w:right w:val="nil"/>
                <w:between w:val="nil"/>
              </w:pBdr>
              <w:ind w:right="0"/>
              <w:jc w:val="left"/>
              <w:rPr>
                <w:b/>
                <w:lang w:val="nb-NO"/>
              </w:rPr>
            </w:pPr>
            <w:r w:rsidRPr="005239BD">
              <w:rPr>
                <w:b/>
                <w:lang w:val="nb-NO"/>
              </w:rPr>
              <w:t xml:space="preserve">Điều </w:t>
            </w:r>
            <w:r w:rsidR="00C41332" w:rsidRPr="005239BD">
              <w:rPr>
                <w:b/>
                <w:lang w:val="nb-NO"/>
              </w:rPr>
              <w:t>4</w:t>
            </w:r>
            <w:r w:rsidRPr="005239BD">
              <w:rPr>
                <w:b/>
                <w:lang w:val="nb-NO"/>
              </w:rPr>
              <w:t>. Hệ thống</w:t>
            </w:r>
            <w:r w:rsidR="00D92487" w:rsidRPr="005239BD">
              <w:rPr>
                <w:b/>
                <w:lang w:val="nb-NO"/>
              </w:rPr>
              <w:t xml:space="preserve"> </w:t>
            </w:r>
            <w:r w:rsidR="00D92487" w:rsidRPr="00143BF7">
              <w:rPr>
                <w:b/>
                <w:lang w:val="nb-NO"/>
              </w:rPr>
              <w:t>công nghệ</w:t>
            </w:r>
            <w:r w:rsidRPr="005239BD">
              <w:rPr>
                <w:b/>
                <w:lang w:val="nb-NO"/>
              </w:rPr>
              <w:t xml:space="preserve"> thông tin</w:t>
            </w:r>
          </w:p>
          <w:p w14:paraId="1A3E2CD4" w14:textId="77777777" w:rsidR="00821CAE" w:rsidRPr="005239BD" w:rsidRDefault="00821CAE" w:rsidP="005239BD">
            <w:pPr>
              <w:spacing w:before="120" w:after="120"/>
              <w:ind w:right="0"/>
              <w:rPr>
                <w:rFonts w:eastAsia="Times New Roman"/>
                <w:kern w:val="36"/>
                <w:lang w:val="vi-VN"/>
              </w:rPr>
            </w:pPr>
            <w:r w:rsidRPr="005239BD">
              <w:rPr>
                <w:rFonts w:eastAsia="Times New Roman"/>
                <w:kern w:val="36"/>
                <w:lang w:val="vi-VN"/>
              </w:rPr>
              <w:t>Quỹ tín dụng nhân dân phải có hệ thống công nghệ thông tin để thực hiện các quy định tại Thông tư này, đảm bảo các yêu cầu tối thiểu sau:</w:t>
            </w:r>
          </w:p>
          <w:p w14:paraId="6AB7082F" w14:textId="77777777" w:rsidR="00821CAE" w:rsidRPr="005239BD" w:rsidRDefault="00821CAE" w:rsidP="005239BD">
            <w:pPr>
              <w:spacing w:before="120" w:after="120"/>
              <w:ind w:right="0"/>
              <w:rPr>
                <w:rFonts w:eastAsia="Times New Roman"/>
                <w:kern w:val="36"/>
                <w:lang w:val="vi-VN"/>
              </w:rPr>
            </w:pPr>
            <w:r w:rsidRPr="005239BD">
              <w:rPr>
                <w:rFonts w:eastAsia="Times New Roman"/>
                <w:kern w:val="36"/>
                <w:lang w:val="vi-VN"/>
              </w:rPr>
              <w:t>1. Lưu giữ, truy cập, bổ sung cơ sở dữ liệu về khách hàng, bảo đảm quản lý rủi ro theo quy định của Ngân hàng Nhà nước và quy định nội bộ của quỹ tín dụng nhân dân.</w:t>
            </w:r>
          </w:p>
          <w:p w14:paraId="4F0D579A" w14:textId="63BA09F8" w:rsidR="00821CAE" w:rsidRPr="005239BD" w:rsidRDefault="00821CAE" w:rsidP="005239BD">
            <w:pPr>
              <w:spacing w:before="120" w:after="120"/>
              <w:ind w:right="0"/>
              <w:rPr>
                <w:b/>
                <w:lang w:val="nb-NO"/>
              </w:rPr>
            </w:pPr>
            <w:r w:rsidRPr="005239BD">
              <w:rPr>
                <w:rFonts w:eastAsia="Times New Roman"/>
                <w:kern w:val="36"/>
                <w:lang w:val="vi-VN"/>
              </w:rPr>
              <w:t>2. Thống kê, theo dõi các khoản mục vốn, tài sản, nợ phải trả; tính toán, quản lý, giám sát các hạn chế, giới hạn, tỷ lệ bảo đảm an toàn trong hoạt động tại Thông tư này</w:t>
            </w:r>
            <w:r w:rsidRPr="005239BD">
              <w:rPr>
                <w:rFonts w:eastAsia="Times New Roman" w:cs="Times New Roman"/>
                <w:kern w:val="36"/>
                <w:lang w:val="vi-VN"/>
              </w:rPr>
              <w:t>.</w:t>
            </w:r>
          </w:p>
        </w:tc>
        <w:tc>
          <w:tcPr>
            <w:tcW w:w="3969" w:type="dxa"/>
          </w:tcPr>
          <w:p w14:paraId="4DE69466" w14:textId="3F686865" w:rsidR="00821CAE" w:rsidRPr="005239BD" w:rsidRDefault="00EA0E4D" w:rsidP="005239BD">
            <w:pPr>
              <w:spacing w:before="120"/>
              <w:ind w:right="0"/>
              <w:rPr>
                <w:noProof/>
                <w:lang w:val="nl-NL"/>
              </w:rPr>
            </w:pPr>
            <w:r>
              <w:rPr>
                <w:noProof/>
                <w:lang w:val="nb-NO"/>
              </w:rPr>
              <w:t>Kế thừa nội dung.</w:t>
            </w:r>
          </w:p>
        </w:tc>
      </w:tr>
      <w:tr w:rsidR="00821CAE" w:rsidRPr="00AC5DD8" w14:paraId="29561443" w14:textId="77777777" w:rsidTr="004141EF">
        <w:tc>
          <w:tcPr>
            <w:tcW w:w="680" w:type="dxa"/>
            <w:vMerge/>
            <w:vAlign w:val="center"/>
          </w:tcPr>
          <w:p w14:paraId="001BEB4C" w14:textId="731D4B8D" w:rsidR="00821CAE" w:rsidRPr="00AB3B15" w:rsidDel="00544165" w:rsidRDefault="00821CAE" w:rsidP="005239BD">
            <w:pPr>
              <w:spacing w:before="120" w:after="120"/>
              <w:ind w:right="0"/>
              <w:jc w:val="center"/>
              <w:rPr>
                <w:iCs/>
                <w:noProof/>
                <w:lang w:val="nb-NO"/>
              </w:rPr>
            </w:pPr>
          </w:p>
        </w:tc>
        <w:tc>
          <w:tcPr>
            <w:tcW w:w="5416" w:type="dxa"/>
          </w:tcPr>
          <w:p w14:paraId="4A1E7D21" w14:textId="2ECFA39F" w:rsidR="00821CAE" w:rsidRPr="005239BD" w:rsidDel="00D304A9" w:rsidRDefault="00821CAE" w:rsidP="005239BD">
            <w:pPr>
              <w:spacing w:before="120" w:after="120"/>
              <w:ind w:right="0"/>
              <w:rPr>
                <w:b/>
                <w:lang w:val="nb-NO"/>
              </w:rPr>
            </w:pPr>
            <w:r w:rsidRPr="005239BD">
              <w:rPr>
                <w:rFonts w:eastAsia="Times New Roman" w:cs="Times New Roman"/>
                <w:color w:val="000000"/>
                <w:kern w:val="36"/>
                <w:lang w:val="vi-VN"/>
              </w:rPr>
              <w:t xml:space="preserve">3. Thực hiện chế độ thông tin báo cáo thống kê theo quy định của Ngân hàng Nhà nước, yêu cầu của </w:t>
            </w:r>
            <w:r w:rsidRPr="005239BD">
              <w:rPr>
                <w:rFonts w:eastAsia="Times New Roman"/>
                <w:color w:val="000000"/>
                <w:kern w:val="36"/>
                <w:u w:val="single"/>
                <w:lang w:val="vi-VN"/>
              </w:rPr>
              <w:t>Ngân hàng Nhà nước chi nhánh tỉnh, thành phố.</w:t>
            </w:r>
          </w:p>
        </w:tc>
        <w:tc>
          <w:tcPr>
            <w:tcW w:w="5386" w:type="dxa"/>
            <w:vAlign w:val="center"/>
          </w:tcPr>
          <w:p w14:paraId="0EB32F83" w14:textId="2F201E87" w:rsidR="00821CAE" w:rsidRPr="005239BD" w:rsidDel="00544165" w:rsidRDefault="00821CAE" w:rsidP="005239BD">
            <w:pPr>
              <w:spacing w:before="120" w:after="120" w:line="234" w:lineRule="atLeast"/>
              <w:ind w:right="33"/>
              <w:rPr>
                <w:b/>
                <w:lang w:val="nb-NO"/>
              </w:rPr>
            </w:pPr>
            <w:r w:rsidRPr="005239BD">
              <w:rPr>
                <w:rFonts w:eastAsia="Times New Roman"/>
                <w:kern w:val="36"/>
                <w:lang w:val="vi-VN"/>
              </w:rPr>
              <w:t xml:space="preserve">3. </w:t>
            </w:r>
            <w:r w:rsidRPr="00AC5DD8">
              <w:rPr>
                <w:rFonts w:eastAsia="Times New Roman"/>
                <w:kern w:val="36"/>
                <w:lang w:val="nb-NO"/>
              </w:rPr>
              <w:t>Đảm bảo việc t</w:t>
            </w:r>
            <w:r w:rsidRPr="005239BD">
              <w:rPr>
                <w:rFonts w:eastAsia="Times New Roman"/>
                <w:kern w:val="36"/>
                <w:lang w:val="vi-VN"/>
              </w:rPr>
              <w:t>hực hiện chế độ thông tin báo cáo thống kê theo quy định của Ngân hàng Nhà nước</w:t>
            </w:r>
            <w:r w:rsidR="009D317E" w:rsidRPr="00AC5DD8">
              <w:rPr>
                <w:rFonts w:eastAsia="Times New Roman"/>
                <w:kern w:val="36"/>
                <w:lang w:val="nb-NO"/>
              </w:rPr>
              <w:t xml:space="preserve">, yêu cầu của </w:t>
            </w:r>
            <w:r w:rsidR="009D317E" w:rsidRPr="00AC5DD8">
              <w:rPr>
                <w:rFonts w:eastAsia="Times New Roman"/>
                <w:i/>
                <w:kern w:val="36"/>
                <w:lang w:val="nb-NO"/>
              </w:rPr>
              <w:t>Ngân hàng Nhà nước chi nhánh Khu vực</w:t>
            </w:r>
            <w:r w:rsidRPr="005239BD">
              <w:rPr>
                <w:rFonts w:eastAsia="Times New Roman"/>
                <w:i/>
                <w:kern w:val="36"/>
                <w:lang w:val="vi-VN"/>
              </w:rPr>
              <w:t>.</w:t>
            </w:r>
          </w:p>
        </w:tc>
        <w:tc>
          <w:tcPr>
            <w:tcW w:w="3969" w:type="dxa"/>
            <w:vAlign w:val="center"/>
          </w:tcPr>
          <w:p w14:paraId="0B327242" w14:textId="14E96DC8" w:rsidR="00821CAE" w:rsidRPr="005239BD" w:rsidRDefault="009D317E" w:rsidP="005239BD">
            <w:pPr>
              <w:spacing w:before="120"/>
              <w:ind w:right="0"/>
              <w:rPr>
                <w:noProof/>
                <w:lang w:val="nl-NL"/>
              </w:rPr>
            </w:pPr>
            <w:r w:rsidRPr="005239BD">
              <w:rPr>
                <w:noProof/>
                <w:lang w:val="nl-NL"/>
              </w:rPr>
              <w:t xml:space="preserve">Để phù hợp với Nghị định số 26/2025/NĐ-CP và các Quyết định số 301-315/QĐ-NHNN của Thống đốc NHNN quy định về chức năng, nhiệm </w:t>
            </w:r>
            <w:r w:rsidRPr="005239BD">
              <w:rPr>
                <w:noProof/>
                <w:lang w:val="nl-NL"/>
              </w:rPr>
              <w:lastRenderedPageBreak/>
              <w:t>vụ, quyền hạn và cơ cấu tổ chức của các NHNN chi nhánh Khu vực.</w:t>
            </w:r>
          </w:p>
        </w:tc>
      </w:tr>
      <w:tr w:rsidR="00821CAE" w:rsidRPr="00AC5DD8" w14:paraId="405E5535" w14:textId="77777777" w:rsidTr="004141EF">
        <w:tc>
          <w:tcPr>
            <w:tcW w:w="680" w:type="dxa"/>
            <w:vAlign w:val="center"/>
          </w:tcPr>
          <w:p w14:paraId="14CD395E" w14:textId="5055CA0C" w:rsidR="00821CAE" w:rsidRPr="005239BD" w:rsidRDefault="00622FAA" w:rsidP="005239BD">
            <w:pPr>
              <w:spacing w:before="120" w:after="120"/>
              <w:ind w:right="0"/>
              <w:jc w:val="center"/>
              <w:rPr>
                <w:b/>
                <w:iCs/>
                <w:noProof/>
              </w:rPr>
            </w:pPr>
            <w:r>
              <w:rPr>
                <w:b/>
                <w:iCs/>
                <w:noProof/>
              </w:rPr>
              <w:lastRenderedPageBreak/>
              <w:t>5</w:t>
            </w:r>
          </w:p>
        </w:tc>
        <w:tc>
          <w:tcPr>
            <w:tcW w:w="5416" w:type="dxa"/>
            <w:vAlign w:val="center"/>
          </w:tcPr>
          <w:p w14:paraId="201E9674" w14:textId="457A7B49" w:rsidR="00821CAE" w:rsidRPr="005239BD" w:rsidRDefault="00821CAE" w:rsidP="005239BD">
            <w:pPr>
              <w:pBdr>
                <w:top w:val="nil"/>
                <w:left w:val="nil"/>
                <w:bottom w:val="nil"/>
                <w:right w:val="nil"/>
                <w:between w:val="nil"/>
              </w:pBdr>
              <w:tabs>
                <w:tab w:val="left" w:pos="2311"/>
              </w:tabs>
              <w:spacing w:before="120" w:after="120"/>
              <w:ind w:right="0"/>
              <w:jc w:val="left"/>
              <w:rPr>
                <w:b/>
                <w:lang w:val="nb-NO"/>
              </w:rPr>
            </w:pPr>
            <w:r w:rsidRPr="005239BD">
              <w:rPr>
                <w:b/>
                <w:lang w:val="nb-NO"/>
              </w:rPr>
              <w:t>Điều 4. Quy định nội bộ</w:t>
            </w:r>
          </w:p>
        </w:tc>
        <w:tc>
          <w:tcPr>
            <w:tcW w:w="5386" w:type="dxa"/>
            <w:vAlign w:val="center"/>
          </w:tcPr>
          <w:p w14:paraId="507EA8AC" w14:textId="5F30E2BC" w:rsidR="00821CAE" w:rsidRPr="005239BD" w:rsidRDefault="00821CAE" w:rsidP="005239BD">
            <w:pPr>
              <w:pBdr>
                <w:top w:val="nil"/>
                <w:left w:val="nil"/>
                <w:bottom w:val="nil"/>
                <w:right w:val="nil"/>
                <w:between w:val="nil"/>
              </w:pBdr>
              <w:tabs>
                <w:tab w:val="left" w:pos="2311"/>
              </w:tabs>
              <w:spacing w:before="120" w:after="120"/>
              <w:ind w:right="0"/>
              <w:jc w:val="left"/>
              <w:rPr>
                <w:b/>
                <w:lang w:val="nb-NO"/>
              </w:rPr>
            </w:pPr>
            <w:r w:rsidRPr="005239BD">
              <w:rPr>
                <w:b/>
                <w:lang w:val="nb-NO"/>
              </w:rPr>
              <w:t>Điề</w:t>
            </w:r>
            <w:r w:rsidR="00904C4B" w:rsidRPr="005239BD">
              <w:rPr>
                <w:b/>
                <w:lang w:val="nb-NO"/>
              </w:rPr>
              <w:t>u 5</w:t>
            </w:r>
            <w:r w:rsidRPr="005239BD">
              <w:rPr>
                <w:b/>
                <w:lang w:val="nb-NO"/>
              </w:rPr>
              <w:t>. Quy định nội bộ</w:t>
            </w:r>
          </w:p>
        </w:tc>
        <w:tc>
          <w:tcPr>
            <w:tcW w:w="3969" w:type="dxa"/>
            <w:vAlign w:val="center"/>
          </w:tcPr>
          <w:p w14:paraId="2619A1BB" w14:textId="77777777" w:rsidR="00821CAE" w:rsidRPr="005239BD" w:rsidRDefault="00821CAE" w:rsidP="005239BD">
            <w:pPr>
              <w:spacing w:before="120"/>
              <w:ind w:right="0"/>
              <w:rPr>
                <w:noProof/>
                <w:lang w:val="nl-NL"/>
              </w:rPr>
            </w:pPr>
          </w:p>
        </w:tc>
      </w:tr>
      <w:tr w:rsidR="004141EF" w:rsidRPr="00AC5DD8" w14:paraId="017F5288" w14:textId="77777777" w:rsidTr="000651F0">
        <w:tc>
          <w:tcPr>
            <w:tcW w:w="680" w:type="dxa"/>
            <w:vAlign w:val="center"/>
          </w:tcPr>
          <w:p w14:paraId="2A3EB555" w14:textId="06351EFB" w:rsidR="004141EF" w:rsidRPr="005239BD" w:rsidRDefault="00622FAA" w:rsidP="005239BD">
            <w:pPr>
              <w:spacing w:before="120" w:after="120"/>
              <w:ind w:right="0"/>
              <w:jc w:val="center"/>
              <w:rPr>
                <w:iCs/>
                <w:noProof/>
              </w:rPr>
            </w:pPr>
            <w:r>
              <w:rPr>
                <w:iCs/>
                <w:noProof/>
              </w:rPr>
              <w:t>5</w:t>
            </w:r>
            <w:r w:rsidR="004141EF" w:rsidRPr="005239BD">
              <w:rPr>
                <w:iCs/>
                <w:noProof/>
              </w:rPr>
              <w:t>.1</w:t>
            </w:r>
          </w:p>
        </w:tc>
        <w:tc>
          <w:tcPr>
            <w:tcW w:w="5416" w:type="dxa"/>
          </w:tcPr>
          <w:p w14:paraId="42BF4031" w14:textId="35F6F525" w:rsidR="004141EF" w:rsidRPr="005239BD" w:rsidRDefault="004141EF" w:rsidP="005239BD">
            <w:pPr>
              <w:ind w:right="0"/>
              <w:rPr>
                <w:b/>
                <w:lang w:val="nb-NO"/>
              </w:rPr>
            </w:pPr>
            <w:r w:rsidRPr="005239BD">
              <w:rPr>
                <w:rFonts w:eastAsia="Times New Roman" w:cs="Times New Roman"/>
                <w:color w:val="000000"/>
                <w:kern w:val="36"/>
                <w:lang w:val="vi-VN"/>
              </w:rPr>
              <w:t xml:space="preserve">1. Quỹ tín dụng nhân dân phải có quy định nội bộ về quản lý tỷ lệ an toàn vốn </w:t>
            </w:r>
            <w:r w:rsidRPr="004949BD">
              <w:rPr>
                <w:rFonts w:eastAsia="Times New Roman" w:cs="Times New Roman"/>
                <w:color w:val="000000"/>
                <w:kern w:val="36"/>
                <w:u w:val="single"/>
                <w:lang w:val="vi-VN"/>
              </w:rPr>
              <w:t>tối thiểu</w:t>
            </w:r>
            <w:r w:rsidRPr="005239BD">
              <w:rPr>
                <w:rFonts w:eastAsia="Times New Roman" w:cs="Times New Roman"/>
                <w:color w:val="000000"/>
                <w:kern w:val="36"/>
                <w:lang w:val="vi-VN"/>
              </w:rPr>
              <w:t xml:space="preserve">, quản lý thanh khoản (tỷ lệ khả năng chi trả, tỷ lệ </w:t>
            </w:r>
            <w:r w:rsidRPr="001D6C23">
              <w:rPr>
                <w:rFonts w:eastAsia="Times New Roman"/>
                <w:color w:val="000000"/>
                <w:kern w:val="36"/>
                <w:u w:val="single"/>
                <w:lang w:val="vi-VN"/>
              </w:rPr>
              <w:t>tối đa của</w:t>
            </w:r>
            <w:r w:rsidRPr="005239BD">
              <w:rPr>
                <w:rFonts w:eastAsia="Times New Roman" w:cs="Times New Roman"/>
                <w:color w:val="000000"/>
                <w:kern w:val="36"/>
                <w:lang w:val="vi-VN"/>
              </w:rPr>
              <w:t xml:space="preserve"> nguồn vốn ngắn hạn được sử dụng để cho vay trung hạn và dài hạn, tỷ lệ tổng mức nhận tiền gửi so với vốn chủ sở hữu) theo quy định tại Thông tư này và pháp luật có liên quan. Các văn bản quy định nội bộ và các văn bản sửa đổi, bổ sung quy định nội bộ phải do Hội đồng quản trị quỹ tín dụng nhân dân ban hành </w:t>
            </w:r>
            <w:r w:rsidRPr="005239BD">
              <w:rPr>
                <w:rFonts w:eastAsia="Times New Roman" w:cs="Times New Roman"/>
                <w:color w:val="000000"/>
                <w:kern w:val="36"/>
                <w:u w:val="single"/>
                <w:lang w:val="vi-VN"/>
              </w:rPr>
              <w:t>hoặc phê duyệt</w:t>
            </w:r>
            <w:r w:rsidRPr="005239BD">
              <w:rPr>
                <w:rFonts w:eastAsia="Times New Roman" w:cs="Times New Roman"/>
                <w:color w:val="000000"/>
                <w:kern w:val="36"/>
                <w:lang w:val="vi-VN"/>
              </w:rPr>
              <w:t>.</w:t>
            </w:r>
          </w:p>
        </w:tc>
        <w:tc>
          <w:tcPr>
            <w:tcW w:w="5386" w:type="dxa"/>
          </w:tcPr>
          <w:p w14:paraId="3E0E6820" w14:textId="54869C54" w:rsidR="004141EF" w:rsidRPr="005239BD" w:rsidRDefault="004141EF">
            <w:pPr>
              <w:ind w:right="0"/>
              <w:rPr>
                <w:rFonts w:eastAsia="Times New Roman" w:cs="Times New Roman"/>
                <w:color w:val="000000"/>
                <w:kern w:val="36"/>
                <w:lang w:val="vi-VN"/>
              </w:rPr>
            </w:pPr>
            <w:r w:rsidRPr="005239BD">
              <w:rPr>
                <w:rFonts w:eastAsia="Times New Roman" w:cs="Times New Roman"/>
                <w:color w:val="000000"/>
                <w:kern w:val="36"/>
                <w:lang w:val="vi-VN"/>
              </w:rPr>
              <w:t>1. Quỹ tín dụng nhân dân phải có quy định nội bộ về quản lý tỷ lệ an toàn vốn, quản lý thanh khoản (tỷ lệ khả năng chi trả, tỷ lệ nguồn vốn ngắn hạn được sử dụng để cho vay trung hạn và dài hạn, tỷ lệ tổng mức nhận tiền gửi so với vốn chủ sở hữu) theo quy định tại Thông tư này và pháp luật có liên quan. Các văn bản quy định nội bộ và các văn bản sửa đổi, bổ sung quy định nội bộ phải do Hội đồng quản trị quỹ tín dụng nhân dân ban hành.</w:t>
            </w:r>
          </w:p>
        </w:tc>
        <w:tc>
          <w:tcPr>
            <w:tcW w:w="3969" w:type="dxa"/>
          </w:tcPr>
          <w:p w14:paraId="4FE10125" w14:textId="19416C67" w:rsidR="0075563E" w:rsidRPr="00AC5DD8" w:rsidRDefault="00DF509B" w:rsidP="005239BD">
            <w:pPr>
              <w:spacing w:before="120"/>
              <w:ind w:right="0"/>
              <w:rPr>
                <w:noProof/>
                <w:lang w:val="vi-VN"/>
              </w:rPr>
            </w:pPr>
            <w:r w:rsidRPr="00AC5DD8">
              <w:rPr>
                <w:noProof/>
                <w:lang w:val="vi-VN"/>
              </w:rPr>
              <w:t xml:space="preserve">Bỏ cụm từ </w:t>
            </w:r>
            <w:r w:rsidR="00852FBC" w:rsidRPr="00AC5DD8">
              <w:rPr>
                <w:i/>
                <w:noProof/>
                <w:lang w:val="vi-VN"/>
              </w:rPr>
              <w:t>“tối thiểu”,</w:t>
            </w:r>
            <w:r w:rsidR="00673DE9">
              <w:rPr>
                <w:i/>
                <w:noProof/>
              </w:rPr>
              <w:t xml:space="preserve"> “tối đa của”,</w:t>
            </w:r>
            <w:r w:rsidR="00852FBC" w:rsidRPr="00AC5DD8">
              <w:rPr>
                <w:i/>
                <w:noProof/>
                <w:lang w:val="vi-VN"/>
              </w:rPr>
              <w:t xml:space="preserve"> </w:t>
            </w:r>
            <w:r w:rsidRPr="00AC5DD8">
              <w:rPr>
                <w:i/>
                <w:noProof/>
                <w:lang w:val="vi-VN"/>
              </w:rPr>
              <w:t>“</w:t>
            </w:r>
            <w:r w:rsidR="004949BD" w:rsidRPr="00AC5DD8">
              <w:rPr>
                <w:i/>
                <w:noProof/>
                <w:lang w:val="vi-VN"/>
              </w:rPr>
              <w:t xml:space="preserve">hoặc </w:t>
            </w:r>
            <w:r w:rsidRPr="00AC5DD8">
              <w:rPr>
                <w:i/>
                <w:noProof/>
                <w:lang w:val="vi-VN"/>
              </w:rPr>
              <w:t>phê duyệt”</w:t>
            </w:r>
            <w:r w:rsidRPr="00AC5DD8">
              <w:rPr>
                <w:noProof/>
                <w:lang w:val="vi-VN"/>
              </w:rPr>
              <w:t xml:space="preserve">. </w:t>
            </w:r>
          </w:p>
          <w:p w14:paraId="49BD62AD" w14:textId="4A6386EC" w:rsidR="004141EF" w:rsidRPr="00AC5DD8" w:rsidRDefault="00DF509B" w:rsidP="005239BD">
            <w:pPr>
              <w:spacing w:before="120"/>
              <w:ind w:right="0"/>
              <w:rPr>
                <w:noProof/>
                <w:lang w:val="vi-VN"/>
              </w:rPr>
            </w:pPr>
            <w:r w:rsidRPr="00AC5DD8">
              <w:rPr>
                <w:noProof/>
                <w:lang w:val="vi-VN"/>
              </w:rPr>
              <w:t>Lý do:</w:t>
            </w:r>
            <w:r w:rsidR="00CE57B2" w:rsidRPr="00AC5DD8">
              <w:rPr>
                <w:noProof/>
                <w:lang w:val="vi-VN"/>
              </w:rPr>
              <w:t xml:space="preserve"> Để phù hợp với quy định tại </w:t>
            </w:r>
            <w:r w:rsidRPr="00AC5DD8">
              <w:rPr>
                <w:noProof/>
                <w:lang w:val="vi-VN"/>
              </w:rPr>
              <w:t xml:space="preserve">khoản 10 Điều 88 Luật </w:t>
            </w:r>
            <w:r w:rsidR="00F57F2E" w:rsidRPr="00AC5DD8">
              <w:rPr>
                <w:noProof/>
                <w:lang w:val="vi-VN"/>
              </w:rPr>
              <w:t>C</w:t>
            </w:r>
            <w:r w:rsidRPr="00AC5DD8">
              <w:rPr>
                <w:noProof/>
                <w:lang w:val="vi-VN"/>
              </w:rPr>
              <w:t xml:space="preserve">ác TCTD: </w:t>
            </w:r>
            <w:r w:rsidR="00CE57B2" w:rsidRPr="00AC5DD8">
              <w:rPr>
                <w:i/>
                <w:noProof/>
                <w:lang w:val="vi-VN"/>
              </w:rPr>
              <w:t>“</w:t>
            </w:r>
            <w:r w:rsidRPr="00AC5DD8">
              <w:rPr>
                <w:i/>
                <w:noProof/>
                <w:u w:val="single"/>
                <w:lang w:val="vi-VN"/>
              </w:rPr>
              <w:t>Ban hành</w:t>
            </w:r>
            <w:r w:rsidRPr="00AC5DD8">
              <w:rPr>
                <w:i/>
                <w:noProof/>
                <w:lang w:val="vi-VN"/>
              </w:rPr>
              <w:t xml:space="preserve"> quy định nội bộ liên quan đến tổ chức, quản trị và hoạt động của ngân hàng hợp tác xã, quỹ tín dụng nhân dân phù hợp với các quy định của Luật này và quy định khác của pháp luật có liên quan, trừ những nội dung thuộc thẩm quyền của Đại hội thành viên.</w:t>
            </w:r>
            <w:r w:rsidR="00CE57B2" w:rsidRPr="00AC5DD8">
              <w:rPr>
                <w:i/>
                <w:noProof/>
                <w:lang w:val="vi-VN"/>
              </w:rPr>
              <w:t>”</w:t>
            </w:r>
          </w:p>
        </w:tc>
      </w:tr>
      <w:tr w:rsidR="004141EF" w:rsidRPr="00AC5DD8" w14:paraId="1AA5AA00" w14:textId="77777777" w:rsidTr="00AB4BD5">
        <w:tc>
          <w:tcPr>
            <w:tcW w:w="680" w:type="dxa"/>
            <w:vAlign w:val="center"/>
          </w:tcPr>
          <w:p w14:paraId="56E165AA" w14:textId="3EF236E2" w:rsidR="004141EF" w:rsidRPr="005239BD" w:rsidRDefault="00622FAA" w:rsidP="005239BD">
            <w:pPr>
              <w:spacing w:before="120" w:after="120"/>
              <w:ind w:right="0"/>
              <w:jc w:val="center"/>
              <w:rPr>
                <w:iCs/>
                <w:noProof/>
              </w:rPr>
            </w:pPr>
            <w:r>
              <w:rPr>
                <w:iCs/>
                <w:noProof/>
              </w:rPr>
              <w:t>5</w:t>
            </w:r>
            <w:r w:rsidR="004141EF" w:rsidRPr="005239BD">
              <w:rPr>
                <w:iCs/>
                <w:noProof/>
              </w:rPr>
              <w:t>.2</w:t>
            </w:r>
          </w:p>
        </w:tc>
        <w:tc>
          <w:tcPr>
            <w:tcW w:w="5416" w:type="dxa"/>
          </w:tcPr>
          <w:p w14:paraId="3F464417" w14:textId="77777777" w:rsidR="004141EF" w:rsidRPr="005239BD" w:rsidRDefault="004141EF"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 xml:space="preserve">2. Quy định nội bộ </w:t>
            </w:r>
            <w:r w:rsidRPr="006603E6">
              <w:rPr>
                <w:rFonts w:eastAsia="Times New Roman" w:cs="Times New Roman"/>
                <w:color w:val="000000"/>
                <w:kern w:val="36"/>
                <w:u w:val="single"/>
                <w:lang w:val="vi-VN"/>
              </w:rPr>
              <w:t>về tỷ lệ</w:t>
            </w:r>
            <w:r w:rsidRPr="005239BD">
              <w:rPr>
                <w:rFonts w:eastAsia="Times New Roman" w:cs="Times New Roman"/>
                <w:color w:val="000000"/>
                <w:kern w:val="36"/>
                <w:lang w:val="vi-VN"/>
              </w:rPr>
              <w:t xml:space="preserve"> an toàn vốn </w:t>
            </w:r>
            <w:r w:rsidRPr="00AC5DD8">
              <w:rPr>
                <w:rFonts w:eastAsia="Times New Roman"/>
                <w:color w:val="000000"/>
                <w:kern w:val="36"/>
                <w:lang w:val="vi-VN"/>
              </w:rPr>
              <w:t>tối thiểu</w:t>
            </w:r>
            <w:r w:rsidRPr="005239BD">
              <w:rPr>
                <w:rFonts w:eastAsia="Times New Roman" w:cs="Times New Roman"/>
                <w:color w:val="000000"/>
                <w:kern w:val="36"/>
                <w:lang w:val="vi-VN"/>
              </w:rPr>
              <w:t xml:space="preserve"> bao gồm các nội dung chủ yếu sau:</w:t>
            </w:r>
          </w:p>
          <w:p w14:paraId="23A357CC" w14:textId="77777777" w:rsidR="001C5CB0" w:rsidRDefault="001C5CB0" w:rsidP="005239BD">
            <w:pPr>
              <w:spacing w:before="120" w:after="120"/>
              <w:ind w:right="0"/>
              <w:rPr>
                <w:rFonts w:eastAsia="Times New Roman" w:cs="Times New Roman"/>
                <w:color w:val="000000"/>
                <w:kern w:val="36"/>
                <w:lang w:val="vi-VN"/>
              </w:rPr>
            </w:pPr>
          </w:p>
          <w:p w14:paraId="4C6BF7BD" w14:textId="77777777" w:rsidR="001C5CB0" w:rsidRDefault="001C5CB0" w:rsidP="005239BD">
            <w:pPr>
              <w:spacing w:before="120" w:after="120"/>
              <w:ind w:right="0"/>
              <w:rPr>
                <w:rFonts w:eastAsia="Times New Roman" w:cs="Times New Roman"/>
                <w:color w:val="000000"/>
                <w:kern w:val="36"/>
                <w:lang w:val="vi-VN"/>
              </w:rPr>
            </w:pPr>
          </w:p>
          <w:p w14:paraId="650BE433" w14:textId="77777777" w:rsidR="001C5CB0" w:rsidRDefault="001C5CB0" w:rsidP="005239BD">
            <w:pPr>
              <w:spacing w:before="120" w:after="120"/>
              <w:ind w:right="0"/>
              <w:rPr>
                <w:rFonts w:eastAsia="Times New Roman" w:cs="Times New Roman"/>
                <w:color w:val="000000"/>
                <w:kern w:val="36"/>
                <w:lang w:val="vi-VN"/>
              </w:rPr>
            </w:pPr>
          </w:p>
          <w:p w14:paraId="05AF0EE2" w14:textId="77777777" w:rsidR="004141EF" w:rsidRPr="005239BD" w:rsidRDefault="004141EF"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a) Quy trình, phương pháp theo dõi tỷ lệ an toàn vốn;</w:t>
            </w:r>
          </w:p>
          <w:p w14:paraId="27DAB67D" w14:textId="77777777" w:rsidR="004141EF" w:rsidRPr="005239BD" w:rsidRDefault="004141EF"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b) Phương pháp cảnh báo sớm các nguy cơ làm giảm tỷ lệ an toàn vốn;</w:t>
            </w:r>
          </w:p>
          <w:p w14:paraId="143E70DD" w14:textId="77777777" w:rsidR="001C5CB0" w:rsidRDefault="001C5CB0" w:rsidP="005239BD">
            <w:pPr>
              <w:spacing w:before="120" w:after="120"/>
              <w:ind w:right="0"/>
              <w:rPr>
                <w:rFonts w:eastAsia="Times New Roman" w:cs="Times New Roman"/>
                <w:color w:val="000000"/>
                <w:kern w:val="36"/>
                <w:lang w:val="vi-VN"/>
              </w:rPr>
            </w:pPr>
          </w:p>
          <w:p w14:paraId="20060A4B" w14:textId="3262B452" w:rsidR="004141EF" w:rsidRPr="005239BD" w:rsidDel="006C0612" w:rsidRDefault="004141EF" w:rsidP="005239BD">
            <w:pPr>
              <w:spacing w:before="120" w:after="120"/>
              <w:ind w:right="0"/>
              <w:rPr>
                <w:b/>
                <w:lang w:val="nb-NO"/>
              </w:rPr>
            </w:pPr>
            <w:r w:rsidRPr="005239BD">
              <w:rPr>
                <w:rFonts w:eastAsia="Times New Roman" w:cs="Times New Roman"/>
                <w:color w:val="000000"/>
                <w:kern w:val="36"/>
                <w:lang w:val="vi-VN"/>
              </w:rPr>
              <w:t xml:space="preserve">c) Phương án xử lý khi tỷ lệ an toàn vốn thấp hơn mức tối thiểu, ít nhất gồm: các biện pháp tăng tỷ lệ an toàn </w:t>
            </w:r>
            <w:r w:rsidRPr="005239BD">
              <w:rPr>
                <w:rFonts w:eastAsia="Times New Roman" w:cs="Times New Roman"/>
                <w:color w:val="000000"/>
                <w:kern w:val="36"/>
                <w:lang w:val="vi-VN"/>
              </w:rPr>
              <w:lastRenderedPageBreak/>
              <w:t>vốn; trách nhiệm, quyền hạn và sự phối hợp của các bộ phận, cá nhân trong việc thực hiện phương án xử lý.</w:t>
            </w:r>
          </w:p>
        </w:tc>
        <w:tc>
          <w:tcPr>
            <w:tcW w:w="5386" w:type="dxa"/>
            <w:vAlign w:val="center"/>
          </w:tcPr>
          <w:p w14:paraId="6C2CCF37" w14:textId="583586F1" w:rsidR="004141EF" w:rsidRDefault="004141EF" w:rsidP="005239BD">
            <w:pPr>
              <w:spacing w:before="120" w:after="120"/>
              <w:ind w:right="0"/>
              <w:rPr>
                <w:rFonts w:eastAsia="Times New Roman"/>
                <w:kern w:val="36"/>
                <w:lang w:val="vi-VN"/>
              </w:rPr>
            </w:pPr>
            <w:r w:rsidRPr="005239BD">
              <w:rPr>
                <w:rFonts w:eastAsia="Times New Roman"/>
                <w:kern w:val="36"/>
                <w:lang w:val="vi-VN"/>
              </w:rPr>
              <w:lastRenderedPageBreak/>
              <w:t xml:space="preserve">2. Quy định nội bộ </w:t>
            </w:r>
            <w:r w:rsidRPr="006603E6">
              <w:rPr>
                <w:rFonts w:eastAsia="Times New Roman"/>
                <w:i/>
                <w:kern w:val="36"/>
                <w:lang w:val="vi-VN"/>
              </w:rPr>
              <w:t xml:space="preserve">về </w:t>
            </w:r>
            <w:r w:rsidR="006603E6" w:rsidRPr="00AC5DD8">
              <w:rPr>
                <w:rFonts w:eastAsia="Times New Roman"/>
                <w:i/>
                <w:kern w:val="36"/>
                <w:lang w:val="nb-NO"/>
              </w:rPr>
              <w:t xml:space="preserve">quản lý </w:t>
            </w:r>
            <w:r w:rsidRPr="006603E6">
              <w:rPr>
                <w:rFonts w:eastAsia="Times New Roman"/>
                <w:i/>
                <w:kern w:val="36"/>
                <w:lang w:val="vi-VN"/>
              </w:rPr>
              <w:t>tỷ lệ</w:t>
            </w:r>
            <w:r w:rsidRPr="005239BD">
              <w:rPr>
                <w:rFonts w:eastAsia="Times New Roman"/>
                <w:kern w:val="36"/>
                <w:lang w:val="vi-VN"/>
              </w:rPr>
              <w:t xml:space="preserve"> an toàn vốn</w:t>
            </w:r>
            <w:r w:rsidR="00FF2EB5" w:rsidRPr="00AC5DD8">
              <w:rPr>
                <w:rFonts w:eastAsia="Times New Roman"/>
                <w:i/>
                <w:kern w:val="36"/>
                <w:lang w:val="nb-NO"/>
              </w:rPr>
              <w:t>, trong đó</w:t>
            </w:r>
            <w:r w:rsidRPr="00AC5DD8">
              <w:rPr>
                <w:rFonts w:eastAsia="Times New Roman"/>
                <w:i/>
                <w:kern w:val="36"/>
                <w:lang w:val="vi-VN"/>
              </w:rPr>
              <w:t xml:space="preserve"> </w:t>
            </w:r>
            <w:r w:rsidRPr="005239BD">
              <w:rPr>
                <w:rFonts w:eastAsia="Times New Roman"/>
                <w:kern w:val="36"/>
                <w:lang w:val="vi-VN"/>
              </w:rPr>
              <w:t>tối thiểu bao gồm các nội dung sau:</w:t>
            </w:r>
          </w:p>
          <w:p w14:paraId="1E0A07A0" w14:textId="3A6621E6" w:rsidR="00FF2EB5" w:rsidRPr="00AC5DD8" w:rsidRDefault="00FF2EB5" w:rsidP="005239BD">
            <w:pPr>
              <w:spacing w:before="120" w:after="120"/>
              <w:ind w:right="0"/>
              <w:rPr>
                <w:rFonts w:eastAsia="Times New Roman" w:cs="Times New Roman"/>
                <w:i/>
                <w:kern w:val="36"/>
                <w:lang w:val="vi-VN"/>
              </w:rPr>
            </w:pPr>
            <w:r w:rsidRPr="00AC5DD8">
              <w:rPr>
                <w:rFonts w:eastAsia="Times New Roman"/>
                <w:i/>
                <w:kern w:val="36"/>
                <w:lang w:val="vi-VN"/>
              </w:rPr>
              <w:t>a) Quy định về cơ cấu tổ chức, phân cấp, ủy</w:t>
            </w:r>
            <w:r w:rsidR="00133CB9" w:rsidRPr="00AC5DD8">
              <w:rPr>
                <w:rFonts w:eastAsia="Times New Roman"/>
                <w:i/>
                <w:kern w:val="36"/>
                <w:lang w:val="vi-VN"/>
              </w:rPr>
              <w:t xml:space="preserve"> quyền, </w:t>
            </w:r>
            <w:r w:rsidRPr="00AC5DD8">
              <w:rPr>
                <w:rFonts w:eastAsia="Times New Roman"/>
                <w:i/>
                <w:kern w:val="36"/>
                <w:lang w:val="vi-VN"/>
              </w:rPr>
              <w:t>chức năng, nhiệm vụ của các cá nhân, bộ phận liên quan trong việc theo dõi và thực hiện các biện pháp để đảm bảo duy trì tỷ lệ an toàn vốn tối thiểu;</w:t>
            </w:r>
          </w:p>
          <w:p w14:paraId="0E16747C" w14:textId="72AB4298" w:rsidR="004141EF" w:rsidRPr="005239BD" w:rsidRDefault="001566E6" w:rsidP="005239BD">
            <w:pPr>
              <w:spacing w:before="120" w:after="120"/>
              <w:ind w:right="0"/>
              <w:rPr>
                <w:rFonts w:eastAsia="Times New Roman" w:cs="Times New Roman"/>
                <w:kern w:val="36"/>
                <w:lang w:val="vi-VN"/>
              </w:rPr>
            </w:pPr>
            <w:r w:rsidRPr="002541CD">
              <w:rPr>
                <w:rFonts w:eastAsia="Times New Roman"/>
                <w:i/>
                <w:kern w:val="36"/>
                <w:lang w:val="vi-VN"/>
              </w:rPr>
              <w:t>b</w:t>
            </w:r>
            <w:r w:rsidR="004141EF" w:rsidRPr="005239BD">
              <w:rPr>
                <w:rFonts w:eastAsia="Times New Roman"/>
                <w:kern w:val="36"/>
                <w:lang w:val="vi-VN"/>
              </w:rPr>
              <w:t>) Quy trình, phương pháp theo dõi tỷ lệ an toàn vốn;</w:t>
            </w:r>
          </w:p>
          <w:p w14:paraId="0E7F6422" w14:textId="577B309D" w:rsidR="004141EF" w:rsidRPr="005239BD" w:rsidRDefault="000979C6" w:rsidP="005239BD">
            <w:pPr>
              <w:spacing w:before="120" w:after="120"/>
              <w:ind w:right="0"/>
              <w:rPr>
                <w:rFonts w:eastAsia="Times New Roman" w:cs="Times New Roman"/>
                <w:kern w:val="36"/>
                <w:lang w:val="vi-VN"/>
              </w:rPr>
            </w:pPr>
            <w:r w:rsidRPr="002541CD">
              <w:rPr>
                <w:rFonts w:eastAsia="Times New Roman"/>
                <w:i/>
                <w:kern w:val="36"/>
                <w:lang w:val="vi-VN"/>
              </w:rPr>
              <w:t>c</w:t>
            </w:r>
            <w:r w:rsidR="004141EF" w:rsidRPr="005239BD">
              <w:rPr>
                <w:rFonts w:eastAsia="Times New Roman"/>
                <w:kern w:val="36"/>
                <w:lang w:val="vi-VN"/>
              </w:rPr>
              <w:t>) Phương pháp cảnh báo sớm các nguy cơ làm giảm</w:t>
            </w:r>
            <w:r w:rsidRPr="002541CD">
              <w:rPr>
                <w:rFonts w:eastAsia="Times New Roman"/>
                <w:kern w:val="36"/>
                <w:lang w:val="vi-VN"/>
              </w:rPr>
              <w:t xml:space="preserve"> </w:t>
            </w:r>
            <w:r w:rsidR="00791A11">
              <w:rPr>
                <w:rFonts w:eastAsia="Times New Roman"/>
                <w:kern w:val="36"/>
              </w:rPr>
              <w:t xml:space="preserve">tỷ lệ an toàn vốn </w:t>
            </w:r>
            <w:r w:rsidRPr="002541CD">
              <w:rPr>
                <w:rFonts w:eastAsia="Times New Roman"/>
                <w:i/>
                <w:kern w:val="36"/>
                <w:lang w:val="vi-VN"/>
              </w:rPr>
              <w:t>hoặc</w:t>
            </w:r>
            <w:r w:rsidRPr="002541CD">
              <w:rPr>
                <w:rFonts w:eastAsia="Times New Roman"/>
                <w:kern w:val="36"/>
                <w:lang w:val="vi-VN"/>
              </w:rPr>
              <w:t xml:space="preserve"> </w:t>
            </w:r>
            <w:r w:rsidRPr="002541CD">
              <w:rPr>
                <w:rFonts w:eastAsia="Times New Roman"/>
                <w:i/>
                <w:kern w:val="36"/>
                <w:lang w:val="vi-VN"/>
              </w:rPr>
              <w:t xml:space="preserve">vi </w:t>
            </w:r>
            <w:r w:rsidRPr="00791A11">
              <w:rPr>
                <w:rFonts w:eastAsia="Times New Roman"/>
                <w:i/>
                <w:kern w:val="36"/>
                <w:lang w:val="vi-VN"/>
              </w:rPr>
              <w:t>phạm</w:t>
            </w:r>
            <w:r w:rsidR="004141EF" w:rsidRPr="001D6C23">
              <w:rPr>
                <w:rFonts w:eastAsia="Times New Roman"/>
                <w:i/>
                <w:kern w:val="36"/>
                <w:lang w:val="vi-VN"/>
              </w:rPr>
              <w:t xml:space="preserve"> tỷ lệ an toàn vốn</w:t>
            </w:r>
            <w:r w:rsidR="00791A11">
              <w:rPr>
                <w:rFonts w:eastAsia="Times New Roman"/>
                <w:i/>
                <w:kern w:val="36"/>
              </w:rPr>
              <w:t xml:space="preserve"> tối thiểu</w:t>
            </w:r>
            <w:r w:rsidR="004141EF" w:rsidRPr="005239BD">
              <w:rPr>
                <w:rFonts w:eastAsia="Times New Roman"/>
                <w:kern w:val="36"/>
                <w:lang w:val="vi-VN"/>
              </w:rPr>
              <w:t>;</w:t>
            </w:r>
          </w:p>
          <w:p w14:paraId="46019177" w14:textId="33BF1352" w:rsidR="004141EF" w:rsidRDefault="00FA1447" w:rsidP="005239BD">
            <w:pPr>
              <w:spacing w:before="120" w:after="120"/>
              <w:ind w:right="0"/>
              <w:rPr>
                <w:rFonts w:eastAsia="Times New Roman"/>
                <w:kern w:val="36"/>
                <w:lang w:val="vi-VN"/>
              </w:rPr>
            </w:pPr>
            <w:r w:rsidRPr="002541CD">
              <w:rPr>
                <w:rFonts w:eastAsia="Times New Roman"/>
                <w:i/>
                <w:kern w:val="36"/>
                <w:lang w:val="vi-VN"/>
              </w:rPr>
              <w:t>d</w:t>
            </w:r>
            <w:r w:rsidR="004141EF" w:rsidRPr="005239BD">
              <w:rPr>
                <w:rFonts w:eastAsia="Times New Roman"/>
                <w:kern w:val="36"/>
                <w:lang w:val="vi-VN"/>
              </w:rPr>
              <w:t xml:space="preserve">) Phương án xử lý khi tỷ lệ an toàn vốn thấp hơn mức tối thiểu, ít nhất gồm: các biện pháp tăng tỷ lệ an toàn vốn; trách nhiệm, quyền hạn và sự phối hợp của các </w:t>
            </w:r>
            <w:r w:rsidR="004141EF" w:rsidRPr="005239BD">
              <w:rPr>
                <w:rFonts w:eastAsia="Times New Roman"/>
                <w:kern w:val="36"/>
                <w:lang w:val="vi-VN"/>
              </w:rPr>
              <w:lastRenderedPageBreak/>
              <w:t>bộ phận, cá nhân trong việc thực hiện phương án xử lý.</w:t>
            </w:r>
          </w:p>
          <w:p w14:paraId="22C5A96D" w14:textId="7B82F1D9" w:rsidR="00BB345E" w:rsidRPr="002541CD" w:rsidDel="00544165" w:rsidRDefault="00BB345E" w:rsidP="000A7278">
            <w:pPr>
              <w:spacing w:before="120" w:after="120"/>
              <w:ind w:right="0"/>
              <w:rPr>
                <w:b/>
                <w:i/>
                <w:lang w:val="nb-NO"/>
              </w:rPr>
            </w:pPr>
            <w:r w:rsidRPr="002541CD">
              <w:rPr>
                <w:rFonts w:eastAsia="Times New Roman"/>
                <w:i/>
                <w:kern w:val="36"/>
                <w:lang w:val="vi-VN"/>
              </w:rPr>
              <w:t>e) Hướng dẫn, kiểm tra, kiểm soát, kiểm toán nội bộ đối với việc duy trì tỷ lệ an toàn vốn tối thiểu.</w:t>
            </w:r>
          </w:p>
        </w:tc>
        <w:tc>
          <w:tcPr>
            <w:tcW w:w="3969" w:type="dxa"/>
          </w:tcPr>
          <w:p w14:paraId="57DCB1CA" w14:textId="6CD0540D" w:rsidR="004141EF" w:rsidRPr="00AC5DD8" w:rsidRDefault="00133CB9" w:rsidP="000A7278">
            <w:pPr>
              <w:spacing w:before="120"/>
              <w:ind w:right="0"/>
              <w:rPr>
                <w:noProof/>
                <w:lang w:val="nb-NO"/>
              </w:rPr>
            </w:pPr>
            <w:r w:rsidRPr="00AC5DD8">
              <w:rPr>
                <w:noProof/>
                <w:lang w:val="nb-NO"/>
              </w:rPr>
              <w:lastRenderedPageBreak/>
              <w:t xml:space="preserve">- </w:t>
            </w:r>
            <w:r w:rsidR="00527F64" w:rsidRPr="00AC5DD8">
              <w:rPr>
                <w:noProof/>
                <w:lang w:val="nb-NO"/>
              </w:rPr>
              <w:t xml:space="preserve">Bổ sung </w:t>
            </w:r>
            <w:r w:rsidR="0049245E" w:rsidRPr="00AC5DD8">
              <w:rPr>
                <w:noProof/>
                <w:lang w:val="nb-NO"/>
              </w:rPr>
              <w:t>cụm</w:t>
            </w:r>
            <w:r w:rsidR="00527F64" w:rsidRPr="00AC5DD8">
              <w:rPr>
                <w:noProof/>
                <w:lang w:val="nb-NO"/>
              </w:rPr>
              <w:t xml:space="preserve"> từ </w:t>
            </w:r>
            <w:r w:rsidR="00527F64" w:rsidRPr="00AC5DD8">
              <w:rPr>
                <w:i/>
                <w:noProof/>
                <w:lang w:val="nb-NO"/>
              </w:rPr>
              <w:t>“quản lý”</w:t>
            </w:r>
            <w:r w:rsidR="00527F64" w:rsidRPr="00AC5DD8">
              <w:rPr>
                <w:noProof/>
                <w:lang w:val="nb-NO"/>
              </w:rPr>
              <w:t xml:space="preserve"> </w:t>
            </w:r>
            <w:r w:rsidR="006603E6" w:rsidRPr="00AC5DD8">
              <w:rPr>
                <w:noProof/>
                <w:lang w:val="nb-NO"/>
              </w:rPr>
              <w:t>cho phù hợp với quy định tại khoản 1 Điều này.</w:t>
            </w:r>
            <w:r w:rsidR="004141EF" w:rsidRPr="00AC5DD8">
              <w:rPr>
                <w:noProof/>
                <w:lang w:val="nb-NO"/>
              </w:rPr>
              <w:t xml:space="preserve"> </w:t>
            </w:r>
            <w:r w:rsidR="00FF2EB5" w:rsidRPr="00AC5DD8">
              <w:rPr>
                <w:noProof/>
                <w:lang w:val="nb-NO"/>
              </w:rPr>
              <w:t xml:space="preserve">Bổ sung cụm từ </w:t>
            </w:r>
            <w:r w:rsidR="00FF2EB5" w:rsidRPr="00AC5DD8">
              <w:rPr>
                <w:i/>
                <w:noProof/>
                <w:lang w:val="nb-NO"/>
              </w:rPr>
              <w:t>“trong đó”</w:t>
            </w:r>
            <w:r w:rsidR="00FF2EB5" w:rsidRPr="00AC5DD8">
              <w:rPr>
                <w:noProof/>
                <w:lang w:val="nb-NO"/>
              </w:rPr>
              <w:t xml:space="preserve"> để quy định rõ việc QTDND phải ban hành quy định nội bộ về “quản lý tỷ lệ an toàn vốn”.</w:t>
            </w:r>
          </w:p>
          <w:p w14:paraId="5586EF23" w14:textId="74DB2774" w:rsidR="007E6025" w:rsidRPr="00AC5DD8" w:rsidRDefault="007E6025">
            <w:pPr>
              <w:spacing w:before="120"/>
              <w:ind w:right="0"/>
              <w:rPr>
                <w:noProof/>
                <w:lang w:val="nb-NO"/>
              </w:rPr>
            </w:pPr>
            <w:r w:rsidRPr="00AC5DD8">
              <w:rPr>
                <w:noProof/>
                <w:lang w:val="nb-NO"/>
              </w:rPr>
              <w:t xml:space="preserve">- Bỏ cụm từ </w:t>
            </w:r>
            <w:r w:rsidRPr="00AC5DD8">
              <w:rPr>
                <w:i/>
                <w:noProof/>
                <w:lang w:val="nb-NO"/>
              </w:rPr>
              <w:t>“chủ yếu”</w:t>
            </w:r>
            <w:r w:rsidRPr="00AC5DD8">
              <w:rPr>
                <w:noProof/>
                <w:lang w:val="nb-NO"/>
              </w:rPr>
              <w:t xml:space="preserve"> do không cần thiết.</w:t>
            </w:r>
          </w:p>
          <w:p w14:paraId="407736B2" w14:textId="5E01B6E5" w:rsidR="001566E6" w:rsidRPr="00AC5DD8" w:rsidRDefault="001566E6">
            <w:pPr>
              <w:spacing w:before="120"/>
              <w:ind w:right="0"/>
              <w:rPr>
                <w:noProof/>
                <w:lang w:val="nb-NO"/>
              </w:rPr>
            </w:pPr>
            <w:r w:rsidRPr="00AC5DD8">
              <w:rPr>
                <w:noProof/>
                <w:lang w:val="nb-NO"/>
              </w:rPr>
              <w:t xml:space="preserve">- </w:t>
            </w:r>
            <w:r w:rsidR="006570D7" w:rsidRPr="00AC5DD8">
              <w:rPr>
                <w:noProof/>
                <w:lang w:val="nb-NO"/>
              </w:rPr>
              <w:t>Điểm</w:t>
            </w:r>
            <w:r w:rsidRPr="00AC5DD8">
              <w:rPr>
                <w:noProof/>
                <w:lang w:val="nb-NO"/>
              </w:rPr>
              <w:t xml:space="preserve"> a: Bổ sung quy định về việc quy định nội bộ về quản lý tỷ lệ an toàn vốn tối thiểu phải có nội dung về cơ cấu tổ chức, phân công nhiệm vụ cụ thể cho các cá nhân, bộ phận để quản lý.</w:t>
            </w:r>
          </w:p>
          <w:p w14:paraId="536CDE50" w14:textId="54237D49" w:rsidR="000979C6" w:rsidRPr="00AC5DD8" w:rsidRDefault="000979C6">
            <w:pPr>
              <w:spacing w:before="120"/>
              <w:ind w:right="0"/>
              <w:rPr>
                <w:noProof/>
                <w:lang w:val="nb-NO"/>
              </w:rPr>
            </w:pPr>
            <w:r w:rsidRPr="00AC5DD8">
              <w:rPr>
                <w:noProof/>
                <w:lang w:val="nb-NO"/>
              </w:rPr>
              <w:lastRenderedPageBreak/>
              <w:t xml:space="preserve">- </w:t>
            </w:r>
            <w:r w:rsidR="006570D7" w:rsidRPr="00AC5DD8">
              <w:rPr>
                <w:noProof/>
                <w:lang w:val="nb-NO"/>
              </w:rPr>
              <w:t>Điểm</w:t>
            </w:r>
            <w:r w:rsidRPr="00AC5DD8">
              <w:rPr>
                <w:noProof/>
                <w:lang w:val="nb-NO"/>
              </w:rPr>
              <w:t xml:space="preserve"> </w:t>
            </w:r>
            <w:r w:rsidR="00AC6EFA" w:rsidRPr="00AC5DD8">
              <w:rPr>
                <w:noProof/>
                <w:lang w:val="nb-NO"/>
              </w:rPr>
              <w:t>c</w:t>
            </w:r>
            <w:r w:rsidRPr="00AC5DD8">
              <w:rPr>
                <w:noProof/>
                <w:lang w:val="nb-NO"/>
              </w:rPr>
              <w:t>: Bên cạnh việc cảnh báo sớm nguy cơ giảm</w:t>
            </w:r>
            <w:r w:rsidR="0078254E">
              <w:rPr>
                <w:noProof/>
                <w:lang w:val="nb-NO"/>
              </w:rPr>
              <w:t xml:space="preserve">, bổ sung cụm từ </w:t>
            </w:r>
            <w:r w:rsidR="0078254E" w:rsidRPr="005A502B">
              <w:rPr>
                <w:i/>
                <w:noProof/>
                <w:lang w:val="nb-NO"/>
              </w:rPr>
              <w:t xml:space="preserve">"hoặc </w:t>
            </w:r>
            <w:r w:rsidRPr="005A502B">
              <w:rPr>
                <w:i/>
                <w:noProof/>
                <w:lang w:val="nb-NO"/>
              </w:rPr>
              <w:t>vi phạm</w:t>
            </w:r>
            <w:r w:rsidR="00C24A3F">
              <w:rPr>
                <w:i/>
                <w:noProof/>
                <w:lang w:val="nb-NO"/>
              </w:rPr>
              <w:t xml:space="preserve"> tỷ lệ an toàn vốn tối thiểu</w:t>
            </w:r>
            <w:r w:rsidR="0078254E" w:rsidRPr="005A502B">
              <w:rPr>
                <w:i/>
                <w:noProof/>
                <w:lang w:val="nb-NO"/>
              </w:rPr>
              <w:t>"</w:t>
            </w:r>
            <w:r w:rsidRPr="00AC5DD8">
              <w:rPr>
                <w:noProof/>
                <w:lang w:val="nb-NO"/>
              </w:rPr>
              <w:t xml:space="preserve"> </w:t>
            </w:r>
            <w:r w:rsidR="0078254E">
              <w:rPr>
                <w:noProof/>
                <w:lang w:val="nb-NO"/>
              </w:rPr>
              <w:t>cho đầy đủ</w:t>
            </w:r>
            <w:r w:rsidRPr="00AC5DD8">
              <w:rPr>
                <w:noProof/>
                <w:lang w:val="nb-NO"/>
              </w:rPr>
              <w:t>.</w:t>
            </w:r>
          </w:p>
          <w:p w14:paraId="14018DB2" w14:textId="5ECCFD89" w:rsidR="00FE2118" w:rsidRPr="005239BD" w:rsidDel="00D304A9" w:rsidRDefault="00FE2118">
            <w:pPr>
              <w:spacing w:before="120"/>
              <w:ind w:right="0"/>
              <w:rPr>
                <w:noProof/>
                <w:lang w:val="nl-NL"/>
              </w:rPr>
            </w:pPr>
            <w:r w:rsidRPr="00AC5DD8">
              <w:rPr>
                <w:noProof/>
                <w:lang w:val="nb-NO"/>
              </w:rPr>
              <w:t>- Điểm e: Bổ sung điểm e cho tương đồng với quy định tại điểm e khoản 3 Điều này.</w:t>
            </w:r>
          </w:p>
        </w:tc>
      </w:tr>
      <w:tr w:rsidR="004141EF" w:rsidRPr="005239BD" w14:paraId="0FF842ED" w14:textId="77777777" w:rsidTr="00AB4BD5">
        <w:tc>
          <w:tcPr>
            <w:tcW w:w="680" w:type="dxa"/>
            <w:vAlign w:val="center"/>
          </w:tcPr>
          <w:p w14:paraId="4E296387" w14:textId="0C548733" w:rsidR="004141EF" w:rsidRPr="005239BD" w:rsidRDefault="00622FAA" w:rsidP="005239BD">
            <w:pPr>
              <w:spacing w:before="120" w:after="120"/>
              <w:ind w:right="0"/>
              <w:jc w:val="center"/>
              <w:rPr>
                <w:iCs/>
                <w:noProof/>
              </w:rPr>
            </w:pPr>
            <w:r>
              <w:rPr>
                <w:iCs/>
                <w:noProof/>
              </w:rPr>
              <w:lastRenderedPageBreak/>
              <w:t>5</w:t>
            </w:r>
            <w:r w:rsidR="004141EF" w:rsidRPr="005239BD">
              <w:rPr>
                <w:iCs/>
                <w:noProof/>
              </w:rPr>
              <w:t>.3</w:t>
            </w:r>
          </w:p>
        </w:tc>
        <w:tc>
          <w:tcPr>
            <w:tcW w:w="5416" w:type="dxa"/>
          </w:tcPr>
          <w:p w14:paraId="51103DE3" w14:textId="77777777" w:rsidR="004141EF" w:rsidRPr="005239BD" w:rsidRDefault="004141EF"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3. Quy định nội bộ về quản lý thanh khoản tối thiểu gồm các nội dung sau:</w:t>
            </w:r>
          </w:p>
          <w:p w14:paraId="77230401" w14:textId="77777777" w:rsidR="004141EF" w:rsidRPr="005239BD" w:rsidRDefault="004141EF"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 xml:space="preserve">a) Quy định về việc phân cấp, ủy quyền, chức năng, nhiệm vụ của các cá nhân, bộ phận liên quan trong việc theo dõi và thực hiện các biện pháp để đảm bảo duy trì tỷ lệ khả năng chi trả, tỷ lệ </w:t>
            </w:r>
            <w:r w:rsidRPr="001D6C23">
              <w:rPr>
                <w:rFonts w:eastAsia="Times New Roman"/>
                <w:color w:val="000000"/>
                <w:kern w:val="36"/>
                <w:u w:val="single"/>
                <w:lang w:val="vi-VN"/>
              </w:rPr>
              <w:t>tối đa của</w:t>
            </w:r>
            <w:r w:rsidRPr="005239BD">
              <w:rPr>
                <w:rFonts w:eastAsia="Times New Roman" w:cs="Times New Roman"/>
                <w:color w:val="000000"/>
                <w:kern w:val="36"/>
                <w:lang w:val="vi-VN"/>
              </w:rPr>
              <w:t xml:space="preserve"> nguồn vốn ngắn hạn được sử dụng để cho vay trung hạn và dài hạn; tỷ lệ tổng mức nhận tiền gửi so với vốn chủ sở hữu;</w:t>
            </w:r>
          </w:p>
          <w:p w14:paraId="155D92B3" w14:textId="77777777" w:rsidR="004141EF" w:rsidRPr="005239BD" w:rsidRDefault="004141EF"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 xml:space="preserve">b) Quy trình, thủ tục, các giới hạn quản lý thanh khoản </w:t>
            </w:r>
            <w:r w:rsidRPr="00143BF7">
              <w:rPr>
                <w:rFonts w:eastAsia="Times New Roman"/>
                <w:color w:val="000000"/>
                <w:kern w:val="36"/>
                <w:u w:val="single"/>
                <w:lang w:val="vi-VN"/>
              </w:rPr>
              <w:t>và phương án dự phòng</w:t>
            </w:r>
            <w:r w:rsidRPr="005239BD">
              <w:rPr>
                <w:rFonts w:eastAsia="Times New Roman" w:cs="Times New Roman"/>
                <w:color w:val="000000"/>
                <w:kern w:val="36"/>
                <w:lang w:val="vi-VN"/>
              </w:rPr>
              <w:t xml:space="preserve"> để đảm bảo duy trì tỷ lệ khả năng chi trả, tỷ lệ </w:t>
            </w:r>
            <w:r w:rsidRPr="001D6C23">
              <w:rPr>
                <w:rFonts w:eastAsia="Times New Roman"/>
                <w:color w:val="000000"/>
                <w:kern w:val="36"/>
                <w:u w:val="single"/>
                <w:lang w:val="vi-VN"/>
              </w:rPr>
              <w:t>tối đa của</w:t>
            </w:r>
            <w:r w:rsidRPr="005239BD">
              <w:rPr>
                <w:rFonts w:eastAsia="Times New Roman" w:cs="Times New Roman"/>
                <w:color w:val="000000"/>
                <w:kern w:val="36"/>
                <w:lang w:val="vi-VN"/>
              </w:rPr>
              <w:t xml:space="preserve"> nguồn vốn ngắn hạn được sử dụng để cho vay trung hạn và dài hạn, tỷ lệ tổng mức nhận tiền gửi so với vốn chủ sở hữu </w:t>
            </w:r>
            <w:r w:rsidRPr="00143BF7">
              <w:rPr>
                <w:rFonts w:eastAsia="Times New Roman"/>
                <w:color w:val="000000"/>
                <w:kern w:val="36"/>
                <w:u w:val="single"/>
                <w:lang w:val="vi-VN"/>
              </w:rPr>
              <w:t>theo quy định tại Thông tư này</w:t>
            </w:r>
            <w:r w:rsidRPr="005239BD">
              <w:rPr>
                <w:rFonts w:eastAsia="Times New Roman" w:cs="Times New Roman"/>
                <w:color w:val="000000"/>
                <w:kern w:val="36"/>
                <w:lang w:val="vi-VN"/>
              </w:rPr>
              <w:t>;</w:t>
            </w:r>
          </w:p>
          <w:p w14:paraId="41D1AC14" w14:textId="77777777" w:rsidR="004141EF" w:rsidRPr="005239BD" w:rsidRDefault="004141EF"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 xml:space="preserve">c) </w:t>
            </w:r>
            <w:r w:rsidRPr="00143BF7">
              <w:rPr>
                <w:rFonts w:eastAsia="Times New Roman"/>
                <w:color w:val="000000"/>
                <w:kern w:val="36"/>
                <w:u w:val="single"/>
                <w:lang w:val="vi-VN"/>
              </w:rPr>
              <w:t>Các</w:t>
            </w:r>
            <w:r w:rsidRPr="005239BD">
              <w:rPr>
                <w:rFonts w:eastAsia="Times New Roman" w:cs="Times New Roman"/>
                <w:color w:val="000000"/>
                <w:kern w:val="36"/>
                <w:lang w:val="vi-VN"/>
              </w:rPr>
              <w:t xml:space="preserve"> quy định về quản lý ngân quỹ, thu, chi, nguồn vốn hằng ngày;</w:t>
            </w:r>
          </w:p>
          <w:p w14:paraId="23C346F2" w14:textId="77777777" w:rsidR="004141EF" w:rsidRPr="005239BD" w:rsidRDefault="004141EF"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 xml:space="preserve">d) </w:t>
            </w:r>
            <w:r w:rsidRPr="00143BF7">
              <w:rPr>
                <w:rFonts w:eastAsia="Times New Roman"/>
                <w:color w:val="000000"/>
                <w:kern w:val="36"/>
                <w:u w:val="single"/>
                <w:lang w:val="vi-VN"/>
              </w:rPr>
              <w:t>Các tiêu chí</w:t>
            </w:r>
            <w:r w:rsidRPr="005239BD">
              <w:rPr>
                <w:rFonts w:eastAsia="Times New Roman" w:cs="Times New Roman"/>
                <w:color w:val="000000"/>
                <w:kern w:val="36"/>
                <w:lang w:val="vi-VN"/>
              </w:rPr>
              <w:t xml:space="preserve"> cảnh báo sớm về rủi ro thiếu hụt khả năng chi trả, thanh khoản </w:t>
            </w:r>
            <w:r w:rsidRPr="00143BF7">
              <w:rPr>
                <w:rFonts w:eastAsia="Times New Roman"/>
                <w:color w:val="000000"/>
                <w:kern w:val="36"/>
                <w:u w:val="single"/>
                <w:lang w:val="vi-VN"/>
              </w:rPr>
              <w:t>và các phương án xử lý</w:t>
            </w:r>
            <w:r w:rsidRPr="005239BD">
              <w:rPr>
                <w:rFonts w:eastAsia="Times New Roman" w:cs="Times New Roman"/>
                <w:color w:val="000000"/>
                <w:kern w:val="36"/>
                <w:lang w:val="vi-VN"/>
              </w:rPr>
              <w:t>;</w:t>
            </w:r>
          </w:p>
          <w:p w14:paraId="158576ED" w14:textId="77777777" w:rsidR="004141EF" w:rsidRPr="005239BD" w:rsidRDefault="004141EF"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 xml:space="preserve">đ) Có giải pháp duy trì Tài sản “Có” có thể thanh toán ngay </w:t>
            </w:r>
            <w:r w:rsidRPr="005239BD">
              <w:rPr>
                <w:rFonts w:eastAsia="Times New Roman" w:cs="Times New Roman"/>
                <w:color w:val="000000"/>
                <w:kern w:val="36"/>
                <w:u w:val="single"/>
                <w:lang w:val="vi-VN"/>
              </w:rPr>
              <w:t>như tăng vốn điều lệ, tăng trích lập các quỹ, giảm hệ số rủi ro của Tài sản “Có”</w:t>
            </w:r>
            <w:r w:rsidRPr="005239BD">
              <w:rPr>
                <w:rFonts w:eastAsia="Times New Roman" w:cs="Times New Roman"/>
                <w:color w:val="000000"/>
                <w:kern w:val="36"/>
                <w:lang w:val="vi-VN"/>
              </w:rPr>
              <w:t>;</w:t>
            </w:r>
          </w:p>
          <w:p w14:paraId="24DBFE8C" w14:textId="1D64C6CF" w:rsidR="004141EF" w:rsidRPr="005239BD" w:rsidDel="006C0612" w:rsidRDefault="004141EF" w:rsidP="005239BD">
            <w:pPr>
              <w:spacing w:before="120" w:after="120"/>
              <w:ind w:right="0"/>
              <w:rPr>
                <w:b/>
                <w:lang w:val="nb-NO"/>
              </w:rPr>
            </w:pPr>
            <w:r w:rsidRPr="005239BD">
              <w:rPr>
                <w:rFonts w:eastAsia="Times New Roman" w:cs="Times New Roman"/>
                <w:color w:val="000000"/>
                <w:kern w:val="36"/>
                <w:lang w:val="vi-VN"/>
              </w:rPr>
              <w:lastRenderedPageBreak/>
              <w:t xml:space="preserve">e) Hướng dẫn, kiểm tra, kiểm soát, kiểm toán nội bộ đối với việc duy trì tỷ lệ khả năng chi trả, tỷ lệ tổng mức nhận tiền gửi so với vốn chủ sở hữu, tỷ lệ </w:t>
            </w:r>
            <w:r w:rsidRPr="001D6C23">
              <w:rPr>
                <w:rFonts w:eastAsia="Times New Roman"/>
                <w:color w:val="000000"/>
                <w:kern w:val="36"/>
                <w:u w:val="single"/>
                <w:lang w:val="vi-VN"/>
              </w:rPr>
              <w:t>tối đa của</w:t>
            </w:r>
            <w:r w:rsidRPr="005239BD">
              <w:rPr>
                <w:rFonts w:eastAsia="Times New Roman" w:cs="Times New Roman"/>
                <w:color w:val="000000"/>
                <w:kern w:val="36"/>
                <w:lang w:val="vi-VN"/>
              </w:rPr>
              <w:t xml:space="preserve"> nguồn vốn ngắn hạn được sử dụng cho vay trung và dài hạn, tỷ lệ tổng mức tiền gửi so với vốn chủ sở hữu.</w:t>
            </w:r>
          </w:p>
        </w:tc>
        <w:tc>
          <w:tcPr>
            <w:tcW w:w="5386" w:type="dxa"/>
            <w:vAlign w:val="center"/>
          </w:tcPr>
          <w:p w14:paraId="59EA3E0E" w14:textId="1A888839" w:rsidR="004141EF" w:rsidRPr="005239BD" w:rsidRDefault="004141EF" w:rsidP="005239BD">
            <w:pPr>
              <w:spacing w:before="120" w:after="120"/>
              <w:ind w:right="0"/>
              <w:rPr>
                <w:rFonts w:eastAsia="Times New Roman" w:cs="Times New Roman"/>
                <w:kern w:val="36"/>
                <w:lang w:val="vi-VN"/>
              </w:rPr>
            </w:pPr>
            <w:r w:rsidRPr="005239BD">
              <w:rPr>
                <w:rFonts w:eastAsia="Times New Roman"/>
                <w:kern w:val="36"/>
                <w:lang w:val="vi-VN"/>
              </w:rPr>
              <w:lastRenderedPageBreak/>
              <w:t>3. Quy định nội bộ về quản lý thanh khoản</w:t>
            </w:r>
            <w:r w:rsidR="007E6025" w:rsidRPr="00143BF7">
              <w:rPr>
                <w:rFonts w:eastAsia="Times New Roman"/>
                <w:kern w:val="36"/>
                <w:lang w:val="nb-NO"/>
              </w:rPr>
              <w:t xml:space="preserve">, </w:t>
            </w:r>
            <w:r w:rsidR="007E6025" w:rsidRPr="00143BF7">
              <w:rPr>
                <w:rFonts w:eastAsia="Times New Roman"/>
                <w:i/>
                <w:kern w:val="36"/>
                <w:lang w:val="nb-NO"/>
              </w:rPr>
              <w:t>trong đó</w:t>
            </w:r>
            <w:r w:rsidRPr="005239BD">
              <w:rPr>
                <w:rFonts w:eastAsia="Times New Roman"/>
                <w:kern w:val="36"/>
                <w:lang w:val="vi-VN"/>
              </w:rPr>
              <w:t xml:space="preserve"> tối thiểu gồm các nội dung sau:</w:t>
            </w:r>
          </w:p>
          <w:p w14:paraId="0A5B8178" w14:textId="708A42CB" w:rsidR="004141EF" w:rsidRPr="005239BD" w:rsidRDefault="004141EF" w:rsidP="005239BD">
            <w:pPr>
              <w:spacing w:before="120" w:after="120"/>
              <w:ind w:right="0"/>
              <w:rPr>
                <w:rFonts w:eastAsia="Times New Roman" w:cs="Times New Roman"/>
                <w:kern w:val="36"/>
                <w:lang w:val="vi-VN"/>
              </w:rPr>
            </w:pPr>
            <w:r w:rsidRPr="005239BD">
              <w:rPr>
                <w:rFonts w:eastAsia="Times New Roman"/>
                <w:kern w:val="36"/>
                <w:lang w:val="vi-VN"/>
              </w:rPr>
              <w:t xml:space="preserve">a) Quy định về </w:t>
            </w:r>
            <w:r w:rsidR="002A7247" w:rsidRPr="00143BF7">
              <w:rPr>
                <w:rFonts w:eastAsia="Times New Roman"/>
                <w:i/>
                <w:kern w:val="36"/>
                <w:lang w:val="vi-VN"/>
              </w:rPr>
              <w:t>cơ cấu tổ chức</w:t>
            </w:r>
            <w:r w:rsidR="002A7247">
              <w:rPr>
                <w:rFonts w:eastAsia="Times New Roman"/>
                <w:kern w:val="36"/>
                <w:lang w:val="vi-VN"/>
              </w:rPr>
              <w:t xml:space="preserve">, </w:t>
            </w:r>
            <w:r w:rsidRPr="005239BD">
              <w:rPr>
                <w:rFonts w:eastAsia="Times New Roman"/>
                <w:kern w:val="36"/>
                <w:lang w:val="vi-VN"/>
              </w:rPr>
              <w:t>phân cấp, ủy quyền, chức năng, nhiệm vụ của các cá nhân, bộ phận liên quan trong việc theo dõi và thực hiện các biện pháp để đảm bảo duy trì tỷ lệ khả năng chi trả, tỷ lệ nguồn vốn ngắn hạn được sử dụng để cho vay trung hạn và dài hạn</w:t>
            </w:r>
            <w:r w:rsidR="00321486" w:rsidRPr="00143BF7">
              <w:rPr>
                <w:rFonts w:eastAsia="Times New Roman"/>
                <w:kern w:val="36"/>
                <w:lang w:val="vi-VN"/>
              </w:rPr>
              <w:t>,</w:t>
            </w:r>
            <w:r w:rsidRPr="005239BD">
              <w:rPr>
                <w:rFonts w:eastAsia="Times New Roman"/>
                <w:kern w:val="36"/>
                <w:lang w:val="vi-VN"/>
              </w:rPr>
              <w:t xml:space="preserve"> tỷ lệ tổng mức nhận tiền gửi so với vốn chủ sở hữu;</w:t>
            </w:r>
          </w:p>
          <w:p w14:paraId="73829F06" w14:textId="03314775" w:rsidR="004141EF" w:rsidRPr="005239BD" w:rsidRDefault="004141EF" w:rsidP="005239BD">
            <w:pPr>
              <w:spacing w:before="120" w:after="120"/>
              <w:ind w:right="0"/>
              <w:rPr>
                <w:rFonts w:eastAsia="Times New Roman" w:cs="Times New Roman"/>
                <w:kern w:val="36"/>
                <w:lang w:val="vi-VN"/>
              </w:rPr>
            </w:pPr>
            <w:r w:rsidRPr="005239BD">
              <w:rPr>
                <w:rFonts w:eastAsia="Times New Roman"/>
                <w:kern w:val="36"/>
                <w:lang w:val="vi-VN"/>
              </w:rPr>
              <w:t>b) Quy trình, thủ tục, các giới hạn quản lý thanh khoản để đảm bảo duy trì tỷ lệ khả năng chi trả, tỷ lệ nguồn vốn ngắn hạn được sử dụng để cho vay trung hạn và dài hạn, tỷ lệ tổng mức nhận tiền gửi so với vốn chủ sở hữu;</w:t>
            </w:r>
          </w:p>
          <w:p w14:paraId="751B9F7D" w14:textId="247C3BC6" w:rsidR="004141EF" w:rsidRPr="005239BD" w:rsidRDefault="004141EF" w:rsidP="005239BD">
            <w:pPr>
              <w:spacing w:before="120" w:after="120"/>
              <w:ind w:right="0"/>
              <w:rPr>
                <w:rFonts w:eastAsia="Times New Roman" w:cs="Times New Roman"/>
                <w:kern w:val="36"/>
                <w:lang w:val="vi-VN"/>
              </w:rPr>
            </w:pPr>
            <w:r w:rsidRPr="005239BD">
              <w:rPr>
                <w:rFonts w:eastAsia="Times New Roman"/>
                <w:kern w:val="36"/>
                <w:lang w:val="vi-VN"/>
              </w:rPr>
              <w:t xml:space="preserve">c) </w:t>
            </w:r>
            <w:r w:rsidR="00022C3C" w:rsidRPr="00143BF7">
              <w:rPr>
                <w:rFonts w:eastAsia="Times New Roman"/>
                <w:kern w:val="36"/>
                <w:lang w:val="vi-VN"/>
              </w:rPr>
              <w:t>Q</w:t>
            </w:r>
            <w:r w:rsidRPr="005239BD">
              <w:rPr>
                <w:rFonts w:eastAsia="Times New Roman"/>
                <w:kern w:val="36"/>
                <w:lang w:val="vi-VN"/>
              </w:rPr>
              <w:t>uy định về quản lý ngân quỹ, thu, chi, nguồn vốn hằng ngày;</w:t>
            </w:r>
          </w:p>
          <w:p w14:paraId="3FC2776B" w14:textId="06F2ECF3" w:rsidR="004141EF" w:rsidRPr="005239BD" w:rsidRDefault="004141EF" w:rsidP="005239BD">
            <w:pPr>
              <w:spacing w:before="120" w:after="120"/>
              <w:ind w:right="0"/>
              <w:rPr>
                <w:rFonts w:eastAsia="Times New Roman" w:cs="Times New Roman"/>
                <w:kern w:val="36"/>
                <w:lang w:val="vi-VN"/>
              </w:rPr>
            </w:pPr>
            <w:r w:rsidRPr="005239BD">
              <w:rPr>
                <w:rFonts w:eastAsia="Times New Roman"/>
                <w:kern w:val="36"/>
                <w:lang w:val="vi-VN"/>
              </w:rPr>
              <w:t xml:space="preserve">d) </w:t>
            </w:r>
            <w:r w:rsidR="00022C3C" w:rsidRPr="00143BF7">
              <w:rPr>
                <w:rFonts w:eastAsia="Times New Roman"/>
                <w:i/>
                <w:kern w:val="36"/>
                <w:lang w:val="vi-VN"/>
              </w:rPr>
              <w:t xml:space="preserve">Phương pháp </w:t>
            </w:r>
            <w:r w:rsidRPr="005239BD">
              <w:rPr>
                <w:rFonts w:eastAsia="Times New Roman"/>
                <w:kern w:val="36"/>
                <w:lang w:val="vi-VN"/>
              </w:rPr>
              <w:t>cảnh báo sớm về rủi ro thiếu hụt khả năng chi trả, thanh khoản;</w:t>
            </w:r>
          </w:p>
          <w:p w14:paraId="226C2B33" w14:textId="148F0196" w:rsidR="004141EF" w:rsidRPr="005239BD" w:rsidRDefault="004141EF" w:rsidP="005239BD">
            <w:pPr>
              <w:spacing w:before="120" w:after="120"/>
              <w:ind w:right="0"/>
              <w:rPr>
                <w:rFonts w:eastAsia="Times New Roman" w:cs="Times New Roman"/>
                <w:kern w:val="36"/>
                <w:lang w:val="vi-VN"/>
              </w:rPr>
            </w:pPr>
            <w:r w:rsidRPr="005239BD">
              <w:rPr>
                <w:rFonts w:eastAsia="Times New Roman"/>
                <w:kern w:val="36"/>
                <w:lang w:val="vi-VN"/>
              </w:rPr>
              <w:t xml:space="preserve">đ) </w:t>
            </w:r>
            <w:r w:rsidRPr="00143BF7">
              <w:rPr>
                <w:rFonts w:eastAsia="Times New Roman"/>
                <w:i/>
                <w:kern w:val="36"/>
                <w:lang w:val="vi-VN"/>
              </w:rPr>
              <w:t xml:space="preserve">Có </w:t>
            </w:r>
            <w:r w:rsidR="003509FA" w:rsidRPr="00143BF7">
              <w:rPr>
                <w:rFonts w:eastAsia="Times New Roman"/>
                <w:i/>
                <w:kern w:val="36"/>
                <w:lang w:val="vi-VN"/>
              </w:rPr>
              <w:t xml:space="preserve">phương án dự phòng để đảm bảo duy trì tỷ lệ khả năng chi trả, tỷ lệ nguồn vốn ngắn hạn được sử dụng để cho vay trung hạn và dài hạn, tỷ lệ tổng mức nhận tiền gửi so với vốn chủ sở hữu; Có phương án xử </w:t>
            </w:r>
            <w:r w:rsidR="003509FA" w:rsidRPr="00143BF7">
              <w:rPr>
                <w:rFonts w:eastAsia="Times New Roman"/>
                <w:i/>
                <w:kern w:val="36"/>
                <w:lang w:val="vi-VN"/>
              </w:rPr>
              <w:lastRenderedPageBreak/>
              <w:t xml:space="preserve">lý trong trường hợp thiếu hụt khả năng chi trả, thanh khoản; </w:t>
            </w:r>
            <w:r w:rsidR="003509FA" w:rsidRPr="00143BF7">
              <w:rPr>
                <w:rFonts w:eastAsia="Times New Roman"/>
                <w:kern w:val="36"/>
                <w:lang w:val="vi-VN"/>
              </w:rPr>
              <w:t xml:space="preserve">Có </w:t>
            </w:r>
            <w:r w:rsidRPr="005239BD">
              <w:rPr>
                <w:rFonts w:eastAsia="Times New Roman"/>
                <w:kern w:val="36"/>
                <w:lang w:val="vi-VN"/>
              </w:rPr>
              <w:t>giải pháp duy trì Tài sản “Có” có thể thanh toán ngay;</w:t>
            </w:r>
          </w:p>
          <w:p w14:paraId="26C105CC" w14:textId="4D3CA62B" w:rsidR="004141EF" w:rsidRPr="005239BD" w:rsidDel="00544165" w:rsidRDefault="004141EF">
            <w:pPr>
              <w:spacing w:before="120" w:after="120"/>
              <w:ind w:right="0"/>
              <w:rPr>
                <w:b/>
                <w:lang w:val="nb-NO"/>
              </w:rPr>
            </w:pPr>
            <w:r w:rsidRPr="005239BD">
              <w:rPr>
                <w:rFonts w:eastAsia="Times New Roman"/>
                <w:kern w:val="36"/>
                <w:lang w:val="vi-VN"/>
              </w:rPr>
              <w:t>e) Hướng dẫn, kiểm tra, kiểm soát, kiểm toán nội bộ đối với việc duy trì tỷ lệ khả năng chi trả, tỷ lệ nguồn vốn ngắn hạn được sử dụng cho vay trung và dài hạn, tỷ lệ tổng mức tiền gửi so với vốn chủ sở hữu.</w:t>
            </w:r>
          </w:p>
        </w:tc>
        <w:tc>
          <w:tcPr>
            <w:tcW w:w="3969" w:type="dxa"/>
          </w:tcPr>
          <w:p w14:paraId="53EC4458" w14:textId="39B72E41" w:rsidR="004141EF" w:rsidRDefault="007E6025" w:rsidP="005239BD">
            <w:pPr>
              <w:spacing w:before="120"/>
              <w:ind w:right="0"/>
              <w:rPr>
                <w:noProof/>
                <w:lang w:val="nl-NL"/>
              </w:rPr>
            </w:pPr>
            <w:r>
              <w:rPr>
                <w:noProof/>
                <w:lang w:val="nl-NL"/>
              </w:rPr>
              <w:lastRenderedPageBreak/>
              <w:t>-</w:t>
            </w:r>
            <w:r w:rsidR="00104E17">
              <w:rPr>
                <w:noProof/>
                <w:lang w:val="nl-NL"/>
              </w:rPr>
              <w:t xml:space="preserve"> Bổ sung cụm từ </w:t>
            </w:r>
            <w:r w:rsidR="00104E17" w:rsidRPr="002541CD">
              <w:rPr>
                <w:i/>
                <w:noProof/>
                <w:lang w:val="nl-NL"/>
              </w:rPr>
              <w:t>“trong đó”</w:t>
            </w:r>
            <w:r w:rsidR="00104E17">
              <w:rPr>
                <w:noProof/>
                <w:lang w:val="nl-NL"/>
              </w:rPr>
              <w:t xml:space="preserve"> cho rõ ràng</w:t>
            </w:r>
            <w:r w:rsidR="007C59DC">
              <w:rPr>
                <w:noProof/>
                <w:lang w:val="nl-NL"/>
              </w:rPr>
              <w:t xml:space="preserve"> hơn</w:t>
            </w:r>
            <w:r w:rsidR="00104E17">
              <w:rPr>
                <w:noProof/>
                <w:lang w:val="nl-NL"/>
              </w:rPr>
              <w:t>.</w:t>
            </w:r>
          </w:p>
          <w:p w14:paraId="2355DCF2" w14:textId="2FA27261" w:rsidR="00006AA8" w:rsidRPr="005239BD" w:rsidRDefault="00006AA8" w:rsidP="005239BD">
            <w:pPr>
              <w:spacing w:before="120"/>
              <w:ind w:right="0"/>
              <w:rPr>
                <w:noProof/>
                <w:lang w:val="nl-NL"/>
              </w:rPr>
            </w:pPr>
            <w:r>
              <w:rPr>
                <w:noProof/>
                <w:lang w:val="nl-NL"/>
              </w:rPr>
              <w:t xml:space="preserve">- Bỏ cụm từ </w:t>
            </w:r>
            <w:r w:rsidRPr="002541CD">
              <w:rPr>
                <w:i/>
                <w:noProof/>
                <w:lang w:val="nl-NL"/>
              </w:rPr>
              <w:t>“</w:t>
            </w:r>
            <w:r>
              <w:rPr>
                <w:i/>
                <w:noProof/>
                <w:lang w:val="nl-NL"/>
              </w:rPr>
              <w:t xml:space="preserve">tối đa của” </w:t>
            </w:r>
            <w:r w:rsidRPr="001D6C23">
              <w:rPr>
                <w:noProof/>
                <w:lang w:val="nl-NL"/>
              </w:rPr>
              <w:t>tại các điểm a, b, e khoản 3</w:t>
            </w:r>
            <w:r>
              <w:rPr>
                <w:noProof/>
                <w:lang w:val="nl-NL"/>
              </w:rPr>
              <w:t xml:space="preserve"> cho rõ ràng hơn.</w:t>
            </w:r>
          </w:p>
          <w:p w14:paraId="2A06BE8F" w14:textId="5E117A45" w:rsidR="00A05B16" w:rsidRDefault="002A7247" w:rsidP="005239BD">
            <w:pPr>
              <w:spacing w:before="120"/>
              <w:ind w:right="0"/>
              <w:rPr>
                <w:noProof/>
                <w:lang w:val="nl-NL"/>
              </w:rPr>
            </w:pPr>
            <w:r>
              <w:rPr>
                <w:noProof/>
                <w:lang w:val="nl-NL"/>
              </w:rPr>
              <w:t xml:space="preserve">- Điểm a: Bổ sung cụm từ </w:t>
            </w:r>
            <w:r w:rsidRPr="002541CD">
              <w:rPr>
                <w:i/>
                <w:noProof/>
                <w:lang w:val="nl-NL"/>
              </w:rPr>
              <w:t>“cơ cấu tổ chức”</w:t>
            </w:r>
            <w:r>
              <w:rPr>
                <w:noProof/>
                <w:lang w:val="nl-NL"/>
              </w:rPr>
              <w:t xml:space="preserve"> cho rõ ràng, tương đồng với quy định tại điểm a khoản 2 Điều này.</w:t>
            </w:r>
          </w:p>
          <w:p w14:paraId="1E349631" w14:textId="34F02F39" w:rsidR="00D207D8" w:rsidRPr="00143BF7" w:rsidRDefault="00D207D8" w:rsidP="005239BD">
            <w:pPr>
              <w:spacing w:before="120"/>
              <w:ind w:right="0"/>
              <w:rPr>
                <w:rFonts w:eastAsia="Times New Roman"/>
                <w:kern w:val="36"/>
                <w:lang w:val="nl-NL"/>
              </w:rPr>
            </w:pPr>
            <w:r>
              <w:rPr>
                <w:noProof/>
                <w:lang w:val="nl-NL"/>
              </w:rPr>
              <w:t xml:space="preserve">- Điểm b: Bỏ cụm từ </w:t>
            </w:r>
            <w:r w:rsidRPr="002541CD">
              <w:rPr>
                <w:i/>
                <w:noProof/>
                <w:lang w:val="nl-NL"/>
              </w:rPr>
              <w:t>“</w:t>
            </w:r>
            <w:r w:rsidRPr="002541CD">
              <w:rPr>
                <w:rFonts w:eastAsia="Times New Roman"/>
                <w:i/>
                <w:kern w:val="36"/>
                <w:lang w:val="vi-VN"/>
              </w:rPr>
              <w:t>và phương án dự phòng</w:t>
            </w:r>
            <w:r w:rsidRPr="002541CD">
              <w:rPr>
                <w:rFonts w:eastAsia="Times New Roman"/>
                <w:i/>
                <w:kern w:val="36"/>
                <w:lang w:val="nl-NL"/>
              </w:rPr>
              <w:t>”</w:t>
            </w:r>
            <w:r w:rsidRPr="002541CD">
              <w:rPr>
                <w:rFonts w:eastAsia="Times New Roman"/>
                <w:kern w:val="36"/>
                <w:lang w:val="nl-NL"/>
              </w:rPr>
              <w:t xml:space="preserve"> và đưa xuống điểm </w:t>
            </w:r>
            <w:r w:rsidR="00DA2D42" w:rsidRPr="002541CD">
              <w:rPr>
                <w:rFonts w:eastAsia="Times New Roman"/>
                <w:kern w:val="36"/>
                <w:lang w:val="nl-NL"/>
              </w:rPr>
              <w:t>đ</w:t>
            </w:r>
            <w:r w:rsidRPr="002541CD">
              <w:rPr>
                <w:rFonts w:eastAsia="Times New Roman"/>
                <w:kern w:val="36"/>
                <w:lang w:val="nl-NL"/>
              </w:rPr>
              <w:t xml:space="preserve"> khoản 3 Điều này. Bỏ cụm từ </w:t>
            </w:r>
            <w:r w:rsidRPr="00143BF7">
              <w:rPr>
                <w:rFonts w:eastAsia="Times New Roman"/>
                <w:i/>
                <w:kern w:val="36"/>
                <w:lang w:val="nl-NL"/>
              </w:rPr>
              <w:t>“</w:t>
            </w:r>
            <w:r w:rsidRPr="00143BF7">
              <w:rPr>
                <w:rFonts w:eastAsia="Times New Roman"/>
                <w:i/>
                <w:kern w:val="36"/>
                <w:lang w:val="vi-VN"/>
              </w:rPr>
              <w:t>theo quy định tại Thông tư này</w:t>
            </w:r>
            <w:r w:rsidRPr="00143BF7">
              <w:rPr>
                <w:rFonts w:eastAsia="Times New Roman"/>
                <w:i/>
                <w:kern w:val="36"/>
                <w:lang w:val="nl-NL"/>
              </w:rPr>
              <w:t>”</w:t>
            </w:r>
            <w:r w:rsidRPr="00143BF7">
              <w:rPr>
                <w:rFonts w:eastAsia="Times New Roman"/>
                <w:kern w:val="36"/>
                <w:lang w:val="nl-NL"/>
              </w:rPr>
              <w:t xml:space="preserve"> vì không cần thiết và cho thống nhất với các nội dung quy định tương tự.</w:t>
            </w:r>
          </w:p>
          <w:p w14:paraId="2F0E9269" w14:textId="6B2AF2C1" w:rsidR="00022C3C" w:rsidRPr="00143BF7" w:rsidRDefault="00022C3C" w:rsidP="005239BD">
            <w:pPr>
              <w:spacing w:before="120"/>
              <w:ind w:right="0"/>
              <w:rPr>
                <w:rFonts w:eastAsia="Times New Roman"/>
                <w:kern w:val="36"/>
                <w:lang w:val="nl-NL"/>
              </w:rPr>
            </w:pPr>
            <w:r w:rsidRPr="00143BF7">
              <w:rPr>
                <w:rFonts w:eastAsia="Times New Roman"/>
                <w:kern w:val="36"/>
                <w:lang w:val="nl-NL"/>
              </w:rPr>
              <w:t xml:space="preserve">- Điểm c: Bỏ cụm từ </w:t>
            </w:r>
            <w:r w:rsidRPr="00143BF7">
              <w:rPr>
                <w:rFonts w:eastAsia="Times New Roman"/>
                <w:i/>
                <w:kern w:val="36"/>
                <w:lang w:val="nl-NL"/>
              </w:rPr>
              <w:t>“các”</w:t>
            </w:r>
            <w:r w:rsidRPr="00143BF7">
              <w:rPr>
                <w:rFonts w:eastAsia="Times New Roman"/>
                <w:kern w:val="36"/>
                <w:lang w:val="nl-NL"/>
              </w:rPr>
              <w:t xml:space="preserve"> do không cần thiết.</w:t>
            </w:r>
          </w:p>
          <w:p w14:paraId="04D897A4" w14:textId="3500EBCD" w:rsidR="00022C3C" w:rsidRPr="00AC5DD8" w:rsidRDefault="00022C3C" w:rsidP="005239BD">
            <w:pPr>
              <w:spacing w:before="120"/>
              <w:ind w:right="0"/>
              <w:rPr>
                <w:noProof/>
                <w:lang w:val="nl-NL"/>
              </w:rPr>
            </w:pPr>
            <w:r w:rsidRPr="00143BF7">
              <w:rPr>
                <w:rFonts w:eastAsia="Times New Roman"/>
                <w:kern w:val="36"/>
                <w:lang w:val="nl-NL"/>
              </w:rPr>
              <w:t xml:space="preserve">- Điểm d: Sửa cụm từ </w:t>
            </w:r>
            <w:r w:rsidRPr="00143BF7">
              <w:rPr>
                <w:rFonts w:eastAsia="Times New Roman"/>
                <w:i/>
                <w:kern w:val="36"/>
                <w:lang w:val="nl-NL"/>
              </w:rPr>
              <w:t>“các tiêu chí”</w:t>
            </w:r>
            <w:r w:rsidRPr="00143BF7">
              <w:rPr>
                <w:rFonts w:eastAsia="Times New Roman"/>
                <w:kern w:val="36"/>
                <w:lang w:val="nl-NL"/>
              </w:rPr>
              <w:t xml:space="preserve"> thành </w:t>
            </w:r>
            <w:r w:rsidRPr="00143BF7">
              <w:rPr>
                <w:rFonts w:eastAsia="Times New Roman"/>
                <w:i/>
                <w:kern w:val="36"/>
                <w:lang w:val="nl-NL"/>
              </w:rPr>
              <w:t>“phương pháp”</w:t>
            </w:r>
            <w:r w:rsidRPr="00143BF7">
              <w:rPr>
                <w:rFonts w:eastAsia="Times New Roman"/>
                <w:kern w:val="36"/>
                <w:lang w:val="nl-NL"/>
              </w:rPr>
              <w:t xml:space="preserve"> cho thống nhất với quy định tại điểm c khoản 2 Điều này.</w:t>
            </w:r>
            <w:r w:rsidR="00DA2D42">
              <w:rPr>
                <w:noProof/>
                <w:lang w:val="nl-NL"/>
              </w:rPr>
              <w:t xml:space="preserve"> Bỏ cụm từ </w:t>
            </w:r>
            <w:r w:rsidR="00DA2D42" w:rsidRPr="002E6873">
              <w:rPr>
                <w:i/>
                <w:noProof/>
                <w:lang w:val="nl-NL"/>
              </w:rPr>
              <w:t>“</w:t>
            </w:r>
            <w:r w:rsidR="00DA2D42" w:rsidRPr="002E6873">
              <w:rPr>
                <w:rFonts w:eastAsia="Times New Roman"/>
                <w:i/>
                <w:kern w:val="36"/>
                <w:lang w:val="vi-VN"/>
              </w:rPr>
              <w:t xml:space="preserve">và phương án </w:t>
            </w:r>
            <w:r w:rsidR="00DA2D42" w:rsidRPr="00143BF7">
              <w:rPr>
                <w:rFonts w:eastAsia="Times New Roman"/>
                <w:i/>
                <w:kern w:val="36"/>
                <w:lang w:val="nl-NL"/>
              </w:rPr>
              <w:t>xử lý”</w:t>
            </w:r>
            <w:r w:rsidR="00DA2D42" w:rsidRPr="00143BF7">
              <w:rPr>
                <w:rFonts w:eastAsia="Times New Roman"/>
                <w:kern w:val="36"/>
                <w:lang w:val="nl-NL"/>
              </w:rPr>
              <w:t xml:space="preserve"> và đưa xuống điểm đ khoản 3 Điều này.</w:t>
            </w:r>
          </w:p>
          <w:p w14:paraId="56081AC8" w14:textId="21D35F7C" w:rsidR="00A05B16" w:rsidRPr="005239BD" w:rsidDel="00D304A9" w:rsidRDefault="003509FA" w:rsidP="005239BD">
            <w:pPr>
              <w:spacing w:before="120"/>
              <w:ind w:right="0"/>
              <w:rPr>
                <w:noProof/>
                <w:lang w:val="nl-NL"/>
              </w:rPr>
            </w:pPr>
            <w:r>
              <w:rPr>
                <w:noProof/>
                <w:lang w:val="nl-NL"/>
              </w:rPr>
              <w:t xml:space="preserve">- Điểm đ: </w:t>
            </w:r>
            <w:r w:rsidR="00DA2D42">
              <w:rPr>
                <w:noProof/>
                <w:lang w:val="nl-NL"/>
              </w:rPr>
              <w:t xml:space="preserve">Cơ cấu lại nội dung điểm đ theo hướng QTDND phải xây dựng </w:t>
            </w:r>
            <w:r w:rsidR="00DA2D42">
              <w:rPr>
                <w:noProof/>
                <w:lang w:val="nl-NL"/>
              </w:rPr>
              <w:lastRenderedPageBreak/>
              <w:t>phương án dự phòng, phương án xử lý và giải pháp duy trì tài sản “Có”</w:t>
            </w:r>
            <w:r w:rsidR="0066631A">
              <w:rPr>
                <w:noProof/>
                <w:lang w:val="nl-NL"/>
              </w:rPr>
              <w:t xml:space="preserve"> trong quản lý thanh khoản.</w:t>
            </w:r>
            <w:r w:rsidR="00B659A6">
              <w:rPr>
                <w:noProof/>
                <w:lang w:val="nl-NL"/>
              </w:rPr>
              <w:t xml:space="preserve"> </w:t>
            </w:r>
            <w:r w:rsidR="00A05B16" w:rsidRPr="005239BD">
              <w:rPr>
                <w:noProof/>
                <w:lang w:val="nl-NL"/>
              </w:rPr>
              <w:t xml:space="preserve">Bỏ cụm từ </w:t>
            </w:r>
            <w:r w:rsidR="00A05B16" w:rsidRPr="005239BD">
              <w:rPr>
                <w:i/>
                <w:noProof/>
                <w:lang w:val="nl-NL"/>
              </w:rPr>
              <w:t>“như tăng vốn điều lệ, tăng trích lập các quỹ, giảm hệ số rủi ro của Tài sản “Có””</w:t>
            </w:r>
            <w:r w:rsidR="00D105AD" w:rsidRPr="005239BD">
              <w:rPr>
                <w:i/>
                <w:noProof/>
                <w:lang w:val="nl-NL"/>
              </w:rPr>
              <w:t xml:space="preserve">. </w:t>
            </w:r>
            <w:r w:rsidR="00D105AD" w:rsidRPr="005239BD">
              <w:rPr>
                <w:noProof/>
                <w:lang w:val="nl-NL"/>
              </w:rPr>
              <w:t>Lý do: tránh tình trạng liệt kê không đủ.</w:t>
            </w:r>
          </w:p>
        </w:tc>
      </w:tr>
      <w:tr w:rsidR="004141EF" w:rsidRPr="00AC5DD8" w14:paraId="6D7036C0" w14:textId="77777777" w:rsidTr="00B931DE">
        <w:tc>
          <w:tcPr>
            <w:tcW w:w="680" w:type="dxa"/>
            <w:vAlign w:val="center"/>
          </w:tcPr>
          <w:p w14:paraId="421B115C" w14:textId="4502D51D" w:rsidR="004141EF" w:rsidRPr="005239BD" w:rsidDel="00FF3058" w:rsidRDefault="00622FAA" w:rsidP="005239BD">
            <w:pPr>
              <w:spacing w:before="120" w:after="120"/>
              <w:ind w:right="0"/>
              <w:jc w:val="center"/>
              <w:rPr>
                <w:iCs/>
                <w:noProof/>
              </w:rPr>
            </w:pPr>
            <w:r>
              <w:rPr>
                <w:iCs/>
                <w:noProof/>
              </w:rPr>
              <w:lastRenderedPageBreak/>
              <w:t>5</w:t>
            </w:r>
            <w:r w:rsidR="004141EF" w:rsidRPr="005239BD">
              <w:rPr>
                <w:iCs/>
                <w:noProof/>
              </w:rPr>
              <w:t>.4</w:t>
            </w:r>
          </w:p>
        </w:tc>
        <w:tc>
          <w:tcPr>
            <w:tcW w:w="5416" w:type="dxa"/>
          </w:tcPr>
          <w:p w14:paraId="176B1A7D" w14:textId="77777777" w:rsidR="004141EF" w:rsidRPr="005239BD" w:rsidRDefault="004141EF"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4. Quy định nội bộ về cho vay, quản lý khoản cho vay theo quy định tại Thông tư này và các văn bản có liên quan, trong đó tối thiểu phải có nội dung sau:</w:t>
            </w:r>
          </w:p>
          <w:p w14:paraId="02E3EE3A" w14:textId="77777777" w:rsidR="004141EF" w:rsidRPr="005239BD" w:rsidRDefault="004141EF"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 xml:space="preserve">a) Tiêu chí xác định khách hàng, người có liên quan với khách hàng của quỹ tín dụng nhân dân bao gồm trường hợp quy định tại các điểm b, c, đ và g khoản 24 Điều 4 Luật Các tổ chức tín dụng </w:t>
            </w:r>
            <w:r w:rsidRPr="005239BD">
              <w:rPr>
                <w:rFonts w:eastAsia="Times New Roman"/>
                <w:color w:val="000000"/>
                <w:kern w:val="36"/>
                <w:u w:val="single"/>
                <w:lang w:val="vi-VN"/>
              </w:rPr>
              <w:t>2024</w:t>
            </w:r>
            <w:r w:rsidRPr="005239BD">
              <w:rPr>
                <w:rFonts w:eastAsia="Times New Roman" w:cs="Times New Roman"/>
                <w:color w:val="000000"/>
                <w:kern w:val="36"/>
                <w:lang w:val="vi-VN"/>
              </w:rPr>
              <w:t>; khách hàng cá nhân với vợ, chồng; cha mẹ đẻ, cha mẹ nuôi, cha dượng, mẹ kế, cha mẹ vợ, cha mẹ chồng; con đẻ, con nuôi, con riêng của vợ hoặc chồng, con dâu, con rể; anh, chị, em cùng cha mẹ; anh, chị, em cùng cha khác mẹ; anh, chị, em cùng mẹ khác cha; anh vợ, chị vợ, em vợ, anh chồng, chị chồng, em chồng, anh rể, em rể, chị dâu, em dâu của người cùng cha mẹ hoặc cùng cha khác mẹ, cùng mẹ khác cha của khách hàng đó;</w:t>
            </w:r>
          </w:p>
          <w:p w14:paraId="7D36DF1D" w14:textId="77777777" w:rsidR="004141EF" w:rsidRPr="005239BD" w:rsidRDefault="004141EF"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b) Các hạn chế, giới hạn cho vay áp dụng đối với khách hàng, khách hàng và người có liên quan, cơ chế, nguyên tắc phân cấp, ủy quyền cho vay đối với khách hàng, khách hàng và người có liên quan;</w:t>
            </w:r>
          </w:p>
          <w:p w14:paraId="3D1A56A5" w14:textId="77777777" w:rsidR="004141EF" w:rsidRPr="005239BD" w:rsidRDefault="004141EF"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 xml:space="preserve">c) Giới hạn cho vay tối đa trong tổng dư nợ cho vay đối với từng loại khách hàng là thành viên, khách hàng </w:t>
            </w:r>
            <w:r w:rsidRPr="005239BD">
              <w:rPr>
                <w:rFonts w:eastAsia="Times New Roman" w:cs="Times New Roman"/>
                <w:color w:val="000000"/>
                <w:kern w:val="36"/>
                <w:lang w:val="vi-VN"/>
              </w:rPr>
              <w:lastRenderedPageBreak/>
              <w:t>không phải là thành viên và khách hàng là thành viên của hộ nghèo của quỹ tín dụng nhân dân;</w:t>
            </w:r>
          </w:p>
          <w:p w14:paraId="367AD321" w14:textId="77777777" w:rsidR="004141EF" w:rsidRPr="005239BD" w:rsidRDefault="004141EF"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d) Quy trình theo dõi đối với các khoản cho vay vượt quá 5% vốn tự có của quỹ tín dụng nhân dân;</w:t>
            </w:r>
          </w:p>
          <w:p w14:paraId="2375BF2E" w14:textId="7FD31010" w:rsidR="004141EF" w:rsidRPr="005239BD" w:rsidRDefault="004141EF" w:rsidP="005239BD">
            <w:pPr>
              <w:spacing w:before="120" w:after="120"/>
              <w:ind w:right="0"/>
              <w:rPr>
                <w:b/>
                <w:lang w:val="nb-NO"/>
              </w:rPr>
            </w:pPr>
            <w:r w:rsidRPr="005239BD">
              <w:rPr>
                <w:rFonts w:eastAsia="Times New Roman" w:cs="Times New Roman"/>
                <w:color w:val="000000"/>
                <w:kern w:val="36"/>
                <w:lang w:val="vi-VN"/>
              </w:rPr>
              <w:t xml:space="preserve">đ) Quy định về việc báo cáo </w:t>
            </w:r>
            <w:r w:rsidRPr="005239BD">
              <w:rPr>
                <w:rFonts w:eastAsia="Times New Roman"/>
                <w:color w:val="000000"/>
                <w:kern w:val="36"/>
                <w:u w:val="single"/>
                <w:lang w:val="vi-VN"/>
              </w:rPr>
              <w:t>Ngân hàng nhà nước chi nhánh tỉnh, thành phố</w:t>
            </w:r>
            <w:r w:rsidRPr="005239BD">
              <w:rPr>
                <w:rFonts w:eastAsia="Times New Roman" w:cs="Times New Roman"/>
                <w:color w:val="000000"/>
                <w:kern w:val="36"/>
                <w:lang w:val="vi-VN"/>
              </w:rPr>
              <w:t xml:space="preserve">, Đại hội thành viên đối với các khoản cho vay thuộc đối tượng quy định tại khoản 1 Điều 135 Luật Các tổ chức tín dụng </w:t>
            </w:r>
            <w:r w:rsidRPr="005239BD">
              <w:rPr>
                <w:rFonts w:eastAsia="Times New Roman"/>
                <w:color w:val="000000"/>
                <w:kern w:val="36"/>
                <w:u w:val="single"/>
                <w:lang w:val="vi-VN"/>
              </w:rPr>
              <w:t>2024.</w:t>
            </w:r>
          </w:p>
        </w:tc>
        <w:tc>
          <w:tcPr>
            <w:tcW w:w="5386" w:type="dxa"/>
            <w:vAlign w:val="center"/>
          </w:tcPr>
          <w:p w14:paraId="5A635416" w14:textId="77777777" w:rsidR="004141EF" w:rsidRPr="005239BD" w:rsidRDefault="004141EF" w:rsidP="005239BD">
            <w:pPr>
              <w:spacing w:before="120" w:after="120"/>
              <w:ind w:right="0"/>
              <w:rPr>
                <w:rFonts w:eastAsia="Times New Roman" w:cs="Times New Roman"/>
                <w:kern w:val="36"/>
                <w:lang w:val="vi-VN"/>
              </w:rPr>
            </w:pPr>
            <w:r w:rsidRPr="005239BD">
              <w:rPr>
                <w:rFonts w:eastAsia="Times New Roman"/>
                <w:kern w:val="36"/>
                <w:lang w:val="vi-VN"/>
              </w:rPr>
              <w:lastRenderedPageBreak/>
              <w:t>4. Quy định nội bộ về cho vay, quản lý khoản cho vay theo quy định tại Thông tư này và các văn bản có liên quan, trong đó tối thiểu phải có nội dung sau:</w:t>
            </w:r>
          </w:p>
          <w:p w14:paraId="78D58A61" w14:textId="77777777" w:rsidR="00B659A6" w:rsidRDefault="004141EF" w:rsidP="005239BD">
            <w:pPr>
              <w:spacing w:before="120" w:after="120"/>
              <w:ind w:right="0"/>
              <w:rPr>
                <w:rFonts w:eastAsia="Times New Roman"/>
                <w:kern w:val="36"/>
              </w:rPr>
            </w:pPr>
            <w:r w:rsidRPr="005239BD">
              <w:rPr>
                <w:rFonts w:eastAsia="Times New Roman"/>
                <w:kern w:val="36"/>
                <w:lang w:val="vi-VN"/>
              </w:rPr>
              <w:t>a) Tiêu chí xác định khách hàng, người có liên quan với khách hàng của quỹ tín dụng nhân dân bao gồm</w:t>
            </w:r>
            <w:r w:rsidR="00B659A6">
              <w:rPr>
                <w:rFonts w:eastAsia="Times New Roman"/>
                <w:kern w:val="36"/>
              </w:rPr>
              <w:t>:</w:t>
            </w:r>
          </w:p>
          <w:p w14:paraId="2EC5D24D" w14:textId="77777777" w:rsidR="00B659A6" w:rsidRDefault="00B659A6" w:rsidP="005239BD">
            <w:pPr>
              <w:spacing w:before="120" w:after="120"/>
              <w:ind w:right="0"/>
              <w:rPr>
                <w:rFonts w:eastAsia="Times New Roman"/>
                <w:kern w:val="36"/>
                <w:lang w:val="vi-VN"/>
              </w:rPr>
            </w:pPr>
            <w:r>
              <w:rPr>
                <w:rFonts w:eastAsia="Times New Roman"/>
                <w:kern w:val="36"/>
              </w:rPr>
              <w:t>- Các</w:t>
            </w:r>
            <w:r w:rsidR="004141EF" w:rsidRPr="005239BD">
              <w:rPr>
                <w:rFonts w:eastAsia="Times New Roman"/>
                <w:kern w:val="36"/>
                <w:lang w:val="vi-VN"/>
              </w:rPr>
              <w:t xml:space="preserve"> trường hợp quy định tại các điểm b, c, đ và g khoản 24 Điều 4 Luật Các tổ chức tín dụng; </w:t>
            </w:r>
          </w:p>
          <w:p w14:paraId="2F9DABDB" w14:textId="18B694CD" w:rsidR="004141EF" w:rsidRPr="005239BD" w:rsidRDefault="00B659A6" w:rsidP="005239BD">
            <w:pPr>
              <w:spacing w:before="120" w:after="120"/>
              <w:ind w:right="0"/>
              <w:rPr>
                <w:rFonts w:eastAsia="Times New Roman" w:cs="Times New Roman"/>
                <w:kern w:val="36"/>
                <w:lang w:val="vi-VN"/>
              </w:rPr>
            </w:pPr>
            <w:r>
              <w:rPr>
                <w:rFonts w:eastAsia="Times New Roman"/>
                <w:kern w:val="36"/>
              </w:rPr>
              <w:t>- K</w:t>
            </w:r>
            <w:r w:rsidR="004141EF" w:rsidRPr="005239BD">
              <w:rPr>
                <w:rFonts w:eastAsia="Times New Roman"/>
                <w:kern w:val="36"/>
                <w:lang w:val="vi-VN"/>
              </w:rPr>
              <w:t>hách hàng cá nhân với vợ, chồng; cha mẹ đẻ, cha mẹ nuôi, cha dượng, mẹ kế, cha mẹ vợ, cha mẹ chồng; con đẻ, con nuôi, con riêng của vợ hoặc chồng, con dâu, con rể; anh, chị, em cùng cha mẹ; anh, chị, em cùng cha khác mẹ; anh, chị, em cùng mẹ khác cha; anh vợ, chị vợ, em vợ, anh chồng, chị chồng, em chồng, anh rể, em rể, chị dâu, em dâu của người cùng cha mẹ hoặc cùng cha khác mẹ, cùng mẹ khác cha của khách hàng đó;</w:t>
            </w:r>
          </w:p>
          <w:p w14:paraId="4ED6BE8F" w14:textId="77777777" w:rsidR="004141EF" w:rsidRPr="005239BD" w:rsidRDefault="004141EF" w:rsidP="005239BD">
            <w:pPr>
              <w:spacing w:before="120" w:after="120"/>
              <w:ind w:right="0"/>
              <w:rPr>
                <w:rFonts w:eastAsia="Times New Roman" w:cs="Times New Roman"/>
                <w:kern w:val="36"/>
                <w:lang w:val="vi-VN"/>
              </w:rPr>
            </w:pPr>
            <w:r w:rsidRPr="005239BD">
              <w:rPr>
                <w:rFonts w:eastAsia="Times New Roman"/>
                <w:kern w:val="36"/>
                <w:lang w:val="vi-VN"/>
              </w:rPr>
              <w:t>b) Các hạn chế, giới hạn cho vay áp dụng đối với khách hàng, khách hàng và người có liên quan, cơ chế, nguyên tắc phân cấp, ủy quyền cho vay đối với khách hàng, khách hàng và người có liên quan;</w:t>
            </w:r>
          </w:p>
          <w:p w14:paraId="1F59512A" w14:textId="77777777" w:rsidR="004141EF" w:rsidRPr="005239BD" w:rsidRDefault="004141EF" w:rsidP="005239BD">
            <w:pPr>
              <w:spacing w:before="120" w:after="120"/>
              <w:ind w:right="0"/>
              <w:rPr>
                <w:rFonts w:eastAsia="Times New Roman" w:cs="Times New Roman"/>
                <w:kern w:val="36"/>
                <w:lang w:val="vi-VN"/>
              </w:rPr>
            </w:pPr>
            <w:r w:rsidRPr="005239BD">
              <w:rPr>
                <w:rFonts w:eastAsia="Times New Roman"/>
                <w:kern w:val="36"/>
                <w:lang w:val="vi-VN"/>
              </w:rPr>
              <w:t xml:space="preserve">c) Giới hạn cho vay tối đa trong tổng dư nợ cho vay đối với từng loại khách hàng là thành viên, khách hàng </w:t>
            </w:r>
            <w:r w:rsidRPr="005239BD">
              <w:rPr>
                <w:rFonts w:eastAsia="Times New Roman"/>
                <w:kern w:val="36"/>
                <w:lang w:val="vi-VN"/>
              </w:rPr>
              <w:lastRenderedPageBreak/>
              <w:t>không phải là thành viên và khách hàng là thành viên của hộ nghèo của quỹ tín dụng nhân dân;</w:t>
            </w:r>
          </w:p>
          <w:p w14:paraId="408B6A3C" w14:textId="77777777" w:rsidR="004141EF" w:rsidRPr="005239BD" w:rsidRDefault="004141EF" w:rsidP="005239BD">
            <w:pPr>
              <w:spacing w:before="120" w:after="120"/>
              <w:ind w:right="0"/>
              <w:rPr>
                <w:rFonts w:eastAsia="Times New Roman" w:cs="Times New Roman"/>
                <w:kern w:val="36"/>
                <w:lang w:val="vi-VN"/>
              </w:rPr>
            </w:pPr>
            <w:r w:rsidRPr="005239BD">
              <w:rPr>
                <w:rFonts w:eastAsia="Times New Roman"/>
                <w:kern w:val="36"/>
                <w:lang w:val="vi-VN"/>
              </w:rPr>
              <w:t>d) Quy trình theo dõi đối với các khoản cho vay vượt quá 5% vốn tự có của quỹ tín dụng nhân dân;</w:t>
            </w:r>
          </w:p>
          <w:p w14:paraId="7734097F" w14:textId="2E461D6F" w:rsidR="004141EF" w:rsidRPr="005F55B3" w:rsidDel="00E60013" w:rsidRDefault="004141EF" w:rsidP="005239BD">
            <w:pPr>
              <w:spacing w:before="120" w:after="120"/>
              <w:ind w:right="0"/>
              <w:rPr>
                <w:noProof/>
                <w:lang w:val="vi-VN"/>
              </w:rPr>
            </w:pPr>
            <w:r w:rsidRPr="005239BD">
              <w:rPr>
                <w:rFonts w:eastAsia="Times New Roman"/>
                <w:kern w:val="36"/>
                <w:lang w:val="vi-VN"/>
              </w:rPr>
              <w:t xml:space="preserve">đ) Quy định về việc báo cáo </w:t>
            </w:r>
            <w:r w:rsidRPr="005239BD">
              <w:rPr>
                <w:rFonts w:eastAsia="Times New Roman"/>
                <w:i/>
                <w:kern w:val="36"/>
                <w:lang w:val="vi-VN"/>
              </w:rPr>
              <w:t xml:space="preserve">Ngân hàng </w:t>
            </w:r>
            <w:r w:rsidR="000001AF" w:rsidRPr="00143BF7">
              <w:rPr>
                <w:rFonts w:eastAsia="Times New Roman"/>
                <w:i/>
                <w:kern w:val="36"/>
                <w:lang w:val="vi-VN"/>
              </w:rPr>
              <w:t>N</w:t>
            </w:r>
            <w:r w:rsidR="000001AF" w:rsidRPr="005239BD">
              <w:rPr>
                <w:rFonts w:eastAsia="Times New Roman"/>
                <w:i/>
                <w:kern w:val="36"/>
                <w:lang w:val="vi-VN"/>
              </w:rPr>
              <w:t xml:space="preserve">hà </w:t>
            </w:r>
            <w:r w:rsidRPr="005239BD">
              <w:rPr>
                <w:rFonts w:eastAsia="Times New Roman"/>
                <w:i/>
                <w:kern w:val="36"/>
                <w:lang w:val="vi-VN"/>
              </w:rPr>
              <w:t xml:space="preserve">nước chi nhánh </w:t>
            </w:r>
            <w:r w:rsidRPr="00143BF7">
              <w:rPr>
                <w:rFonts w:eastAsia="Times New Roman"/>
                <w:i/>
                <w:kern w:val="36"/>
                <w:lang w:val="vi-VN"/>
              </w:rPr>
              <w:t>Khu vự</w:t>
            </w:r>
            <w:r w:rsidRPr="00143BF7">
              <w:rPr>
                <w:rFonts w:eastAsia="Times New Roman"/>
                <w:kern w:val="36"/>
                <w:lang w:val="vi-VN"/>
              </w:rPr>
              <w:t>c</w:t>
            </w:r>
            <w:r w:rsidRPr="005239BD">
              <w:rPr>
                <w:rFonts w:eastAsia="Times New Roman"/>
                <w:kern w:val="36"/>
                <w:lang w:val="vi-VN"/>
              </w:rPr>
              <w:t>, Đại hội thành viên đối với các khoản cho vay thuộc đối tượng quy định tại khoản 1 Điều 135 Luật Các tổ chức tín dụng.</w:t>
            </w:r>
          </w:p>
        </w:tc>
        <w:tc>
          <w:tcPr>
            <w:tcW w:w="3969" w:type="dxa"/>
          </w:tcPr>
          <w:p w14:paraId="1D83AD1A" w14:textId="77777777" w:rsidR="00D205D0" w:rsidRDefault="00E76A9B" w:rsidP="000A7278">
            <w:pPr>
              <w:spacing w:before="120"/>
              <w:ind w:right="0"/>
              <w:rPr>
                <w:noProof/>
                <w:lang w:val="nl-NL"/>
              </w:rPr>
            </w:pPr>
            <w:r w:rsidRPr="005239BD">
              <w:rPr>
                <w:noProof/>
                <w:lang w:val="nl-NL"/>
              </w:rPr>
              <w:lastRenderedPageBreak/>
              <w:t xml:space="preserve">- </w:t>
            </w:r>
            <w:r w:rsidR="003E4EB8">
              <w:rPr>
                <w:noProof/>
                <w:lang w:val="nl-NL"/>
              </w:rPr>
              <w:t xml:space="preserve">Kế thừa nội dung. </w:t>
            </w:r>
          </w:p>
          <w:p w14:paraId="211D2534" w14:textId="77777777" w:rsidR="00A90CC9" w:rsidRDefault="00A90CC9">
            <w:pPr>
              <w:spacing w:before="120"/>
              <w:ind w:right="0"/>
              <w:rPr>
                <w:noProof/>
                <w:lang w:val="nl-NL"/>
              </w:rPr>
            </w:pPr>
          </w:p>
          <w:p w14:paraId="16330124" w14:textId="77777777" w:rsidR="00A90CC9" w:rsidRDefault="00A90CC9">
            <w:pPr>
              <w:spacing w:before="120"/>
              <w:ind w:right="0"/>
              <w:rPr>
                <w:noProof/>
                <w:lang w:val="nl-NL"/>
              </w:rPr>
            </w:pPr>
          </w:p>
          <w:p w14:paraId="156E3C70" w14:textId="77777777" w:rsidR="00A90CC9" w:rsidRDefault="00A90CC9">
            <w:pPr>
              <w:spacing w:before="120"/>
              <w:ind w:right="0"/>
              <w:rPr>
                <w:noProof/>
                <w:lang w:val="nl-NL"/>
              </w:rPr>
            </w:pPr>
          </w:p>
          <w:p w14:paraId="7E937AB0" w14:textId="77777777" w:rsidR="00A90CC9" w:rsidRDefault="00A90CC9">
            <w:pPr>
              <w:spacing w:before="120"/>
              <w:ind w:right="0"/>
              <w:rPr>
                <w:noProof/>
                <w:lang w:val="nl-NL"/>
              </w:rPr>
            </w:pPr>
          </w:p>
          <w:p w14:paraId="6B3E2F5C" w14:textId="77777777" w:rsidR="00A90CC9" w:rsidRDefault="00A90CC9">
            <w:pPr>
              <w:spacing w:before="120"/>
              <w:ind w:right="0"/>
              <w:rPr>
                <w:noProof/>
                <w:lang w:val="nl-NL"/>
              </w:rPr>
            </w:pPr>
          </w:p>
          <w:p w14:paraId="5972BB2C" w14:textId="77777777" w:rsidR="00A90CC9" w:rsidRDefault="00A90CC9">
            <w:pPr>
              <w:spacing w:before="120"/>
              <w:ind w:right="0"/>
              <w:rPr>
                <w:noProof/>
                <w:lang w:val="nl-NL"/>
              </w:rPr>
            </w:pPr>
          </w:p>
          <w:p w14:paraId="5FB5E8FF" w14:textId="77777777" w:rsidR="00A90CC9" w:rsidRDefault="00A90CC9">
            <w:pPr>
              <w:spacing w:before="120"/>
              <w:ind w:right="0"/>
              <w:rPr>
                <w:noProof/>
                <w:lang w:val="nl-NL"/>
              </w:rPr>
            </w:pPr>
          </w:p>
          <w:p w14:paraId="47CC0D2E" w14:textId="77777777" w:rsidR="00A90CC9" w:rsidRDefault="00A90CC9">
            <w:pPr>
              <w:spacing w:before="120"/>
              <w:ind w:right="0"/>
              <w:rPr>
                <w:noProof/>
                <w:lang w:val="nl-NL"/>
              </w:rPr>
            </w:pPr>
          </w:p>
          <w:p w14:paraId="3E73A9E0" w14:textId="77777777" w:rsidR="00A90CC9" w:rsidRDefault="00A90CC9">
            <w:pPr>
              <w:spacing w:before="120"/>
              <w:ind w:right="0"/>
              <w:rPr>
                <w:noProof/>
                <w:lang w:val="nl-NL"/>
              </w:rPr>
            </w:pPr>
          </w:p>
          <w:p w14:paraId="4948DEBE" w14:textId="77777777" w:rsidR="00A90CC9" w:rsidRDefault="00A90CC9">
            <w:pPr>
              <w:spacing w:before="120"/>
              <w:ind w:right="0"/>
              <w:rPr>
                <w:noProof/>
                <w:lang w:val="nl-NL"/>
              </w:rPr>
            </w:pPr>
          </w:p>
          <w:p w14:paraId="392825DC" w14:textId="77777777" w:rsidR="00A90CC9" w:rsidRDefault="00A90CC9">
            <w:pPr>
              <w:spacing w:before="120"/>
              <w:ind w:right="0"/>
              <w:rPr>
                <w:noProof/>
                <w:lang w:val="nl-NL"/>
              </w:rPr>
            </w:pPr>
          </w:p>
          <w:p w14:paraId="1A1373FF" w14:textId="77777777" w:rsidR="00A90CC9" w:rsidRDefault="00A90CC9">
            <w:pPr>
              <w:spacing w:before="120"/>
              <w:ind w:right="0"/>
              <w:rPr>
                <w:noProof/>
                <w:lang w:val="nl-NL"/>
              </w:rPr>
            </w:pPr>
          </w:p>
          <w:p w14:paraId="592BD332" w14:textId="77777777" w:rsidR="00A90CC9" w:rsidRDefault="00A90CC9">
            <w:pPr>
              <w:spacing w:before="120"/>
              <w:ind w:right="0"/>
              <w:rPr>
                <w:noProof/>
                <w:lang w:val="nl-NL"/>
              </w:rPr>
            </w:pPr>
          </w:p>
          <w:p w14:paraId="4E302731" w14:textId="77777777" w:rsidR="00A90CC9" w:rsidRDefault="00A90CC9">
            <w:pPr>
              <w:spacing w:before="120"/>
              <w:ind w:right="0"/>
              <w:rPr>
                <w:noProof/>
                <w:lang w:val="nl-NL"/>
              </w:rPr>
            </w:pPr>
          </w:p>
          <w:p w14:paraId="303D7E5D" w14:textId="77777777" w:rsidR="00A90CC9" w:rsidRDefault="00A90CC9">
            <w:pPr>
              <w:spacing w:before="120"/>
              <w:ind w:right="0"/>
              <w:rPr>
                <w:noProof/>
                <w:lang w:val="nl-NL"/>
              </w:rPr>
            </w:pPr>
          </w:p>
          <w:p w14:paraId="5A52E03B" w14:textId="77777777" w:rsidR="00A90CC9" w:rsidRDefault="00A90CC9">
            <w:pPr>
              <w:spacing w:before="120"/>
              <w:ind w:right="0"/>
              <w:rPr>
                <w:noProof/>
                <w:lang w:val="nl-NL"/>
              </w:rPr>
            </w:pPr>
          </w:p>
          <w:p w14:paraId="2ACA2F12" w14:textId="77777777" w:rsidR="00A90CC9" w:rsidRDefault="00A90CC9">
            <w:pPr>
              <w:spacing w:before="120"/>
              <w:ind w:right="0"/>
              <w:rPr>
                <w:noProof/>
                <w:lang w:val="nl-NL"/>
              </w:rPr>
            </w:pPr>
          </w:p>
          <w:p w14:paraId="5712EB49" w14:textId="77777777" w:rsidR="00A90CC9" w:rsidRDefault="00A90CC9">
            <w:pPr>
              <w:spacing w:before="120"/>
              <w:ind w:right="0"/>
              <w:rPr>
                <w:noProof/>
                <w:lang w:val="nl-NL"/>
              </w:rPr>
            </w:pPr>
          </w:p>
          <w:p w14:paraId="225D3969" w14:textId="592D5A69" w:rsidR="00E76A9B" w:rsidRPr="005239BD" w:rsidDel="00474228" w:rsidRDefault="00D205D0">
            <w:pPr>
              <w:spacing w:before="120"/>
              <w:ind w:right="0"/>
              <w:rPr>
                <w:noProof/>
                <w:lang w:val="nl-NL"/>
              </w:rPr>
            </w:pPr>
            <w:r>
              <w:rPr>
                <w:noProof/>
                <w:lang w:val="nl-NL"/>
              </w:rPr>
              <w:t xml:space="preserve">- </w:t>
            </w:r>
            <w:r w:rsidR="004141EF" w:rsidRPr="005239BD">
              <w:rPr>
                <w:noProof/>
                <w:lang w:val="nl-NL"/>
              </w:rPr>
              <w:t>Chỉnh sửa kỹ thuật</w:t>
            </w:r>
            <w:r w:rsidR="00E91691">
              <w:rPr>
                <w:noProof/>
                <w:lang w:val="nl-NL"/>
              </w:rPr>
              <w:t xml:space="preserve"> </w:t>
            </w:r>
            <w:r w:rsidR="004141EF" w:rsidRPr="005239BD">
              <w:rPr>
                <w:noProof/>
                <w:lang w:val="nl-NL"/>
              </w:rPr>
              <w:t>cho rõ ràng</w:t>
            </w:r>
            <w:r w:rsidR="00192B43">
              <w:rPr>
                <w:noProof/>
                <w:lang w:val="nl-NL"/>
              </w:rPr>
              <w:t xml:space="preserve"> để</w:t>
            </w:r>
            <w:r w:rsidR="00E76A9B" w:rsidRPr="005239BD">
              <w:rPr>
                <w:noProof/>
                <w:lang w:val="nl-NL"/>
              </w:rPr>
              <w:t xml:space="preserve"> phù hợp với Nghị định số 26/2025/NĐ-CP và các Quyết định số 301-315/QĐ-NHNN của Thống đốc NHNN quy định về chức năng, nhiệm vụ, quyền hạn và cơ cấu tổ chức của các NHNN chi nhánh Khu vực.</w:t>
            </w:r>
          </w:p>
        </w:tc>
      </w:tr>
      <w:tr w:rsidR="004141EF" w:rsidRPr="005239BD" w14:paraId="302A78A5" w14:textId="77777777" w:rsidTr="00AB4BD5">
        <w:tc>
          <w:tcPr>
            <w:tcW w:w="680" w:type="dxa"/>
            <w:vAlign w:val="center"/>
          </w:tcPr>
          <w:p w14:paraId="4F4E45D0" w14:textId="2F773917" w:rsidR="004141EF" w:rsidRPr="005239BD" w:rsidRDefault="00622FAA" w:rsidP="005239BD">
            <w:pPr>
              <w:spacing w:before="120" w:after="120"/>
              <w:ind w:right="0"/>
              <w:jc w:val="center"/>
              <w:rPr>
                <w:iCs/>
                <w:noProof/>
              </w:rPr>
            </w:pPr>
            <w:r>
              <w:rPr>
                <w:iCs/>
                <w:noProof/>
              </w:rPr>
              <w:lastRenderedPageBreak/>
              <w:t>5</w:t>
            </w:r>
            <w:r w:rsidR="004141EF" w:rsidRPr="005239BD">
              <w:rPr>
                <w:iCs/>
                <w:noProof/>
              </w:rPr>
              <w:t>.5</w:t>
            </w:r>
          </w:p>
        </w:tc>
        <w:tc>
          <w:tcPr>
            <w:tcW w:w="5416" w:type="dxa"/>
          </w:tcPr>
          <w:p w14:paraId="08D90C71" w14:textId="4AA53776" w:rsidR="004141EF" w:rsidRPr="005239BD" w:rsidRDefault="004141EF" w:rsidP="005239BD">
            <w:pPr>
              <w:spacing w:before="120" w:after="120"/>
              <w:ind w:right="0"/>
              <w:rPr>
                <w:rFonts w:eastAsia="Times New Roman"/>
                <w:color w:val="000000"/>
                <w:kern w:val="36"/>
                <w:lang w:val="vi-VN"/>
              </w:rPr>
            </w:pPr>
            <w:r w:rsidRPr="005239BD">
              <w:rPr>
                <w:rFonts w:eastAsia="Times New Roman" w:cs="Times New Roman"/>
                <w:color w:val="000000"/>
                <w:kern w:val="36"/>
                <w:lang w:val="vi-VN"/>
              </w:rPr>
              <w:t>5. Định kỳ ít nhất 01 (một) năm một lần và khi cần thiết, quỹ tín dụng nhân dân phải rà soát, đánh giá lại, sửa đổi, bổ sung các quy định nội bộ cho phù hợp với yêu cầu bảo đảm an toàn trong hoạt động của quỹ tín dụng nhân dân.</w:t>
            </w:r>
          </w:p>
        </w:tc>
        <w:tc>
          <w:tcPr>
            <w:tcW w:w="5386" w:type="dxa"/>
            <w:vAlign w:val="center"/>
          </w:tcPr>
          <w:p w14:paraId="09BEF04B" w14:textId="06962740" w:rsidR="004141EF" w:rsidRPr="005239BD" w:rsidRDefault="004141EF" w:rsidP="005239BD">
            <w:pPr>
              <w:spacing w:before="120" w:after="120"/>
              <w:ind w:right="0"/>
              <w:rPr>
                <w:rFonts w:eastAsia="Times New Roman"/>
                <w:kern w:val="36"/>
                <w:lang w:val="vi-VN"/>
              </w:rPr>
            </w:pPr>
            <w:r w:rsidRPr="005239BD">
              <w:rPr>
                <w:rFonts w:eastAsia="Times New Roman"/>
                <w:kern w:val="36"/>
                <w:lang w:val="vi-VN"/>
              </w:rPr>
              <w:t>5. Định kỳ ít nhất 01 (một) năm một lần và khi cần thiết, quỹ tín dụng nhân dân phải rà soát, đánh giá lại, sửa đổi, bổ sung các quy định nội bộ cho phù hợp với yêu cầu bảo đảm an toàn trong hoạt động của quỹ tín dụng nhân dân.</w:t>
            </w:r>
          </w:p>
        </w:tc>
        <w:tc>
          <w:tcPr>
            <w:tcW w:w="3969" w:type="dxa"/>
          </w:tcPr>
          <w:p w14:paraId="7D152B49" w14:textId="6C17EE47" w:rsidR="004141EF" w:rsidRPr="005239BD" w:rsidRDefault="004141EF" w:rsidP="005239BD">
            <w:pPr>
              <w:spacing w:before="120"/>
              <w:ind w:right="0"/>
              <w:rPr>
                <w:noProof/>
                <w:lang w:val="nl-NL"/>
              </w:rPr>
            </w:pPr>
            <w:r w:rsidRPr="005239BD">
              <w:rPr>
                <w:noProof/>
              </w:rPr>
              <w:t xml:space="preserve">Kế thừa nội dung. </w:t>
            </w:r>
          </w:p>
        </w:tc>
      </w:tr>
      <w:tr w:rsidR="004141EF" w:rsidRPr="00AC5DD8" w14:paraId="6B3C038F" w14:textId="77777777" w:rsidTr="005A502B">
        <w:tc>
          <w:tcPr>
            <w:tcW w:w="680" w:type="dxa"/>
            <w:vAlign w:val="center"/>
          </w:tcPr>
          <w:p w14:paraId="225E10DB" w14:textId="0BD5FF2D" w:rsidR="004141EF" w:rsidRPr="005239BD" w:rsidRDefault="00622FAA" w:rsidP="005239BD">
            <w:pPr>
              <w:spacing w:before="120" w:after="120"/>
              <w:ind w:right="0"/>
              <w:jc w:val="center"/>
              <w:rPr>
                <w:iCs/>
                <w:noProof/>
              </w:rPr>
            </w:pPr>
            <w:r>
              <w:rPr>
                <w:iCs/>
                <w:noProof/>
              </w:rPr>
              <w:t>5</w:t>
            </w:r>
            <w:r w:rsidR="004141EF" w:rsidRPr="005239BD">
              <w:rPr>
                <w:iCs/>
                <w:noProof/>
              </w:rPr>
              <w:t>.6</w:t>
            </w:r>
          </w:p>
        </w:tc>
        <w:tc>
          <w:tcPr>
            <w:tcW w:w="5416" w:type="dxa"/>
          </w:tcPr>
          <w:p w14:paraId="0DB9751B" w14:textId="74A8B3B3" w:rsidR="004141EF" w:rsidRPr="005239BD" w:rsidRDefault="004141EF" w:rsidP="005239BD">
            <w:pPr>
              <w:spacing w:before="120" w:after="120"/>
              <w:ind w:right="0"/>
              <w:rPr>
                <w:rFonts w:eastAsia="Times New Roman"/>
                <w:color w:val="000000"/>
                <w:kern w:val="36"/>
                <w:lang w:val="vi-VN"/>
              </w:rPr>
            </w:pPr>
            <w:r w:rsidRPr="005239BD">
              <w:rPr>
                <w:rFonts w:eastAsia="Times New Roman" w:cs="Times New Roman"/>
                <w:color w:val="000000"/>
                <w:kern w:val="36"/>
                <w:lang w:val="vi-VN"/>
              </w:rPr>
              <w:t xml:space="preserve">6. Trong thời gian </w:t>
            </w:r>
            <w:r w:rsidRPr="005239BD">
              <w:rPr>
                <w:rFonts w:eastAsia="Times New Roman"/>
                <w:color w:val="000000"/>
                <w:kern w:val="36"/>
                <w:lang w:val="vi-VN"/>
              </w:rPr>
              <w:t xml:space="preserve">10 (mười) ngày </w:t>
            </w:r>
            <w:r w:rsidRPr="005A502B">
              <w:rPr>
                <w:rFonts w:eastAsia="Times New Roman"/>
                <w:color w:val="000000"/>
                <w:kern w:val="36"/>
                <w:u w:val="single"/>
                <w:lang w:val="vi-VN"/>
              </w:rPr>
              <w:t>làm việc</w:t>
            </w:r>
            <w:r w:rsidRPr="005239BD">
              <w:rPr>
                <w:rFonts w:eastAsia="Times New Roman" w:cs="Times New Roman"/>
                <w:color w:val="000000"/>
                <w:kern w:val="36"/>
                <w:lang w:val="vi-VN"/>
              </w:rPr>
              <w:t xml:space="preserve"> kể từ ngày ban hành, sửa đổi, bổ sung hoặc thay thế các văn bản quy định nội bộ, quỹ tín dụng nhân dân gửi (trực tiếp hoặc qua </w:t>
            </w:r>
            <w:r w:rsidRPr="005239BD">
              <w:rPr>
                <w:rFonts w:eastAsia="Times New Roman" w:cs="Times New Roman"/>
                <w:color w:val="000000"/>
                <w:kern w:val="36"/>
                <w:u w:val="single"/>
                <w:lang w:val="vi-VN"/>
              </w:rPr>
              <w:t>đường bưu điện</w:t>
            </w:r>
            <w:r w:rsidRPr="005239BD">
              <w:rPr>
                <w:rFonts w:eastAsia="Times New Roman" w:cs="Times New Roman"/>
                <w:color w:val="000000"/>
                <w:kern w:val="36"/>
                <w:lang w:val="vi-VN"/>
              </w:rPr>
              <w:t xml:space="preserve">) quy định nội bộ được ban hành, sửa đổi, bổ sung hoặc thay thế đến </w:t>
            </w:r>
            <w:r w:rsidRPr="005239BD">
              <w:rPr>
                <w:rFonts w:eastAsia="Times New Roman"/>
                <w:color w:val="000000"/>
                <w:kern w:val="36"/>
                <w:u w:val="single"/>
                <w:lang w:val="vi-VN"/>
              </w:rPr>
              <w:t>Ngân hàng Nhà nước chi nhánh tỉnh, thành phố</w:t>
            </w:r>
            <w:r w:rsidRPr="005239BD">
              <w:rPr>
                <w:rFonts w:eastAsia="Times New Roman" w:cs="Times New Roman"/>
                <w:color w:val="000000"/>
                <w:kern w:val="36"/>
                <w:lang w:val="vi-VN"/>
              </w:rPr>
              <w:t>. Trường hợp quy định nội bộ sửa đổi, bổ sung, thay thế, quỹ tín dụng nhân dân gửi văn bản báo cáo những nội dung sửa đổi, bổ sung kèm quy định nội bộ.</w:t>
            </w:r>
          </w:p>
        </w:tc>
        <w:tc>
          <w:tcPr>
            <w:tcW w:w="5386" w:type="dxa"/>
          </w:tcPr>
          <w:p w14:paraId="1ECE5498" w14:textId="3D73DC1A" w:rsidR="00720950" w:rsidRPr="005239BD" w:rsidRDefault="004141EF" w:rsidP="005239BD">
            <w:pPr>
              <w:spacing w:before="120" w:after="120"/>
              <w:ind w:right="0"/>
              <w:rPr>
                <w:rFonts w:eastAsia="Times New Roman"/>
                <w:kern w:val="36"/>
                <w:lang w:val="vi-VN"/>
              </w:rPr>
            </w:pPr>
            <w:r w:rsidRPr="005239BD">
              <w:rPr>
                <w:rFonts w:eastAsia="Times New Roman"/>
                <w:kern w:val="36"/>
                <w:lang w:val="vi-VN"/>
              </w:rPr>
              <w:t xml:space="preserve">6. Trong thời gian </w:t>
            </w:r>
            <w:r w:rsidR="007B69DD" w:rsidRPr="005F55B3">
              <w:rPr>
                <w:rFonts w:eastAsia="Times New Roman"/>
                <w:iCs/>
                <w:kern w:val="36"/>
                <w:lang w:val="vi-VN"/>
              </w:rPr>
              <w:t xml:space="preserve">10 (mười) ngày </w:t>
            </w:r>
            <w:r w:rsidRPr="005239BD">
              <w:rPr>
                <w:rFonts w:eastAsia="Times New Roman"/>
                <w:kern w:val="36"/>
                <w:lang w:val="vi-VN"/>
              </w:rPr>
              <w:t xml:space="preserve">kể từ ngày ban hành, sửa đổi, bổ sung hoặc thay thế các văn bản quy định nội bộ, quỹ tín dụng nhân dân gửi (trực tiếp hoặc qua </w:t>
            </w:r>
            <w:r w:rsidR="00C31BCD" w:rsidRPr="005F55B3">
              <w:rPr>
                <w:rFonts w:eastAsia="Times New Roman"/>
                <w:i/>
                <w:kern w:val="36"/>
                <w:lang w:val="vi-VN"/>
              </w:rPr>
              <w:t>dịch vụ bưu chính</w:t>
            </w:r>
            <w:r w:rsidRPr="005239BD">
              <w:rPr>
                <w:rFonts w:eastAsia="Times New Roman"/>
                <w:kern w:val="36"/>
                <w:lang w:val="vi-VN"/>
              </w:rPr>
              <w:t xml:space="preserve">) quy định nội bộ được ban hành, sửa đổi, bổ sung hoặc thay thế đến </w:t>
            </w:r>
            <w:r w:rsidRPr="005239BD">
              <w:rPr>
                <w:rFonts w:eastAsia="Times New Roman"/>
                <w:i/>
                <w:kern w:val="36"/>
                <w:lang w:val="vi-VN"/>
              </w:rPr>
              <w:t xml:space="preserve">Ngân hàng Nhà nước chi nhánh </w:t>
            </w:r>
            <w:r w:rsidRPr="005F55B3">
              <w:rPr>
                <w:rFonts w:eastAsia="Times New Roman"/>
                <w:i/>
                <w:kern w:val="36"/>
                <w:lang w:val="vi-VN"/>
              </w:rPr>
              <w:t>Khu vực</w:t>
            </w:r>
            <w:r w:rsidRPr="005239BD">
              <w:rPr>
                <w:rFonts w:eastAsia="Times New Roman"/>
                <w:kern w:val="36"/>
                <w:lang w:val="vi-VN"/>
              </w:rPr>
              <w:t>. Trường hợp quy định nội bộ sửa đổi, bổ sung, thay thế, quỹ tín dụng nhân dân gửi văn bản báo cáo những nội dung sửa đổi, bổ sung kèm quy định nội bộ.</w:t>
            </w:r>
          </w:p>
        </w:tc>
        <w:tc>
          <w:tcPr>
            <w:tcW w:w="3969" w:type="dxa"/>
          </w:tcPr>
          <w:p w14:paraId="6DE9C87F" w14:textId="772155A5" w:rsidR="00276402" w:rsidRDefault="00276402" w:rsidP="005239BD">
            <w:pPr>
              <w:spacing w:before="120"/>
              <w:ind w:right="0"/>
              <w:rPr>
                <w:noProof/>
                <w:lang w:val="nl-NL"/>
              </w:rPr>
            </w:pPr>
            <w:r>
              <w:rPr>
                <w:noProof/>
                <w:lang w:val="nl-NL"/>
              </w:rPr>
              <w:t xml:space="preserve">- Bỏ cụm từ </w:t>
            </w:r>
            <w:r w:rsidRPr="005A502B">
              <w:rPr>
                <w:i/>
                <w:noProof/>
                <w:lang w:val="nl-NL"/>
              </w:rPr>
              <w:t>“làm việc”</w:t>
            </w:r>
            <w:r>
              <w:rPr>
                <w:noProof/>
                <w:lang w:val="nl-NL"/>
              </w:rPr>
              <w:t xml:space="preserve"> cho phù hợp với khoản 3 Điều 101 Luật Các TCTD 2024.</w:t>
            </w:r>
          </w:p>
          <w:p w14:paraId="492923E3" w14:textId="42E2252A" w:rsidR="002E17E5" w:rsidRPr="005239BD" w:rsidRDefault="002E17E5" w:rsidP="005239BD">
            <w:pPr>
              <w:spacing w:before="120"/>
              <w:ind w:right="0"/>
              <w:rPr>
                <w:noProof/>
                <w:lang w:val="nl-NL"/>
              </w:rPr>
            </w:pPr>
            <w:r w:rsidRPr="005239BD">
              <w:rPr>
                <w:noProof/>
                <w:lang w:val="nl-NL"/>
              </w:rPr>
              <w:t xml:space="preserve">- Chỉnh sửa cụm từ </w:t>
            </w:r>
            <w:r w:rsidRPr="005239BD">
              <w:rPr>
                <w:i/>
                <w:noProof/>
                <w:lang w:val="nl-NL"/>
              </w:rPr>
              <w:t>“dịch vụ bưu chính”</w:t>
            </w:r>
            <w:r w:rsidRPr="005239BD">
              <w:rPr>
                <w:noProof/>
                <w:lang w:val="nl-NL"/>
              </w:rPr>
              <w:t xml:space="preserve"> cho phù hợp với khoản 3 Điều 3 Luật Bưu </w:t>
            </w:r>
            <w:r w:rsidR="0085068D" w:rsidRPr="005239BD">
              <w:rPr>
                <w:noProof/>
                <w:lang w:val="nl-NL"/>
              </w:rPr>
              <w:t>chính.</w:t>
            </w:r>
          </w:p>
          <w:p w14:paraId="6C8FFF24" w14:textId="44A01468" w:rsidR="004141EF" w:rsidRPr="005239BD" w:rsidDel="00D304A9" w:rsidRDefault="002E17E5" w:rsidP="005239BD">
            <w:pPr>
              <w:spacing w:before="120"/>
              <w:ind w:right="0"/>
              <w:rPr>
                <w:noProof/>
                <w:lang w:val="nl-NL"/>
              </w:rPr>
            </w:pPr>
            <w:r w:rsidRPr="005239BD">
              <w:rPr>
                <w:noProof/>
                <w:lang w:val="nl-NL"/>
              </w:rPr>
              <w:t>- Để phù hợp với Nghị định số 26/2025/NĐ-CP và các Quyết định số 301-315/QĐ-NHNN của Thống đốc NHNN quy định về chức năng, nhiệm vụ, quyền hạn và cơ cấu tổ chức của các NHNN chi nhánh Khu vực.</w:t>
            </w:r>
          </w:p>
        </w:tc>
      </w:tr>
      <w:tr w:rsidR="004141EF" w:rsidRPr="00AC5DD8" w14:paraId="275B591A" w14:textId="77777777" w:rsidTr="00AB4BD5">
        <w:tc>
          <w:tcPr>
            <w:tcW w:w="680" w:type="dxa"/>
            <w:vAlign w:val="center"/>
          </w:tcPr>
          <w:p w14:paraId="1008C883" w14:textId="36DBA29C" w:rsidR="004141EF" w:rsidRPr="005F55B3" w:rsidRDefault="00622FAA" w:rsidP="005239BD">
            <w:pPr>
              <w:spacing w:before="120" w:after="120"/>
              <w:ind w:right="0"/>
              <w:jc w:val="center"/>
              <w:rPr>
                <w:iCs/>
                <w:noProof/>
                <w:lang w:val="nl-NL"/>
              </w:rPr>
            </w:pPr>
            <w:r>
              <w:rPr>
                <w:iCs/>
                <w:noProof/>
                <w:lang w:val="nl-NL"/>
              </w:rPr>
              <w:lastRenderedPageBreak/>
              <w:t>5.7</w:t>
            </w:r>
          </w:p>
        </w:tc>
        <w:tc>
          <w:tcPr>
            <w:tcW w:w="5416" w:type="dxa"/>
          </w:tcPr>
          <w:p w14:paraId="3C00F5C3" w14:textId="3519A2C7" w:rsidR="004141EF" w:rsidRPr="005239BD" w:rsidDel="006C0612" w:rsidRDefault="004141EF"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 xml:space="preserve">7. Quỹ tín dụng nhân dân phải sửa đổi, bổ sung quy định nội bộ cho phù hợp với quy định tại Thông tư này </w:t>
            </w:r>
            <w:r w:rsidRPr="005F55B3">
              <w:rPr>
                <w:rFonts w:eastAsia="Times New Roman"/>
                <w:color w:val="000000"/>
                <w:kern w:val="36"/>
                <w:lang w:val="vi-VN"/>
              </w:rPr>
              <w:t>trước ngày 31/12/2024.</w:t>
            </w:r>
          </w:p>
        </w:tc>
        <w:tc>
          <w:tcPr>
            <w:tcW w:w="5386" w:type="dxa"/>
            <w:vAlign w:val="center"/>
          </w:tcPr>
          <w:p w14:paraId="0BE10376" w14:textId="5F427738" w:rsidR="00720950" w:rsidRPr="005239BD" w:rsidDel="00544165" w:rsidRDefault="00720950" w:rsidP="005239BD">
            <w:pPr>
              <w:spacing w:before="120" w:after="120"/>
              <w:ind w:right="0"/>
              <w:rPr>
                <w:b/>
                <w:lang w:val="nb-NO"/>
              </w:rPr>
            </w:pPr>
          </w:p>
        </w:tc>
        <w:tc>
          <w:tcPr>
            <w:tcW w:w="3969" w:type="dxa"/>
          </w:tcPr>
          <w:p w14:paraId="524E77EB" w14:textId="34BB880F" w:rsidR="004141EF" w:rsidRPr="005239BD" w:rsidDel="00D304A9" w:rsidRDefault="004B7D7A" w:rsidP="005239BD">
            <w:pPr>
              <w:spacing w:before="120"/>
              <w:ind w:right="0"/>
              <w:rPr>
                <w:noProof/>
                <w:lang w:val="nl-NL"/>
              </w:rPr>
            </w:pPr>
            <w:r w:rsidRPr="005F55B3">
              <w:rPr>
                <w:noProof/>
                <w:lang w:val="nb-NO"/>
              </w:rPr>
              <w:t>Bỏ. Quỹ tín dụng nhân dân phải thực hiện theo quy định tại Thông tư này kể từ ngày có hiệu lực thi hành.</w:t>
            </w:r>
          </w:p>
        </w:tc>
      </w:tr>
      <w:tr w:rsidR="00720950" w:rsidRPr="00AC5DD8" w14:paraId="59DC5AAE" w14:textId="77777777" w:rsidTr="00AB4BD5">
        <w:tc>
          <w:tcPr>
            <w:tcW w:w="680" w:type="dxa"/>
            <w:vAlign w:val="center"/>
          </w:tcPr>
          <w:p w14:paraId="490C7A9F" w14:textId="20CFAF8F" w:rsidR="00720950" w:rsidRPr="005239BD" w:rsidRDefault="00622FAA" w:rsidP="005239BD">
            <w:pPr>
              <w:spacing w:before="120" w:after="120"/>
              <w:ind w:right="0"/>
              <w:jc w:val="center"/>
              <w:rPr>
                <w:b/>
                <w:iCs/>
                <w:noProof/>
              </w:rPr>
            </w:pPr>
            <w:r>
              <w:rPr>
                <w:b/>
                <w:iCs/>
                <w:noProof/>
              </w:rPr>
              <w:t>6</w:t>
            </w:r>
          </w:p>
        </w:tc>
        <w:tc>
          <w:tcPr>
            <w:tcW w:w="5416" w:type="dxa"/>
          </w:tcPr>
          <w:p w14:paraId="7EC911BB" w14:textId="77777777" w:rsidR="00720950" w:rsidRPr="005239BD" w:rsidRDefault="00720950" w:rsidP="005239BD">
            <w:pPr>
              <w:spacing w:before="120" w:after="120"/>
              <w:ind w:right="0"/>
              <w:rPr>
                <w:rFonts w:eastAsia="Times New Roman"/>
                <w:color w:val="000000"/>
                <w:kern w:val="36"/>
                <w:lang w:val="vi-VN"/>
              </w:rPr>
            </w:pPr>
          </w:p>
        </w:tc>
        <w:tc>
          <w:tcPr>
            <w:tcW w:w="5386" w:type="dxa"/>
            <w:vAlign w:val="center"/>
          </w:tcPr>
          <w:p w14:paraId="7DA40EE1" w14:textId="0640408A" w:rsidR="00720950" w:rsidRPr="005F55B3" w:rsidRDefault="00720950" w:rsidP="005239BD">
            <w:pPr>
              <w:ind w:right="34"/>
              <w:rPr>
                <w:rFonts w:eastAsiaTheme="majorEastAsia" w:cs="Times New Roman"/>
                <w:b/>
                <w:lang w:val="vi-VN"/>
              </w:rPr>
            </w:pPr>
            <w:r w:rsidRPr="005F55B3">
              <w:rPr>
                <w:rFonts w:eastAsiaTheme="majorEastAsia"/>
                <w:b/>
                <w:lang w:val="vi-VN"/>
              </w:rPr>
              <w:t xml:space="preserve">Điều </w:t>
            </w:r>
            <w:r w:rsidR="00904C4B" w:rsidRPr="005F55B3">
              <w:rPr>
                <w:rFonts w:eastAsiaTheme="majorEastAsia"/>
                <w:b/>
                <w:lang w:val="vi-VN"/>
              </w:rPr>
              <w:t>6</w:t>
            </w:r>
            <w:r w:rsidRPr="005F55B3">
              <w:rPr>
                <w:rFonts w:eastAsiaTheme="majorEastAsia"/>
                <w:b/>
                <w:lang w:val="vi-VN"/>
              </w:rPr>
              <w:t>. Giá trị thực của vốn điều lệ</w:t>
            </w:r>
          </w:p>
          <w:p w14:paraId="19DBC2EE" w14:textId="7832D0C4" w:rsidR="00720950" w:rsidRPr="005F55B3" w:rsidRDefault="00720950" w:rsidP="005239BD">
            <w:pPr>
              <w:ind w:right="34"/>
              <w:rPr>
                <w:rFonts w:eastAsiaTheme="majorEastAsia" w:cs="Times New Roman"/>
                <w:lang w:val="vi-VN"/>
              </w:rPr>
            </w:pPr>
            <w:r w:rsidRPr="005F55B3">
              <w:rPr>
                <w:rFonts w:eastAsiaTheme="majorEastAsia"/>
                <w:lang w:val="vi-VN"/>
              </w:rPr>
              <w:t>1. Giá trị thực của vốn điều lệ của quỹ tín dụng nhân dân được xác định theo nguyên tắc quy định tại khoản 2 và cách tính quy định tại khoản 3 Điều này.</w:t>
            </w:r>
          </w:p>
          <w:p w14:paraId="1ED1DB3C" w14:textId="77777777" w:rsidR="00720950" w:rsidRPr="005F55B3" w:rsidRDefault="00720950" w:rsidP="005239BD">
            <w:pPr>
              <w:ind w:right="34"/>
              <w:rPr>
                <w:rFonts w:eastAsiaTheme="majorEastAsia" w:cs="Times New Roman"/>
                <w:lang w:val="vi-VN"/>
              </w:rPr>
            </w:pPr>
            <w:r w:rsidRPr="005F55B3">
              <w:rPr>
                <w:rFonts w:eastAsiaTheme="majorEastAsia"/>
                <w:lang w:val="vi-VN"/>
              </w:rPr>
              <w:t>2. Nguyên tắc xác định giá trị thực của vốn điều lệ:</w:t>
            </w:r>
          </w:p>
          <w:p w14:paraId="73D45E2B" w14:textId="0A262135" w:rsidR="00720950" w:rsidRPr="005F55B3" w:rsidRDefault="00720950" w:rsidP="005239BD">
            <w:pPr>
              <w:ind w:right="34"/>
              <w:rPr>
                <w:rFonts w:eastAsiaTheme="majorEastAsia" w:cs="Times New Roman"/>
                <w:lang w:val="vi-VN"/>
              </w:rPr>
            </w:pPr>
            <w:r w:rsidRPr="005F55B3">
              <w:rPr>
                <w:rFonts w:eastAsiaTheme="majorEastAsia"/>
                <w:lang w:val="vi-VN"/>
              </w:rPr>
              <w:t xml:space="preserve">Quỹ tín dụng nhân dân </w:t>
            </w:r>
            <w:r w:rsidR="001A182A" w:rsidRPr="005F55B3">
              <w:rPr>
                <w:rFonts w:eastAsiaTheme="majorEastAsia"/>
                <w:lang w:val="vi-VN"/>
              </w:rPr>
              <w:t xml:space="preserve">xác định giá trị thực </w:t>
            </w:r>
            <w:r w:rsidRPr="005F55B3">
              <w:rPr>
                <w:rFonts w:eastAsiaTheme="majorEastAsia"/>
                <w:lang w:val="vi-VN"/>
              </w:rPr>
              <w:t>của vốn điều lệ khi đã đáp ứng đầy đủ các yêu cầu sau:</w:t>
            </w:r>
          </w:p>
          <w:p w14:paraId="352D7B80" w14:textId="77777777" w:rsidR="00720950" w:rsidRPr="005F55B3" w:rsidRDefault="00720950" w:rsidP="005239BD">
            <w:pPr>
              <w:ind w:right="34"/>
              <w:rPr>
                <w:rFonts w:eastAsiaTheme="majorEastAsia" w:cs="Times New Roman"/>
                <w:lang w:val="vi-VN"/>
              </w:rPr>
            </w:pPr>
            <w:r w:rsidRPr="005F55B3">
              <w:rPr>
                <w:rFonts w:eastAsiaTheme="majorEastAsia"/>
                <w:lang w:val="vi-VN"/>
              </w:rPr>
              <w:t>a) Đã trích lập đầy đủ dự phòng rủi ro theo quy định của pháp luật;</w:t>
            </w:r>
          </w:p>
          <w:p w14:paraId="2CE7BC49" w14:textId="77777777" w:rsidR="00720950" w:rsidRPr="005F55B3" w:rsidRDefault="00720950" w:rsidP="005239BD">
            <w:pPr>
              <w:ind w:right="34"/>
              <w:rPr>
                <w:rFonts w:eastAsiaTheme="majorEastAsia" w:cs="Times New Roman"/>
                <w:lang w:val="vi-VN"/>
              </w:rPr>
            </w:pPr>
            <w:r w:rsidRPr="005F55B3">
              <w:rPr>
                <w:rFonts w:eastAsiaTheme="majorEastAsia"/>
                <w:lang w:val="vi-VN"/>
              </w:rPr>
              <w:t>b) Đã tính đầy đủ các khoản thu nhập và chi phí theo quy định của pháp luật để xác định kết quả kinh doanh.</w:t>
            </w:r>
          </w:p>
          <w:p w14:paraId="512F0DBE" w14:textId="77777777" w:rsidR="00720950" w:rsidRPr="005F55B3" w:rsidRDefault="00720950" w:rsidP="005239BD">
            <w:pPr>
              <w:ind w:right="34"/>
              <w:rPr>
                <w:rFonts w:eastAsiaTheme="majorEastAsia" w:cs="Times New Roman"/>
                <w:lang w:val="vi-VN"/>
              </w:rPr>
            </w:pPr>
            <w:r w:rsidRPr="005F55B3">
              <w:rPr>
                <w:rFonts w:eastAsiaTheme="majorEastAsia"/>
                <w:lang w:val="vi-VN"/>
              </w:rPr>
              <w:t>3. Cách tính giá trị thực của vốn điều lệ:</w:t>
            </w:r>
          </w:p>
          <w:p w14:paraId="152F07F8" w14:textId="77777777" w:rsidR="00720950" w:rsidRPr="005F55B3" w:rsidRDefault="00720950" w:rsidP="005239BD">
            <w:pPr>
              <w:ind w:right="34"/>
              <w:rPr>
                <w:rFonts w:eastAsiaTheme="majorEastAsia" w:cs="Times New Roman"/>
                <w:lang w:val="vi-VN"/>
              </w:rPr>
            </w:pPr>
            <w:r w:rsidRPr="005F55B3">
              <w:rPr>
                <w:rFonts w:eastAsiaTheme="majorEastAsia"/>
                <w:lang w:val="vi-VN"/>
              </w:rPr>
              <w:t>Giá trị thực của vốn điều lệ được xác định bằng vốn điều lệ cộng lợi nhuận lũy kế chưa phân phối, trừ lỗ lũy kế chưa xử lý được phản ánh trên sổ sách kế toán.</w:t>
            </w:r>
          </w:p>
          <w:p w14:paraId="75A15E4B" w14:textId="77777777" w:rsidR="00C71A02" w:rsidRPr="00C71A02" w:rsidRDefault="00720950" w:rsidP="00C71A02">
            <w:pPr>
              <w:spacing w:before="120" w:after="120"/>
              <w:ind w:right="0"/>
              <w:rPr>
                <w:rFonts w:eastAsiaTheme="majorEastAsia"/>
                <w:lang w:val="vi-VN"/>
              </w:rPr>
            </w:pPr>
            <w:r w:rsidRPr="005F55B3">
              <w:rPr>
                <w:lang w:val="vi-VN"/>
              </w:rPr>
              <w:t>4</w:t>
            </w:r>
            <w:r w:rsidRPr="005F55B3">
              <w:rPr>
                <w:rFonts w:eastAsiaTheme="majorEastAsia"/>
                <w:lang w:val="vi-VN"/>
              </w:rPr>
              <w:t xml:space="preserve">. </w:t>
            </w:r>
            <w:r w:rsidR="00C71A02" w:rsidRPr="00C71A02">
              <w:rPr>
                <w:rFonts w:eastAsiaTheme="majorEastAsia"/>
                <w:lang w:val="vi-VN"/>
              </w:rPr>
              <w:t>Quỹ tín dụng nhân dân phải thường xuyên theo dõi, đánh giá giá trị thực của vốn điều lệ và định kỳ báo cáo Ngân hàng Nhà nước chi nhánh Khu vực giá trị thực của vốn điều lệ như sau:</w:t>
            </w:r>
          </w:p>
          <w:p w14:paraId="4AAB4CD2" w14:textId="77777777" w:rsidR="00C71A02" w:rsidRPr="00C71A02" w:rsidRDefault="00C71A02" w:rsidP="00C71A02">
            <w:pPr>
              <w:spacing w:before="120" w:after="120"/>
              <w:ind w:right="0"/>
              <w:rPr>
                <w:rFonts w:eastAsiaTheme="majorEastAsia"/>
                <w:lang w:val="vi-VN"/>
              </w:rPr>
            </w:pPr>
            <w:r w:rsidRPr="00C71A02">
              <w:rPr>
                <w:rFonts w:eastAsiaTheme="majorEastAsia"/>
                <w:lang w:val="vi-VN"/>
              </w:rPr>
              <w:t>a) Chậm nhất đến ngày 15 tháng 7 hằng năm, quỹ tín dụng nhân dân báo cáo giá trị thực của vốn điều lệ tại thời điểm cuối ngày 30 tháng 6 của năm hiện tại;</w:t>
            </w:r>
          </w:p>
          <w:p w14:paraId="28AEEB95" w14:textId="77777777" w:rsidR="00C71A02" w:rsidRPr="00C71A02" w:rsidRDefault="00C71A02" w:rsidP="00C71A02">
            <w:pPr>
              <w:spacing w:before="120" w:after="120"/>
              <w:ind w:right="0"/>
              <w:rPr>
                <w:rFonts w:eastAsiaTheme="majorEastAsia"/>
                <w:lang w:val="vi-VN"/>
              </w:rPr>
            </w:pPr>
            <w:r w:rsidRPr="00C71A02">
              <w:rPr>
                <w:rFonts w:eastAsiaTheme="majorEastAsia"/>
                <w:lang w:val="vi-VN"/>
              </w:rPr>
              <w:t>b) Chậm nhất đến ngày 15 tháng 01 hằng năm, quỹ tín dụng nhân dân báo cáo giá trị thực của vốn điều lệ tại thời điểm cuối ngày 31 tháng 12 của năm trước liền kề;</w:t>
            </w:r>
          </w:p>
          <w:p w14:paraId="02BA2953" w14:textId="73D4AF37" w:rsidR="00720950" w:rsidRPr="005239BD" w:rsidRDefault="00911095" w:rsidP="00C71A02">
            <w:pPr>
              <w:spacing w:before="120" w:after="120"/>
              <w:ind w:right="0"/>
              <w:rPr>
                <w:rFonts w:eastAsia="Times New Roman"/>
                <w:kern w:val="36"/>
                <w:lang w:val="vi-VN"/>
              </w:rPr>
            </w:pPr>
            <w:r>
              <w:rPr>
                <w:rFonts w:eastAsiaTheme="majorEastAsia"/>
              </w:rPr>
              <w:lastRenderedPageBreak/>
              <w:t>5.</w:t>
            </w:r>
            <w:r w:rsidR="00C71A02" w:rsidRPr="00C71A02">
              <w:rPr>
                <w:rFonts w:eastAsiaTheme="majorEastAsia"/>
                <w:lang w:val="vi-VN"/>
              </w:rPr>
              <w:t xml:space="preserve"> Trường hợp giá trị thực của vốn điều lệ tại thời điểm báo cáo nêu tại điểm a, b khoản 4 Điều này chưa bao gồm các bút toán điều chỉnh của kiểm toán độc lập (nếu có), quỹ tín dụng nhân dân bổ sung vào kỳ lập báo cáo tài chính tiế</w:t>
            </w:r>
            <w:r w:rsidR="00C71A02">
              <w:rPr>
                <w:rFonts w:eastAsiaTheme="majorEastAsia"/>
                <w:lang w:val="vi-VN"/>
              </w:rPr>
              <w:t>p theo</w:t>
            </w:r>
            <w:r w:rsidR="00720950" w:rsidRPr="005F55B3">
              <w:rPr>
                <w:rFonts w:eastAsiaTheme="majorEastAsia"/>
                <w:lang w:val="vi-VN"/>
              </w:rPr>
              <w:t>.</w:t>
            </w:r>
          </w:p>
        </w:tc>
        <w:tc>
          <w:tcPr>
            <w:tcW w:w="3969" w:type="dxa"/>
          </w:tcPr>
          <w:p w14:paraId="22F729F0" w14:textId="77777777" w:rsidR="00720950" w:rsidRPr="005239BD" w:rsidRDefault="00720950" w:rsidP="005239BD">
            <w:pPr>
              <w:spacing w:before="60" w:after="60" w:line="276" w:lineRule="auto"/>
              <w:ind w:right="0"/>
              <w:rPr>
                <w:lang w:val="nl-NL"/>
              </w:rPr>
            </w:pPr>
            <w:r w:rsidRPr="005F55B3">
              <w:rPr>
                <w:noProof/>
                <w:lang w:val="vi-VN"/>
              </w:rPr>
              <w:lastRenderedPageBreak/>
              <w:t>Bổ sung quy định để làm cơ sở cho QTDND thực hiện, đảm bảo phù hợp với quy định</w:t>
            </w:r>
            <w:r w:rsidRPr="005239BD">
              <w:rPr>
                <w:lang w:val="nl-NL"/>
              </w:rPr>
              <w:t xml:space="preserve"> tại khoản 3 Điều 28 Luật Các TCTD năm 2024.</w:t>
            </w:r>
          </w:p>
          <w:p w14:paraId="3AD00854" w14:textId="77777777" w:rsidR="00720950" w:rsidRPr="005F55B3" w:rsidRDefault="00720950" w:rsidP="005239BD">
            <w:pPr>
              <w:spacing w:before="120"/>
              <w:ind w:right="0"/>
              <w:rPr>
                <w:noProof/>
                <w:lang w:val="vi-VN"/>
              </w:rPr>
            </w:pPr>
          </w:p>
        </w:tc>
      </w:tr>
      <w:tr w:rsidR="00250554" w:rsidRPr="00AC5DD8" w14:paraId="493F71AF" w14:textId="77777777" w:rsidTr="001604B3">
        <w:tc>
          <w:tcPr>
            <w:tcW w:w="680" w:type="dxa"/>
            <w:vAlign w:val="center"/>
          </w:tcPr>
          <w:p w14:paraId="76B87FDD" w14:textId="5A8EB9D2" w:rsidR="00250554" w:rsidRPr="005239BD" w:rsidRDefault="00622FAA" w:rsidP="005239BD">
            <w:pPr>
              <w:spacing w:before="120" w:after="120"/>
              <w:ind w:right="0"/>
              <w:jc w:val="center"/>
              <w:rPr>
                <w:b/>
                <w:iCs/>
                <w:noProof/>
              </w:rPr>
            </w:pPr>
            <w:r>
              <w:rPr>
                <w:b/>
                <w:iCs/>
                <w:noProof/>
              </w:rPr>
              <w:lastRenderedPageBreak/>
              <w:t>7</w:t>
            </w:r>
          </w:p>
        </w:tc>
        <w:tc>
          <w:tcPr>
            <w:tcW w:w="5416" w:type="dxa"/>
          </w:tcPr>
          <w:p w14:paraId="1F0E2E16" w14:textId="77777777" w:rsidR="00250554" w:rsidRPr="005239BD" w:rsidRDefault="00250554" w:rsidP="005239BD">
            <w:pPr>
              <w:spacing w:before="120" w:after="120"/>
              <w:ind w:right="0"/>
              <w:rPr>
                <w:rFonts w:eastAsia="Times New Roman"/>
                <w:b/>
                <w:color w:val="000000"/>
                <w:kern w:val="36"/>
                <w:lang w:val="vi-VN"/>
              </w:rPr>
            </w:pPr>
          </w:p>
        </w:tc>
        <w:tc>
          <w:tcPr>
            <w:tcW w:w="5386" w:type="dxa"/>
          </w:tcPr>
          <w:p w14:paraId="0AC779AA" w14:textId="68C98BCC" w:rsidR="00250554" w:rsidRPr="005F55B3" w:rsidRDefault="00250554" w:rsidP="005239BD">
            <w:pPr>
              <w:pStyle w:val="NormalWeb"/>
              <w:spacing w:before="60" w:beforeAutospacing="0" w:after="60" w:afterAutospacing="0" w:line="276" w:lineRule="auto"/>
              <w:rPr>
                <w:rFonts w:cs="Times New Roman"/>
                <w:lang w:val="vi-VN"/>
              </w:rPr>
            </w:pPr>
            <w:r w:rsidRPr="005F55B3">
              <w:rPr>
                <w:b/>
                <w:bCs/>
                <w:lang w:val="vi-VN"/>
              </w:rPr>
              <w:t xml:space="preserve">Điều </w:t>
            </w:r>
            <w:r w:rsidR="005C1D32" w:rsidRPr="005F55B3">
              <w:rPr>
                <w:b/>
                <w:bCs/>
                <w:lang w:val="vi-VN"/>
              </w:rPr>
              <w:t>7</w:t>
            </w:r>
            <w:r w:rsidRPr="005F55B3">
              <w:rPr>
                <w:b/>
                <w:bCs/>
                <w:lang w:val="vi-VN"/>
              </w:rPr>
              <w:t>. Xử lý khi giá trị thực của vốn điều lệ giảm thấp hơn mức vốn pháp định</w:t>
            </w:r>
          </w:p>
          <w:p w14:paraId="21931F3D" w14:textId="77777777" w:rsidR="00250554" w:rsidRPr="005F55B3" w:rsidRDefault="00250554" w:rsidP="005239BD">
            <w:pPr>
              <w:pStyle w:val="NormalWeb"/>
              <w:spacing w:before="60" w:beforeAutospacing="0" w:after="60" w:afterAutospacing="0" w:line="276" w:lineRule="auto"/>
              <w:rPr>
                <w:rFonts w:cs="Times New Roman"/>
                <w:lang w:val="vi-VN"/>
              </w:rPr>
            </w:pPr>
            <w:r w:rsidRPr="005F55B3">
              <w:rPr>
                <w:lang w:val="vi-VN"/>
              </w:rPr>
              <w:t>1. Khi giá trị thực của vốn điều lệ của quỹ tín dụng nhân dân giảm thấp hơn mức vốn pháp định, quỹ tín dụng nhân dân phải:</w:t>
            </w:r>
          </w:p>
          <w:p w14:paraId="24222EA5" w14:textId="77777777" w:rsidR="00250554" w:rsidRPr="005F55B3" w:rsidRDefault="00250554" w:rsidP="005239BD">
            <w:pPr>
              <w:pStyle w:val="NormalWeb"/>
              <w:spacing w:before="60" w:beforeAutospacing="0" w:after="60" w:afterAutospacing="0" w:line="276" w:lineRule="auto"/>
              <w:rPr>
                <w:rFonts w:cs="Times New Roman"/>
                <w:lang w:val="vi-VN"/>
              </w:rPr>
            </w:pPr>
            <w:r w:rsidRPr="005F55B3">
              <w:rPr>
                <w:lang w:val="vi-VN"/>
              </w:rPr>
              <w:t>a) Xây dựng và tự triển khai thực hiện phương án xử lý để đảm bảo giá trị thực của vốn điều lệ tối thiểu bằng mức vốn pháp định;</w:t>
            </w:r>
          </w:p>
          <w:p w14:paraId="4E642E5B" w14:textId="77777777" w:rsidR="00250554" w:rsidRPr="005F55B3" w:rsidRDefault="00250554" w:rsidP="005239BD">
            <w:pPr>
              <w:pStyle w:val="NormalWeb"/>
              <w:spacing w:before="60" w:beforeAutospacing="0" w:after="60" w:afterAutospacing="0" w:line="276" w:lineRule="auto"/>
              <w:rPr>
                <w:rFonts w:cs="Times New Roman"/>
                <w:lang w:val="vi-VN"/>
              </w:rPr>
            </w:pPr>
            <w:r w:rsidRPr="005F55B3">
              <w:rPr>
                <w:lang w:val="vi-VN"/>
              </w:rPr>
              <w:t>b) Trong thời gian tối đa 30 ngày khi giá trị thực của vốn điều lệ giảm thấp hơn mức vốn pháp định, phải có văn bản báo cáo phương án xử lý và cam kết thực hiện phương án gửi trực tiếp hoặc qua dịch vụ bưu chính cho Ngân hàng Nhà nước, trong đó tối thiểu phải có các nội dung sau:</w:t>
            </w:r>
          </w:p>
          <w:p w14:paraId="74533EA9" w14:textId="76CB37A3" w:rsidR="00250554" w:rsidRPr="005F55B3" w:rsidRDefault="00250554" w:rsidP="005239BD">
            <w:pPr>
              <w:pStyle w:val="NormalWeb"/>
              <w:spacing w:before="60" w:beforeAutospacing="0" w:after="60" w:afterAutospacing="0" w:line="276" w:lineRule="auto"/>
              <w:rPr>
                <w:rFonts w:cs="Times New Roman"/>
                <w:lang w:val="vi-VN"/>
              </w:rPr>
            </w:pPr>
            <w:r w:rsidRPr="005F55B3">
              <w:rPr>
                <w:lang w:val="vi-VN"/>
              </w:rPr>
              <w:t xml:space="preserve">(i) Giá trị thực của vốn điều lệ theo quy định tại Điều </w:t>
            </w:r>
            <w:r w:rsidR="003D783F" w:rsidRPr="005F55B3">
              <w:rPr>
                <w:lang w:val="vi-VN"/>
              </w:rPr>
              <w:t>6</w:t>
            </w:r>
            <w:r w:rsidRPr="005F55B3">
              <w:rPr>
                <w:lang w:val="vi-VN"/>
              </w:rPr>
              <w:t xml:space="preserve"> Thông tư này;</w:t>
            </w:r>
          </w:p>
          <w:p w14:paraId="3897BEEC" w14:textId="77777777" w:rsidR="00250554" w:rsidRPr="005F55B3" w:rsidRDefault="00250554" w:rsidP="005239BD">
            <w:pPr>
              <w:pStyle w:val="NormalWeb"/>
              <w:spacing w:before="60" w:beforeAutospacing="0" w:after="60" w:afterAutospacing="0" w:line="276" w:lineRule="auto"/>
              <w:rPr>
                <w:rFonts w:cs="Times New Roman"/>
                <w:lang w:val="vi-VN"/>
              </w:rPr>
            </w:pPr>
            <w:r w:rsidRPr="005F55B3">
              <w:rPr>
                <w:lang w:val="vi-VN"/>
              </w:rPr>
              <w:t>(ii) Nguyên nhân giá trị thực của vốn điều lệ giảm thấp hơn mức vốn pháp định;</w:t>
            </w:r>
          </w:p>
          <w:p w14:paraId="3084425F" w14:textId="34684A6C" w:rsidR="00250554" w:rsidRPr="005F55B3" w:rsidRDefault="00250554" w:rsidP="005239BD">
            <w:pPr>
              <w:pStyle w:val="NormalWeb"/>
              <w:spacing w:before="60" w:beforeAutospacing="0" w:after="60" w:afterAutospacing="0" w:line="276" w:lineRule="auto"/>
              <w:rPr>
                <w:rFonts w:cs="Times New Roman"/>
                <w:lang w:val="vi-VN"/>
              </w:rPr>
            </w:pPr>
            <w:r w:rsidRPr="005F55B3">
              <w:rPr>
                <w:lang w:val="vi-VN"/>
              </w:rPr>
              <w:t>(iii) Các biện pháp bảo đảm giá trị thực của vốn điều lệ không thấp hơn mức vốn pháp định và duy trì các</w:t>
            </w:r>
            <w:r w:rsidR="005C1D32" w:rsidRPr="005F55B3">
              <w:rPr>
                <w:lang w:val="vi-VN"/>
              </w:rPr>
              <w:t xml:space="preserve"> hạn chế, giới hạn,</w:t>
            </w:r>
            <w:r w:rsidRPr="005F55B3">
              <w:rPr>
                <w:lang w:val="vi-VN"/>
              </w:rPr>
              <w:t xml:space="preserve"> tỷ lệ bảo đảm an toàn trong hoạt động;</w:t>
            </w:r>
          </w:p>
          <w:p w14:paraId="5CF2F9CC" w14:textId="77777777" w:rsidR="00250554" w:rsidRPr="005F55B3" w:rsidRDefault="00250554" w:rsidP="005239BD">
            <w:pPr>
              <w:pStyle w:val="NormalWeb"/>
              <w:spacing w:before="60" w:beforeAutospacing="0" w:after="60" w:afterAutospacing="0" w:line="276" w:lineRule="auto"/>
              <w:rPr>
                <w:rFonts w:cs="Times New Roman"/>
                <w:lang w:val="vi-VN"/>
              </w:rPr>
            </w:pPr>
            <w:r w:rsidRPr="005F55B3">
              <w:rPr>
                <w:lang w:val="vi-VN"/>
              </w:rPr>
              <w:lastRenderedPageBreak/>
              <w:t>c) Tổ chức triển khai thực hiện các biện pháp xử lý theo yêu cầu của Ngân hàng Nhà nước (nếu có).</w:t>
            </w:r>
          </w:p>
          <w:p w14:paraId="7065E54B" w14:textId="4152BD54" w:rsidR="00250554" w:rsidRPr="005F55B3" w:rsidRDefault="00250554" w:rsidP="005239BD">
            <w:pPr>
              <w:pStyle w:val="NormalWeb"/>
              <w:spacing w:before="60" w:beforeAutospacing="0" w:after="60" w:afterAutospacing="0" w:line="276" w:lineRule="auto"/>
              <w:rPr>
                <w:rFonts w:cs="Times New Roman"/>
                <w:lang w:val="vi-VN"/>
              </w:rPr>
            </w:pPr>
            <w:r w:rsidRPr="005F55B3">
              <w:rPr>
                <w:lang w:val="vi-VN"/>
              </w:rPr>
              <w:t>2. Các biện pháp Ngân hàng Nhà nước áp dụng để xử lý</w:t>
            </w:r>
            <w:r w:rsidR="00350937">
              <w:t xml:space="preserve"> khi</w:t>
            </w:r>
            <w:r w:rsidRPr="005F55B3">
              <w:rPr>
                <w:lang w:val="vi-VN"/>
              </w:rPr>
              <w:t xml:space="preserve"> </w:t>
            </w:r>
            <w:r w:rsidR="00350937">
              <w:t>giá trị thực của</w:t>
            </w:r>
            <w:r w:rsidR="00350937" w:rsidRPr="005F55B3">
              <w:rPr>
                <w:lang w:val="vi-VN"/>
              </w:rPr>
              <w:t xml:space="preserve"> </w:t>
            </w:r>
            <w:r w:rsidRPr="005F55B3">
              <w:rPr>
                <w:lang w:val="vi-VN"/>
              </w:rPr>
              <w:t>vốn điều lệ của quỹ tín dụng nhân dân giảm thấp hơn</w:t>
            </w:r>
            <w:r w:rsidR="00CC513E">
              <w:t xml:space="preserve"> mức</w:t>
            </w:r>
            <w:r w:rsidRPr="005F55B3">
              <w:rPr>
                <w:lang w:val="vi-VN"/>
              </w:rPr>
              <w:t xml:space="preserve"> vốn pháp định:</w:t>
            </w:r>
          </w:p>
          <w:p w14:paraId="101A5474" w14:textId="77777777" w:rsidR="00250554" w:rsidRPr="005F55B3" w:rsidRDefault="00250554" w:rsidP="005239BD">
            <w:pPr>
              <w:pStyle w:val="NormalWeb"/>
              <w:spacing w:before="60" w:beforeAutospacing="0" w:after="60" w:afterAutospacing="0" w:line="276" w:lineRule="auto"/>
              <w:rPr>
                <w:rFonts w:cs="Times New Roman"/>
                <w:lang w:val="vi-VN"/>
              </w:rPr>
            </w:pPr>
            <w:r w:rsidRPr="005F55B3">
              <w:rPr>
                <w:lang w:val="vi-VN"/>
              </w:rPr>
              <w:t>a) Đánh giá, kiểm tra, thanh tra hoặc yêu cầu quỹ tín dụng nhân dân thực hiện kiểm toán độc lập để xác định giá trị thực của vốn điều lệ tại phương án xử lý do quỹ tín dụng nhân dân báo cáo theo quy định tại khoản 1 Điều này;</w:t>
            </w:r>
          </w:p>
          <w:p w14:paraId="5D269053" w14:textId="77777777" w:rsidR="00250554" w:rsidRPr="005F55B3" w:rsidRDefault="00250554" w:rsidP="005239BD">
            <w:pPr>
              <w:pStyle w:val="NormalWeb"/>
              <w:spacing w:before="60" w:beforeAutospacing="0" w:after="60" w:afterAutospacing="0" w:line="276" w:lineRule="auto"/>
              <w:rPr>
                <w:rFonts w:cs="Times New Roman"/>
                <w:lang w:val="vi-VN"/>
              </w:rPr>
            </w:pPr>
            <w:r w:rsidRPr="005F55B3">
              <w:rPr>
                <w:lang w:val="vi-VN"/>
              </w:rPr>
              <w:t>b) Yêu cầu sửa đổi, bổ sung, hoàn thiện các biện pháp xử lý của quỹ tín dụng nhân dân khi giá trị thực của vốn điều lệ thấp hơn mức vốn pháp định nêu tại phương án quy định tại khoản 1 Điều này trong trường hợp cần thiết;</w:t>
            </w:r>
          </w:p>
          <w:p w14:paraId="2B7BA41C" w14:textId="77777777" w:rsidR="00250554" w:rsidRPr="005F55B3" w:rsidRDefault="00250554" w:rsidP="005239BD">
            <w:pPr>
              <w:pStyle w:val="NormalWeb"/>
              <w:spacing w:before="60" w:beforeAutospacing="0" w:after="60" w:afterAutospacing="0" w:line="276" w:lineRule="auto"/>
              <w:rPr>
                <w:rFonts w:cs="Times New Roman"/>
                <w:lang w:val="vi-VN"/>
              </w:rPr>
            </w:pPr>
            <w:r w:rsidRPr="005F55B3">
              <w:rPr>
                <w:lang w:val="vi-VN"/>
              </w:rPr>
              <w:t>c) Giám sát, thanh tra, kiểm tra việc tổ chức, triển khai thực hiện các biện pháp tại phương án xử lý, bao gồm cả các biện pháp xử lý theo yêu cầu của Ngân hàng Nhà nước;</w:t>
            </w:r>
          </w:p>
          <w:p w14:paraId="4153857D" w14:textId="77777777" w:rsidR="00250554" w:rsidRPr="005F55B3" w:rsidRDefault="00250554" w:rsidP="005239BD">
            <w:pPr>
              <w:pStyle w:val="NormalWeb"/>
              <w:spacing w:before="60" w:beforeAutospacing="0" w:after="60" w:afterAutospacing="0" w:line="276" w:lineRule="auto"/>
              <w:rPr>
                <w:rFonts w:cs="Times New Roman"/>
                <w:lang w:val="vi-VN"/>
              </w:rPr>
            </w:pPr>
            <w:r w:rsidRPr="005F55B3">
              <w:rPr>
                <w:lang w:val="vi-VN"/>
              </w:rPr>
              <w:t>d) Tùy theo mức độ giảm giá trị thực của vốn điều lệ so với mức vốn pháp định, Ngân hàng Nhà nước quyết định cụ thể các biện pháp xử lý sau đây đối với quỹ tín dụng nhân dân:</w:t>
            </w:r>
          </w:p>
          <w:p w14:paraId="3C34D28B" w14:textId="39B00054" w:rsidR="00250554" w:rsidRPr="005F55B3" w:rsidRDefault="00250554" w:rsidP="005239BD">
            <w:pPr>
              <w:pStyle w:val="NormalWeb"/>
              <w:spacing w:before="60" w:beforeAutospacing="0" w:after="60" w:afterAutospacing="0" w:line="276" w:lineRule="auto"/>
              <w:rPr>
                <w:rFonts w:cs="Times New Roman"/>
                <w:lang w:val="vi-VN"/>
              </w:rPr>
            </w:pPr>
            <w:r w:rsidRPr="005F55B3">
              <w:rPr>
                <w:lang w:val="vi-VN"/>
              </w:rPr>
              <w:t>(i) Các biện pháp quy định tại khoản 2 Điều 59 Luật Ngân hàng Nhà nước </w:t>
            </w:r>
            <w:r w:rsidR="003D783F" w:rsidRPr="005F55B3">
              <w:rPr>
                <w:lang w:val="vi-VN"/>
              </w:rPr>
              <w:t xml:space="preserve">Việt Nam </w:t>
            </w:r>
            <w:r w:rsidRPr="005F55B3">
              <w:rPr>
                <w:lang w:val="vi-VN"/>
              </w:rPr>
              <w:t>khi giá trị thực của vốn điều lệ giảm xuống dưới 80% của mức vốn pháp định;</w:t>
            </w:r>
          </w:p>
          <w:p w14:paraId="7E0AB9F6" w14:textId="636F43D7" w:rsidR="00250554" w:rsidRPr="005239BD" w:rsidRDefault="00250554" w:rsidP="005239BD">
            <w:pPr>
              <w:spacing w:before="120" w:after="120"/>
              <w:ind w:right="0"/>
              <w:rPr>
                <w:rFonts w:eastAsia="Times New Roman"/>
                <w:b/>
                <w:kern w:val="36"/>
                <w:lang w:val="vi-VN"/>
              </w:rPr>
            </w:pPr>
            <w:r w:rsidRPr="005F55B3">
              <w:rPr>
                <w:lang w:val="vi-VN"/>
              </w:rPr>
              <w:lastRenderedPageBreak/>
              <w:t>(ii) Áp dụng các biện pháp can thiệp sớ</w:t>
            </w:r>
            <w:r w:rsidR="001338B9" w:rsidRPr="005F55B3">
              <w:rPr>
                <w:lang w:val="vi-VN"/>
              </w:rPr>
              <w:t xml:space="preserve">m, kiểm soát đặc biệt, </w:t>
            </w:r>
            <w:r w:rsidRPr="005F55B3">
              <w:rPr>
                <w:lang w:val="vi-VN"/>
              </w:rPr>
              <w:t>cơ cấu lại theo quy định của pháp luật.</w:t>
            </w:r>
          </w:p>
        </w:tc>
        <w:tc>
          <w:tcPr>
            <w:tcW w:w="3969" w:type="dxa"/>
          </w:tcPr>
          <w:p w14:paraId="68C3CBE1" w14:textId="1CE58826" w:rsidR="00250554" w:rsidRPr="005239BD" w:rsidRDefault="00250554" w:rsidP="005239BD">
            <w:pPr>
              <w:spacing w:before="60" w:after="60" w:line="276" w:lineRule="auto"/>
              <w:ind w:right="0"/>
              <w:rPr>
                <w:lang w:val="nl-NL"/>
              </w:rPr>
            </w:pPr>
            <w:r w:rsidRPr="005F55B3">
              <w:rPr>
                <w:noProof/>
                <w:lang w:val="vi-VN"/>
              </w:rPr>
              <w:lastRenderedPageBreak/>
              <w:t>- Bổ sung quy định để đảm bảo phù hợp với quy định</w:t>
            </w:r>
            <w:r w:rsidRPr="005239BD">
              <w:rPr>
                <w:lang w:val="nl-NL"/>
              </w:rPr>
              <w:t xml:space="preserve"> tại khoản 4 Điều 28 Luật Các TCTD năm 2024.</w:t>
            </w:r>
          </w:p>
          <w:p w14:paraId="68352442" w14:textId="089315E1" w:rsidR="00250554" w:rsidRPr="005239BD" w:rsidRDefault="00250554" w:rsidP="005239BD">
            <w:pPr>
              <w:spacing w:before="120"/>
              <w:ind w:right="0"/>
              <w:rPr>
                <w:lang w:val="nl-NL"/>
              </w:rPr>
            </w:pPr>
            <w:r w:rsidRPr="005239BD">
              <w:rPr>
                <w:lang w:val="nl-NL"/>
              </w:rPr>
              <w:t xml:space="preserve">- Nội dung về biện pháp </w:t>
            </w:r>
            <w:r w:rsidRPr="005239BD">
              <w:rPr>
                <w:bCs/>
                <w:color w:val="000000"/>
                <w:lang w:val="nl-NL"/>
              </w:rPr>
              <w:t xml:space="preserve">xử lý của QTDND khi giá trị thực của vốn điều lệ giảm thấp hơn mức vốn pháp định được xây dựng trên cơ sở vận dụng quy định có liên quan </w:t>
            </w:r>
            <w:r w:rsidRPr="005239BD">
              <w:rPr>
                <w:lang w:val="nl-NL"/>
              </w:rPr>
              <w:t xml:space="preserve">tại Điều </w:t>
            </w:r>
            <w:r w:rsidR="00481C7B">
              <w:rPr>
                <w:lang w:val="nl-NL"/>
              </w:rPr>
              <w:t>6</w:t>
            </w:r>
            <w:r w:rsidRPr="005239BD">
              <w:rPr>
                <w:lang w:val="nl-NL"/>
              </w:rPr>
              <w:t xml:space="preserve"> Thông tư số </w:t>
            </w:r>
            <w:r w:rsidR="00481C7B">
              <w:rPr>
                <w:lang w:val="nl-NL"/>
              </w:rPr>
              <w:t>57</w:t>
            </w:r>
            <w:r w:rsidRPr="005239BD">
              <w:rPr>
                <w:lang w:val="nl-NL"/>
              </w:rPr>
              <w:t>/</w:t>
            </w:r>
            <w:r w:rsidR="00481C7B">
              <w:rPr>
                <w:lang w:val="nl-NL"/>
              </w:rPr>
              <w:t>2025</w:t>
            </w:r>
            <w:r w:rsidRPr="005239BD">
              <w:rPr>
                <w:lang w:val="nl-NL"/>
              </w:rPr>
              <w:t xml:space="preserve">/TT-NHNN ngày </w:t>
            </w:r>
            <w:r w:rsidR="00481C7B">
              <w:rPr>
                <w:lang w:val="nl-NL"/>
              </w:rPr>
              <w:t>26</w:t>
            </w:r>
            <w:r w:rsidRPr="005239BD">
              <w:rPr>
                <w:lang w:val="nl-NL"/>
              </w:rPr>
              <w:t>/</w:t>
            </w:r>
            <w:r w:rsidR="00481C7B">
              <w:rPr>
                <w:lang w:val="nl-NL"/>
              </w:rPr>
              <w:t>12</w:t>
            </w:r>
            <w:r w:rsidRPr="005239BD">
              <w:rPr>
                <w:lang w:val="nl-NL"/>
              </w:rPr>
              <w:t>/20</w:t>
            </w:r>
            <w:r w:rsidR="00481C7B">
              <w:rPr>
                <w:lang w:val="nl-NL"/>
              </w:rPr>
              <w:t>25</w:t>
            </w:r>
            <w:r w:rsidRPr="005239BD">
              <w:rPr>
                <w:lang w:val="nl-NL"/>
              </w:rPr>
              <w:t xml:space="preserve"> quy định </w:t>
            </w:r>
            <w:r w:rsidR="00481C7B" w:rsidRPr="00481C7B">
              <w:rPr>
                <w:lang w:val="nl-NL"/>
              </w:rPr>
              <w:t>các hạn chế, tỷ lệ bảo đảm an toàn trong hoạt động của tổ chức tài chính vi mô</w:t>
            </w:r>
            <w:r w:rsidRPr="005239BD">
              <w:rPr>
                <w:lang w:val="nl-NL"/>
              </w:rPr>
              <w:t>.</w:t>
            </w:r>
          </w:p>
          <w:p w14:paraId="7C8D0681" w14:textId="5CCBAA65" w:rsidR="00250554" w:rsidRPr="005239BD" w:rsidRDefault="00250554" w:rsidP="005239BD">
            <w:pPr>
              <w:spacing w:before="120"/>
              <w:ind w:right="0"/>
              <w:rPr>
                <w:noProof/>
                <w:lang w:val="nl-NL"/>
              </w:rPr>
            </w:pPr>
          </w:p>
        </w:tc>
      </w:tr>
      <w:tr w:rsidR="00250554" w:rsidRPr="00AC5DD8" w14:paraId="34C431D6" w14:textId="77777777" w:rsidTr="00405CCB">
        <w:tc>
          <w:tcPr>
            <w:tcW w:w="680" w:type="dxa"/>
            <w:vAlign w:val="center"/>
          </w:tcPr>
          <w:p w14:paraId="2CF54754" w14:textId="307B81F6" w:rsidR="00250554" w:rsidRPr="005239BD" w:rsidDel="00FF3058" w:rsidRDefault="00622FAA" w:rsidP="005239BD">
            <w:pPr>
              <w:spacing w:before="120" w:after="120"/>
              <w:ind w:right="0"/>
              <w:jc w:val="center"/>
              <w:rPr>
                <w:b/>
                <w:iCs/>
                <w:noProof/>
              </w:rPr>
            </w:pPr>
            <w:r>
              <w:rPr>
                <w:b/>
                <w:iCs/>
                <w:noProof/>
              </w:rPr>
              <w:lastRenderedPageBreak/>
              <w:t>8</w:t>
            </w:r>
          </w:p>
        </w:tc>
        <w:tc>
          <w:tcPr>
            <w:tcW w:w="5416" w:type="dxa"/>
          </w:tcPr>
          <w:p w14:paraId="136D3A1F" w14:textId="48741F76" w:rsidR="00250554" w:rsidRPr="005239BD" w:rsidRDefault="00250554" w:rsidP="005239BD">
            <w:pPr>
              <w:spacing w:before="120" w:after="120"/>
              <w:ind w:right="0"/>
              <w:rPr>
                <w:rFonts w:eastAsia="Times New Roman" w:cs="Times New Roman"/>
                <w:b/>
                <w:color w:val="000000"/>
                <w:kern w:val="36"/>
                <w:lang w:val="vi-VN"/>
              </w:rPr>
            </w:pPr>
            <w:bookmarkStart w:id="1" w:name="dieu_5"/>
            <w:r w:rsidRPr="005239BD">
              <w:rPr>
                <w:rFonts w:eastAsia="Times New Roman" w:cs="Times New Roman"/>
                <w:b/>
                <w:color w:val="000000"/>
                <w:kern w:val="36"/>
                <w:lang w:val="vi-VN"/>
              </w:rPr>
              <w:t>Điều 5. Tỷ lệ an toàn vốn</w:t>
            </w:r>
            <w:bookmarkEnd w:id="1"/>
          </w:p>
          <w:p w14:paraId="605B8616"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 xml:space="preserve">1. Quỹ tín dụng nhân dân phải </w:t>
            </w:r>
            <w:r w:rsidRPr="005239BD">
              <w:rPr>
                <w:rFonts w:eastAsia="Times New Roman" w:cs="Times New Roman"/>
                <w:color w:val="000000"/>
                <w:kern w:val="36"/>
                <w:u w:val="single"/>
                <w:lang w:val="vi-VN"/>
              </w:rPr>
              <w:t>thường xuyên</w:t>
            </w:r>
            <w:r w:rsidRPr="005239BD">
              <w:rPr>
                <w:rFonts w:eastAsia="Times New Roman" w:cs="Times New Roman"/>
                <w:color w:val="000000"/>
                <w:kern w:val="36"/>
                <w:lang w:val="vi-VN"/>
              </w:rPr>
              <w:t xml:space="preserve"> duy trì tỷ lệ an toàn vốn tối thiểu 8%.</w:t>
            </w:r>
          </w:p>
          <w:p w14:paraId="3233D721"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2. Tỷ lệ an toàn vốn được xác định bằng công thức sau:</w:t>
            </w:r>
          </w:p>
          <w:p w14:paraId="09D0DE5D" w14:textId="79CC6923" w:rsidR="00250554" w:rsidRPr="005239BD" w:rsidRDefault="00250554" w:rsidP="005239BD">
            <w:pPr>
              <w:spacing w:before="120" w:after="120"/>
              <w:ind w:right="0"/>
              <w:rPr>
                <w:rFonts w:eastAsia="Times New Roman" w:cs="Times New Roman"/>
                <w:color w:val="000000"/>
                <w:kern w:val="36"/>
                <w:lang w:val="vi-VN"/>
              </w:rPr>
            </w:pPr>
          </w:p>
          <w:p w14:paraId="4D766D39" w14:textId="673B7DB9" w:rsidR="00250554" w:rsidRPr="005239BD" w:rsidRDefault="00250554" w:rsidP="005239BD">
            <w:pPr>
              <w:spacing w:before="120" w:after="120"/>
              <w:ind w:right="0"/>
              <w:rPr>
                <w:rFonts w:eastAsia="Times New Roman" w:cs="Times New Roman"/>
                <w:color w:val="000000"/>
                <w:kern w:val="36"/>
                <w:lang w:val="vi-VN"/>
              </w:rPr>
            </w:pPr>
            <m:oMathPara>
              <m:oMath>
                <m:r>
                  <w:rPr>
                    <w:rFonts w:ascii="Cambria Math" w:eastAsia="Times New Roman" w:hAnsi="Cambria Math" w:cs="Times New Roman"/>
                    <w:color w:val="000000"/>
                    <w:kern w:val="36"/>
                    <w:lang w:val="vi-VN"/>
                  </w:rPr>
                  <m:t>Tỷ lệ an toàn vốn=</m:t>
                </m:r>
                <m:f>
                  <m:fPr>
                    <m:ctrlPr>
                      <w:rPr>
                        <w:rFonts w:ascii="Cambria Math" w:eastAsia="Times New Roman" w:hAnsi="Cambria Math" w:cs="Times New Roman"/>
                        <w:i/>
                        <w:color w:val="000000"/>
                        <w:kern w:val="36"/>
                        <w:lang w:val="vi-VN"/>
                      </w:rPr>
                    </m:ctrlPr>
                  </m:fPr>
                  <m:num>
                    <m:r>
                      <w:rPr>
                        <w:rFonts w:ascii="Cambria Math" w:eastAsia="Times New Roman" w:hAnsi="Cambria Math" w:cs="Times New Roman"/>
                        <w:color w:val="000000"/>
                        <w:kern w:val="36"/>
                        <w:lang w:val="vi-VN"/>
                      </w:rPr>
                      <m:t>Vốn tự có</m:t>
                    </m:r>
                  </m:num>
                  <m:den>
                    <m:r>
                      <w:rPr>
                        <w:rFonts w:ascii="Cambria Math" w:eastAsia="Times New Roman" w:hAnsi="Cambria Math" w:cs="Times New Roman"/>
                        <w:color w:val="000000"/>
                        <w:kern w:val="36"/>
                        <w:lang w:val="vi-VN"/>
                      </w:rPr>
                      <m:t xml:space="preserve">Tổng tài sản </m:t>
                    </m:r>
                    <m:r>
                      <m:rPr>
                        <m:nor/>
                      </m:rPr>
                      <w:rPr>
                        <w:rFonts w:ascii="Cambria Math" w:eastAsia="Times New Roman" w:hAnsi="Cambria Math"/>
                        <w:color w:val="000000"/>
                        <w:kern w:val="36"/>
                      </w:rPr>
                      <m:t>"Có" rủi ro</m:t>
                    </m:r>
                  </m:den>
                </m:f>
                <m:r>
                  <w:rPr>
                    <w:rFonts w:ascii="Cambria Math" w:eastAsia="Times New Roman" w:hAnsi="Cambria Math" w:cs="Times New Roman"/>
                    <w:color w:val="000000"/>
                    <w:kern w:val="36"/>
                    <w:lang w:val="vi-VN"/>
                  </w:rPr>
                  <m:t>×100</m:t>
                </m:r>
              </m:oMath>
            </m:oMathPara>
          </w:p>
          <w:p w14:paraId="2CEF534E"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Trong đó:</w:t>
            </w:r>
          </w:p>
          <w:p w14:paraId="745B8FAE"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 Vốn tự có được xác định theo quy định tại khoản 3 Điều này;</w:t>
            </w:r>
          </w:p>
          <w:p w14:paraId="77A3F6D3"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 Tổng tài sản “Có” rủi ro là tổng giá trị các tài sản “Có” được xác định theo mức độ rủi ro quy định tại khoản 4 Điều này.</w:t>
            </w:r>
          </w:p>
          <w:p w14:paraId="6840FD27" w14:textId="7FBEBAEC"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3. Vốn tự có bao gồm tổng Vốn cấp 1 và Vốn cấp 2 trừ đi Khoản phải trừ khỏi vốn tự có tại thời điểm xác định vốn tự có, cụ thể:</w:t>
            </w:r>
          </w:p>
          <w:p w14:paraId="203CAECA"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a) Vốn cấp 1</w:t>
            </w:r>
          </w:p>
          <w:p w14:paraId="530A4B41"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Vốn cấp 1 gồm:</w:t>
            </w:r>
          </w:p>
          <w:p w14:paraId="4CF5EE94"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(i) Vốn điều lệ;</w:t>
            </w:r>
          </w:p>
          <w:p w14:paraId="11CE882C"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(ii) Vốn đầu tư xây dựng cơ bản, mua sắm tài sản cố định;</w:t>
            </w:r>
          </w:p>
          <w:p w14:paraId="3B4AC2BF"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(iii) Quỹ dự trữ bổ sung vốn điều lệ;</w:t>
            </w:r>
          </w:p>
          <w:p w14:paraId="3E1DED28"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lastRenderedPageBreak/>
              <w:t xml:space="preserve">(iv) Quỹ đầu tư phát triển </w:t>
            </w:r>
            <w:r w:rsidRPr="005F55B3">
              <w:rPr>
                <w:rFonts w:eastAsia="Times New Roman"/>
                <w:color w:val="000000"/>
                <w:kern w:val="36"/>
                <w:u w:val="single"/>
                <w:lang w:val="vi-VN"/>
              </w:rPr>
              <w:t>nghiệp vụ</w:t>
            </w:r>
            <w:r w:rsidRPr="005239BD">
              <w:rPr>
                <w:rFonts w:eastAsia="Times New Roman" w:cs="Times New Roman"/>
                <w:color w:val="000000"/>
                <w:kern w:val="36"/>
                <w:lang w:val="vi-VN"/>
              </w:rPr>
              <w:t>;</w:t>
            </w:r>
          </w:p>
          <w:p w14:paraId="1D1FF438"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(v) Quỹ dự phòng tài chính;</w:t>
            </w:r>
          </w:p>
          <w:p w14:paraId="6DE8D644"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(vi) Vốn của các tổ chức, cá nhân tài trợ không hoàn lại cho quỹ tín dụng nhân dân;</w:t>
            </w:r>
          </w:p>
          <w:p w14:paraId="1870EB50"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 xml:space="preserve">(vii) Lợi nhuận </w:t>
            </w:r>
            <w:r w:rsidRPr="005239BD">
              <w:rPr>
                <w:rFonts w:eastAsia="Times New Roman" w:cs="Times New Roman"/>
                <w:color w:val="000000"/>
                <w:kern w:val="36"/>
                <w:u w:val="single"/>
                <w:lang w:val="vi-VN"/>
              </w:rPr>
              <w:t>không chia</w:t>
            </w:r>
            <w:r w:rsidRPr="005239BD">
              <w:rPr>
                <w:rFonts w:eastAsia="Times New Roman" w:cs="Times New Roman"/>
                <w:color w:val="000000"/>
                <w:kern w:val="36"/>
                <w:lang w:val="vi-VN"/>
              </w:rPr>
              <w:t>;</w:t>
            </w:r>
          </w:p>
          <w:p w14:paraId="3F00123C"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Vốn cấp 1 phải trừ đi các khoản sau:</w:t>
            </w:r>
          </w:p>
          <w:p w14:paraId="00C86E27"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(i) Lỗ lũy kế (nếu có);</w:t>
            </w:r>
          </w:p>
          <w:p w14:paraId="2436864B"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(ii) Số vốn góp vào ngân hàng hợp tác xã;</w:t>
            </w:r>
          </w:p>
          <w:p w14:paraId="5ACAA098"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b) Vốn cấp 2 được tính tối đa bằng 100% giá trị Vốn cấp 1, gồm: Dự phòng chung, tối đa bằng 1,25% tổng tài sản "Có" rủi ro;</w:t>
            </w:r>
          </w:p>
          <w:p w14:paraId="2A7FD926"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c) Khoản phải trừ khỏi vốn tự có: 100% chênh lệch giảm do đánh giá lại tài sản theo quy định của pháp luật.</w:t>
            </w:r>
          </w:p>
          <w:p w14:paraId="05BA5496"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 xml:space="preserve">Việc xác định cụ thể vốn tự có để tính tỷ lệ an toàn vốn </w:t>
            </w:r>
            <w:r w:rsidRPr="001D6C23">
              <w:rPr>
                <w:rFonts w:eastAsia="Times New Roman"/>
                <w:color w:val="000000"/>
                <w:kern w:val="36"/>
                <w:u w:val="single"/>
                <w:lang w:val="vi-VN"/>
              </w:rPr>
              <w:t>tối thiểu</w:t>
            </w:r>
            <w:r w:rsidRPr="005239BD">
              <w:rPr>
                <w:rFonts w:eastAsia="Times New Roman" w:cs="Times New Roman"/>
                <w:color w:val="000000"/>
                <w:kern w:val="36"/>
                <w:lang w:val="vi-VN"/>
              </w:rPr>
              <w:t xml:space="preserve"> được quy định tại </w:t>
            </w:r>
            <w:bookmarkStart w:id="2" w:name="bieumau_pl_01"/>
            <w:r w:rsidRPr="005239BD">
              <w:rPr>
                <w:rFonts w:eastAsia="Times New Roman" w:cs="Times New Roman"/>
                <w:color w:val="000000"/>
                <w:kern w:val="36"/>
                <w:lang w:val="vi-VN"/>
              </w:rPr>
              <w:t>Phụ lục 1</w:t>
            </w:r>
            <w:bookmarkEnd w:id="2"/>
            <w:r w:rsidRPr="005239BD">
              <w:rPr>
                <w:rFonts w:eastAsia="Times New Roman" w:cs="Times New Roman"/>
                <w:color w:val="000000"/>
                <w:kern w:val="36"/>
                <w:lang w:val="vi-VN"/>
              </w:rPr>
              <w:t> ban hành kèm theo Thông tư này.</w:t>
            </w:r>
          </w:p>
          <w:p w14:paraId="584BA06F"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4. Tài sản "Có" được phân nhóm theo các mức độ rủi ro như sau:</w:t>
            </w:r>
          </w:p>
          <w:p w14:paraId="6856A707"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a) Nhóm tài sản có hệ số rủi ro 0% bao gồm:</w:t>
            </w:r>
          </w:p>
          <w:p w14:paraId="5F52962D"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(i) Tiền mặt;</w:t>
            </w:r>
          </w:p>
          <w:p w14:paraId="7E5825FE"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(ii) Tiền gửi tại Ngân hàng Nhà nước;</w:t>
            </w:r>
          </w:p>
          <w:p w14:paraId="16B685D3"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(iii) Tiền gửi tại ngân hàng hợp tác xã;</w:t>
            </w:r>
          </w:p>
          <w:p w14:paraId="7338AF90"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(iv) Dư nợ cho vay có bảo đảm toàn bộ bằng tiền, tiền gửi tại chính quỹ tín dụng nhân dân;</w:t>
            </w:r>
          </w:p>
          <w:p w14:paraId="60B42531"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lastRenderedPageBreak/>
              <w:t>(v) Dư nợ cho vay được bảo đảm toàn bộ bằng giấy tờ có giá do Chính phủ, Ngân hàng Nhà nước phát hành;</w:t>
            </w:r>
          </w:p>
          <w:p w14:paraId="7A03A8A1" w14:textId="5164F45C" w:rsidR="00250554" w:rsidRPr="005239BD" w:rsidRDefault="00250554" w:rsidP="005239BD">
            <w:pPr>
              <w:spacing w:before="120" w:after="120"/>
              <w:ind w:right="0"/>
              <w:rPr>
                <w:rFonts w:eastAsia="Times New Roman" w:cs="Times New Roman"/>
                <w:i/>
                <w:color w:val="000000"/>
                <w:kern w:val="36"/>
                <w:lang w:val="vi-VN"/>
              </w:rPr>
            </w:pPr>
            <w:r w:rsidRPr="005239BD">
              <w:rPr>
                <w:rFonts w:eastAsia="Times New Roman"/>
                <w:i/>
                <w:color w:val="000000"/>
                <w:kern w:val="36"/>
                <w:lang w:val="vi-VN"/>
              </w:rPr>
              <w:t>(vi)</w:t>
            </w:r>
            <w:r w:rsidRPr="005F55B3">
              <w:rPr>
                <w:rFonts w:eastAsia="Times New Roman"/>
                <w:color w:val="000000"/>
                <w:kern w:val="36"/>
                <w:lang w:val="vi-VN"/>
              </w:rPr>
              <w:t xml:space="preserve"> </w:t>
            </w:r>
            <w:r w:rsidRPr="005F55B3">
              <w:rPr>
                <w:rFonts w:eastAsia="Times New Roman"/>
                <w:i/>
                <w:color w:val="000000"/>
                <w:kern w:val="36"/>
                <w:lang w:val="vi-VN"/>
              </w:rPr>
              <w:t>Dư nợ cho vay bằng vốn ủy thác theo quy định của pháp luật về ủy thác trong hoạt động ngân hàng</w:t>
            </w:r>
            <w:r w:rsidRPr="005239BD">
              <w:rPr>
                <w:rFonts w:eastAsia="Times New Roman"/>
                <w:i/>
                <w:color w:val="000000"/>
                <w:kern w:val="36"/>
                <w:lang w:val="vi-VN"/>
              </w:rPr>
              <w:t> (được bãi bỏ)</w:t>
            </w:r>
          </w:p>
          <w:p w14:paraId="796934E7"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b) Nhóm tài sản có hệ số rủi ro 20% bao gồm:</w:t>
            </w:r>
          </w:p>
          <w:p w14:paraId="541F6B0B"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 xml:space="preserve">(i) Tiền gửi </w:t>
            </w:r>
            <w:r w:rsidRPr="005A502B">
              <w:rPr>
                <w:rFonts w:eastAsia="Times New Roman"/>
                <w:color w:val="000000"/>
                <w:kern w:val="36"/>
                <w:lang w:val="vi-VN"/>
              </w:rPr>
              <w:t>thanh toán</w:t>
            </w:r>
            <w:r w:rsidRPr="005239BD">
              <w:rPr>
                <w:rFonts w:eastAsia="Times New Roman" w:cs="Times New Roman"/>
                <w:color w:val="000000"/>
                <w:kern w:val="36"/>
                <w:lang w:val="vi-VN"/>
              </w:rPr>
              <w:t xml:space="preserve"> tại ngân hàng thương mại, chi nhánh ngân hàng nước ngoài;</w:t>
            </w:r>
          </w:p>
          <w:p w14:paraId="545A58D7"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(ii) Dư nợ cho vay được bảo đảm toàn bộ bằng giấy tờ có giá do tổ chức tài chính nhà nước, tổ chức tín dụng, chi nhánh ngân hàng nước ngoài phát hành;</w:t>
            </w:r>
          </w:p>
          <w:p w14:paraId="290F13C3"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c) Nhóm tài sản có hệ số rủi ro 50% bao gồm: Dư nợ cho vay được bảo đảm toàn bộ bằng nhà ở, quyền sử dụng đất, nhà ở gắn với quyền sử dụng đất của bên vay theo quy định của pháp luật;</w:t>
            </w:r>
          </w:p>
          <w:p w14:paraId="4275E9A5"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d) Nhóm tài sản có hệ số rủi ro 100% bao gồm:</w:t>
            </w:r>
          </w:p>
          <w:p w14:paraId="4091358F" w14:textId="7EA46308"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(i) Giá trị nguyên giá của Tài sản cố định của quỹ tín dụng nhân dân;</w:t>
            </w:r>
          </w:p>
          <w:p w14:paraId="1DC087E4" w14:textId="77777777"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(ii) Các tài sản “Có” khác còn lại trên bảng cân đối kế toán ngoài tài sản “Có” quy định tại điểm a, điểm b, điểm c, điểm d(i) khoản này</w:t>
            </w:r>
            <w:r w:rsidRPr="005F55B3">
              <w:rPr>
                <w:rFonts w:eastAsia="Times New Roman"/>
                <w:color w:val="000000"/>
                <w:kern w:val="36"/>
                <w:u w:val="single"/>
                <w:lang w:val="vi-VN"/>
              </w:rPr>
              <w:t xml:space="preserve"> và vốn góp vào ngân hàng hợp tác xã.</w:t>
            </w:r>
          </w:p>
          <w:p w14:paraId="58BE3775" w14:textId="2D0AA9A5" w:rsidR="00250554" w:rsidRPr="005239BD" w:rsidRDefault="00250554" w:rsidP="005239BD">
            <w:pPr>
              <w:spacing w:before="120" w:after="120"/>
              <w:ind w:right="0"/>
              <w:rPr>
                <w:rFonts w:eastAsia="Times New Roman" w:cs="Times New Roman"/>
                <w:color w:val="000000"/>
                <w:kern w:val="36"/>
                <w:lang w:val="vi-VN"/>
              </w:rPr>
            </w:pPr>
            <w:r w:rsidRPr="005239BD">
              <w:rPr>
                <w:rFonts w:eastAsia="Times New Roman" w:cs="Times New Roman"/>
                <w:color w:val="000000"/>
                <w:kern w:val="36"/>
                <w:lang w:val="vi-VN"/>
              </w:rPr>
              <w:t>Việc xác định cụ thể giá trị tài sản "Có" rủi ro được quy định tại </w:t>
            </w:r>
            <w:bookmarkStart w:id="3" w:name="bieumau_pl_02"/>
            <w:r w:rsidRPr="005239BD">
              <w:rPr>
                <w:rFonts w:eastAsia="Times New Roman" w:cs="Times New Roman"/>
                <w:color w:val="000000"/>
                <w:kern w:val="36"/>
                <w:lang w:val="vi-VN"/>
              </w:rPr>
              <w:t>Phụ lục 2</w:t>
            </w:r>
            <w:bookmarkEnd w:id="3"/>
            <w:r w:rsidRPr="005239BD">
              <w:rPr>
                <w:rFonts w:eastAsia="Times New Roman" w:cs="Times New Roman"/>
                <w:color w:val="000000"/>
                <w:kern w:val="36"/>
                <w:lang w:val="vi-VN"/>
              </w:rPr>
              <w:t> ban hành kèm theo Thông tư này.</w:t>
            </w:r>
          </w:p>
        </w:tc>
        <w:tc>
          <w:tcPr>
            <w:tcW w:w="5386" w:type="dxa"/>
            <w:vAlign w:val="center"/>
          </w:tcPr>
          <w:p w14:paraId="2FAA0F28" w14:textId="44A4F2AB" w:rsidR="00250554" w:rsidRPr="005239BD" w:rsidRDefault="00250554" w:rsidP="005239BD">
            <w:pPr>
              <w:spacing w:before="120" w:after="120"/>
              <w:ind w:right="0"/>
              <w:rPr>
                <w:rFonts w:eastAsia="Times New Roman" w:cs="Times New Roman"/>
                <w:b/>
                <w:kern w:val="36"/>
                <w:lang w:val="vi-VN"/>
              </w:rPr>
            </w:pPr>
            <w:r w:rsidRPr="005239BD">
              <w:rPr>
                <w:rFonts w:eastAsia="Times New Roman"/>
                <w:b/>
                <w:kern w:val="36"/>
                <w:lang w:val="vi-VN"/>
              </w:rPr>
              <w:lastRenderedPageBreak/>
              <w:t xml:space="preserve">Điều </w:t>
            </w:r>
            <w:r w:rsidR="00866A74" w:rsidRPr="005239BD">
              <w:rPr>
                <w:rFonts w:eastAsia="Times New Roman"/>
                <w:b/>
                <w:kern w:val="36"/>
              </w:rPr>
              <w:t>8</w:t>
            </w:r>
            <w:r w:rsidRPr="005239BD">
              <w:rPr>
                <w:rFonts w:eastAsia="Times New Roman"/>
                <w:b/>
                <w:kern w:val="36"/>
                <w:lang w:val="vi-VN"/>
              </w:rPr>
              <w:t>. Tỷ lệ an toàn vốn</w:t>
            </w:r>
          </w:p>
          <w:p w14:paraId="2A144920" w14:textId="3E8A7383" w:rsidR="00250554" w:rsidRPr="005239BD" w:rsidRDefault="00250554" w:rsidP="005239BD">
            <w:pPr>
              <w:spacing w:before="120" w:after="120"/>
              <w:ind w:right="0"/>
              <w:rPr>
                <w:rFonts w:eastAsia="Times New Roman" w:cs="Times New Roman"/>
                <w:kern w:val="36"/>
                <w:lang w:val="vi-VN"/>
              </w:rPr>
            </w:pPr>
            <w:r w:rsidRPr="005239BD">
              <w:rPr>
                <w:rFonts w:eastAsia="Times New Roman"/>
                <w:kern w:val="36"/>
                <w:lang w:val="vi-VN"/>
              </w:rPr>
              <w:t>1. Quỹ tín dụng nhân dân phải duy trì tỷ lệ an toàn vốn tối thiểu 8%.</w:t>
            </w:r>
          </w:p>
          <w:p w14:paraId="67461110" w14:textId="77777777" w:rsidR="00250554" w:rsidRPr="005239BD" w:rsidRDefault="00250554" w:rsidP="005239BD">
            <w:pPr>
              <w:spacing w:before="120" w:after="120"/>
              <w:ind w:right="0"/>
              <w:rPr>
                <w:rFonts w:eastAsia="Times New Roman" w:cs="Times New Roman"/>
                <w:kern w:val="36"/>
                <w:lang w:val="vi-VN"/>
              </w:rPr>
            </w:pPr>
            <w:r w:rsidRPr="005239BD">
              <w:rPr>
                <w:rFonts w:eastAsia="Times New Roman"/>
                <w:kern w:val="36"/>
                <w:lang w:val="vi-VN"/>
              </w:rPr>
              <w:t>2. Tỷ lệ an toàn vốn được xác định bằng công thức sau:</w:t>
            </w:r>
          </w:p>
          <w:p w14:paraId="060974BF" w14:textId="5B2F015E" w:rsidR="00250554" w:rsidRPr="005239BD" w:rsidRDefault="00250554" w:rsidP="005239BD">
            <w:pPr>
              <w:spacing w:before="120" w:after="120"/>
              <w:ind w:right="0"/>
              <w:rPr>
                <w:rFonts w:eastAsia="Times New Roman" w:cs="Times New Roman"/>
                <w:kern w:val="36"/>
                <w:lang w:val="vi-VN"/>
              </w:rPr>
            </w:pPr>
          </w:p>
          <w:p w14:paraId="062EBB98" w14:textId="1A61121F" w:rsidR="00250554" w:rsidRPr="005239BD" w:rsidRDefault="00250554" w:rsidP="005239BD">
            <w:pPr>
              <w:spacing w:before="120" w:after="120"/>
              <w:ind w:right="0"/>
              <w:rPr>
                <w:rFonts w:eastAsia="Times New Roman" w:cs="Times New Roman"/>
                <w:color w:val="000000"/>
                <w:kern w:val="36"/>
                <w:lang w:val="vi-VN"/>
              </w:rPr>
            </w:pPr>
            <m:oMathPara>
              <m:oMath>
                <m:r>
                  <w:rPr>
                    <w:rFonts w:ascii="Cambria Math" w:eastAsia="Times New Roman" w:hAnsi="Cambria Math" w:cs="Times New Roman"/>
                    <w:color w:val="000000"/>
                    <w:kern w:val="36"/>
                    <w:lang w:val="vi-VN"/>
                  </w:rPr>
                  <m:t>Tỷ lệ an toàn vốn (%)=</m:t>
                </m:r>
                <m:f>
                  <m:fPr>
                    <m:ctrlPr>
                      <w:rPr>
                        <w:rFonts w:ascii="Cambria Math" w:eastAsia="Times New Roman" w:hAnsi="Cambria Math" w:cs="Times New Roman"/>
                        <w:i/>
                        <w:color w:val="000000"/>
                        <w:kern w:val="36"/>
                        <w:lang w:val="vi-VN"/>
                      </w:rPr>
                    </m:ctrlPr>
                  </m:fPr>
                  <m:num>
                    <m:r>
                      <w:rPr>
                        <w:rFonts w:ascii="Cambria Math" w:eastAsia="Times New Roman" w:hAnsi="Cambria Math" w:cs="Times New Roman"/>
                        <w:color w:val="000000"/>
                        <w:kern w:val="36"/>
                        <w:lang w:val="vi-VN"/>
                      </w:rPr>
                      <m:t>Vốn tự có</m:t>
                    </m:r>
                  </m:num>
                  <m:den>
                    <m:r>
                      <w:rPr>
                        <w:rFonts w:ascii="Cambria Math" w:eastAsia="Times New Roman" w:hAnsi="Cambria Math" w:cs="Times New Roman"/>
                        <w:color w:val="000000"/>
                        <w:kern w:val="36"/>
                        <w:lang w:val="vi-VN"/>
                      </w:rPr>
                      <m:t xml:space="preserve">Tổng tài sản </m:t>
                    </m:r>
                    <m:r>
                      <m:rPr>
                        <m:nor/>
                      </m:rPr>
                      <w:rPr>
                        <w:rFonts w:ascii="Cambria Math" w:eastAsia="Times New Roman" w:hAnsi="Cambria Math"/>
                        <w:color w:val="000000"/>
                        <w:kern w:val="36"/>
                      </w:rPr>
                      <m:t>"Có" rủi ro</m:t>
                    </m:r>
                  </m:den>
                </m:f>
                <m:r>
                  <w:rPr>
                    <w:rFonts w:ascii="Cambria Math" w:eastAsia="Times New Roman" w:hAnsi="Cambria Math" w:cs="Times New Roman"/>
                    <w:color w:val="000000"/>
                    <w:kern w:val="36"/>
                    <w:lang w:val="vi-VN"/>
                  </w:rPr>
                  <m:t>×100</m:t>
                </m:r>
              </m:oMath>
            </m:oMathPara>
          </w:p>
          <w:p w14:paraId="33D08660" w14:textId="77777777" w:rsidR="00250554" w:rsidRPr="005239BD" w:rsidRDefault="00250554" w:rsidP="005239BD">
            <w:pPr>
              <w:spacing w:before="120" w:after="120"/>
              <w:ind w:right="0"/>
              <w:rPr>
                <w:rFonts w:eastAsia="Times New Roman" w:cs="Times New Roman"/>
                <w:kern w:val="36"/>
                <w:lang w:val="vi-VN"/>
              </w:rPr>
            </w:pPr>
            <w:r w:rsidRPr="005239BD">
              <w:rPr>
                <w:rFonts w:eastAsia="Times New Roman"/>
                <w:kern w:val="36"/>
                <w:lang w:val="vi-VN"/>
              </w:rPr>
              <w:t>Trong đó:</w:t>
            </w:r>
          </w:p>
          <w:p w14:paraId="61BFD32F" w14:textId="77777777" w:rsidR="00250554" w:rsidRPr="005239BD" w:rsidRDefault="00250554" w:rsidP="005239BD">
            <w:pPr>
              <w:spacing w:before="120" w:after="120"/>
              <w:ind w:right="0"/>
              <w:rPr>
                <w:rFonts w:eastAsia="Times New Roman" w:cs="Times New Roman"/>
                <w:kern w:val="36"/>
                <w:lang w:val="vi-VN"/>
              </w:rPr>
            </w:pPr>
            <w:r w:rsidRPr="005239BD">
              <w:rPr>
                <w:rFonts w:eastAsia="Times New Roman"/>
                <w:kern w:val="36"/>
                <w:lang w:val="vi-VN"/>
              </w:rPr>
              <w:t>- Vốn tự có được xác định theo quy định tại khoản 3 Điều này;</w:t>
            </w:r>
          </w:p>
          <w:p w14:paraId="1715A8C3" w14:textId="77777777" w:rsidR="00250554" w:rsidRPr="005239BD" w:rsidRDefault="00250554" w:rsidP="005239BD">
            <w:pPr>
              <w:spacing w:before="120" w:after="120"/>
              <w:ind w:right="0"/>
              <w:rPr>
                <w:rFonts w:eastAsia="Times New Roman" w:cs="Times New Roman"/>
                <w:kern w:val="36"/>
                <w:lang w:val="vi-VN"/>
              </w:rPr>
            </w:pPr>
            <w:r w:rsidRPr="005239BD">
              <w:rPr>
                <w:rFonts w:eastAsia="Times New Roman"/>
                <w:kern w:val="36"/>
                <w:lang w:val="vi-VN"/>
              </w:rPr>
              <w:t>- Tổng tài sản “Có” rủi ro là tổng giá trị các tài sản “Có” được xác định theo mức độ rủi ro quy định tại khoản 4 Điều này.</w:t>
            </w:r>
          </w:p>
          <w:p w14:paraId="34F80FE4" w14:textId="77777777" w:rsidR="00250554" w:rsidRPr="005239BD" w:rsidRDefault="00250554" w:rsidP="005239BD">
            <w:pPr>
              <w:spacing w:before="120" w:after="120"/>
              <w:ind w:right="0"/>
              <w:rPr>
                <w:rFonts w:eastAsia="Times New Roman" w:cs="Times New Roman"/>
                <w:kern w:val="36"/>
                <w:lang w:val="vi-VN"/>
              </w:rPr>
            </w:pPr>
            <w:r w:rsidRPr="005239BD">
              <w:rPr>
                <w:rFonts w:eastAsia="Times New Roman"/>
                <w:kern w:val="36"/>
                <w:lang w:val="vi-VN"/>
              </w:rPr>
              <w:t>3. Vốn tự có bao gồm tổng Vốn cấp 1 và Vốn cấp 2 trừ đi Khoản phải trừ khỏi vốn tự có tại thời điểm xác định vốn tự có, cụ thể:</w:t>
            </w:r>
          </w:p>
          <w:p w14:paraId="2B866982" w14:textId="77777777" w:rsidR="00250554" w:rsidRPr="005239BD" w:rsidRDefault="00250554" w:rsidP="005239BD">
            <w:pPr>
              <w:spacing w:before="120" w:after="120"/>
              <w:ind w:right="0"/>
              <w:rPr>
                <w:rFonts w:eastAsia="Times New Roman" w:cs="Times New Roman"/>
                <w:kern w:val="36"/>
                <w:lang w:val="vi-VN"/>
              </w:rPr>
            </w:pPr>
            <w:r w:rsidRPr="005239BD">
              <w:rPr>
                <w:rFonts w:eastAsia="Times New Roman"/>
                <w:kern w:val="36"/>
                <w:lang w:val="vi-VN"/>
              </w:rPr>
              <w:t>a) Vốn cấp 1</w:t>
            </w:r>
          </w:p>
          <w:p w14:paraId="5E8A653C" w14:textId="77777777" w:rsidR="00250554" w:rsidRPr="005239BD" w:rsidRDefault="00250554" w:rsidP="005239BD">
            <w:pPr>
              <w:spacing w:before="120" w:after="120"/>
              <w:ind w:right="0"/>
              <w:rPr>
                <w:rFonts w:eastAsia="Times New Roman" w:cs="Times New Roman"/>
                <w:kern w:val="36"/>
                <w:lang w:val="vi-VN"/>
              </w:rPr>
            </w:pPr>
            <w:r w:rsidRPr="005239BD">
              <w:rPr>
                <w:rFonts w:eastAsia="Times New Roman"/>
                <w:kern w:val="36"/>
                <w:lang w:val="vi-VN"/>
              </w:rPr>
              <w:t>Vốn cấp 1 gồm:</w:t>
            </w:r>
          </w:p>
          <w:p w14:paraId="7E5A93CC" w14:textId="77777777" w:rsidR="00250554" w:rsidRPr="005239BD" w:rsidRDefault="00250554" w:rsidP="005239BD">
            <w:pPr>
              <w:spacing w:before="120" w:after="120"/>
              <w:ind w:right="0"/>
              <w:rPr>
                <w:rFonts w:eastAsia="Times New Roman" w:cs="Times New Roman"/>
                <w:kern w:val="36"/>
                <w:lang w:val="vi-VN"/>
              </w:rPr>
            </w:pPr>
            <w:r w:rsidRPr="005239BD">
              <w:rPr>
                <w:rFonts w:eastAsia="Times New Roman"/>
                <w:kern w:val="36"/>
                <w:lang w:val="vi-VN"/>
              </w:rPr>
              <w:t>(i) Vốn điều lệ;</w:t>
            </w:r>
          </w:p>
          <w:p w14:paraId="73E4F39D" w14:textId="77777777" w:rsidR="00250554" w:rsidRPr="005239BD" w:rsidRDefault="00250554" w:rsidP="005239BD">
            <w:pPr>
              <w:spacing w:before="120" w:after="120"/>
              <w:ind w:right="0"/>
              <w:rPr>
                <w:rFonts w:eastAsia="Times New Roman" w:cs="Times New Roman"/>
                <w:kern w:val="36"/>
                <w:lang w:val="vi-VN"/>
              </w:rPr>
            </w:pPr>
            <w:r w:rsidRPr="005239BD">
              <w:rPr>
                <w:rFonts w:eastAsia="Times New Roman"/>
                <w:kern w:val="36"/>
                <w:lang w:val="vi-VN"/>
              </w:rPr>
              <w:t>(ii) Vốn đầu tư xây dựng cơ bản, mua sắm tài sản cố định;</w:t>
            </w:r>
          </w:p>
          <w:p w14:paraId="3162CDA4" w14:textId="77777777" w:rsidR="00250554" w:rsidRPr="005239BD" w:rsidRDefault="00250554" w:rsidP="005239BD">
            <w:pPr>
              <w:spacing w:before="120" w:after="120"/>
              <w:ind w:right="0"/>
              <w:rPr>
                <w:rFonts w:eastAsia="Times New Roman" w:cs="Times New Roman"/>
                <w:kern w:val="36"/>
                <w:lang w:val="vi-VN"/>
              </w:rPr>
            </w:pPr>
            <w:r w:rsidRPr="005239BD">
              <w:rPr>
                <w:rFonts w:eastAsia="Times New Roman"/>
                <w:kern w:val="36"/>
                <w:lang w:val="vi-VN"/>
              </w:rPr>
              <w:t>(iii) Quỹ dự trữ bổ sung vốn điều lệ;</w:t>
            </w:r>
          </w:p>
          <w:p w14:paraId="3677CCF1" w14:textId="0D357796" w:rsidR="00250554" w:rsidRPr="005239BD" w:rsidRDefault="00250554" w:rsidP="005239BD">
            <w:pPr>
              <w:spacing w:before="120" w:after="120"/>
              <w:ind w:right="0"/>
              <w:rPr>
                <w:rFonts w:eastAsia="Times New Roman" w:cs="Times New Roman"/>
                <w:kern w:val="36"/>
                <w:lang w:val="vi-VN"/>
              </w:rPr>
            </w:pPr>
            <w:r w:rsidRPr="005239BD">
              <w:rPr>
                <w:rFonts w:eastAsia="Times New Roman"/>
                <w:kern w:val="36"/>
                <w:lang w:val="vi-VN"/>
              </w:rPr>
              <w:lastRenderedPageBreak/>
              <w:t>(iv) Quỹ đầu tư phát triển;</w:t>
            </w:r>
          </w:p>
          <w:p w14:paraId="2CFE1484" w14:textId="77777777" w:rsidR="00250554" w:rsidRPr="005239BD" w:rsidRDefault="00250554" w:rsidP="005239BD">
            <w:pPr>
              <w:spacing w:before="120" w:after="120"/>
              <w:ind w:right="0"/>
              <w:rPr>
                <w:rFonts w:eastAsia="Times New Roman" w:cs="Times New Roman"/>
                <w:kern w:val="36"/>
                <w:lang w:val="vi-VN"/>
              </w:rPr>
            </w:pPr>
            <w:r w:rsidRPr="005239BD">
              <w:rPr>
                <w:rFonts w:eastAsia="Times New Roman"/>
                <w:kern w:val="36"/>
                <w:lang w:val="vi-VN"/>
              </w:rPr>
              <w:t>(v) Quỹ dự phòng tài chính;</w:t>
            </w:r>
          </w:p>
          <w:p w14:paraId="2A65D310" w14:textId="77777777" w:rsidR="00250554" w:rsidRPr="005239BD" w:rsidRDefault="00250554" w:rsidP="005239BD">
            <w:pPr>
              <w:spacing w:before="120" w:after="120"/>
              <w:ind w:right="0"/>
              <w:rPr>
                <w:rFonts w:eastAsia="Times New Roman" w:cs="Times New Roman"/>
                <w:kern w:val="36"/>
                <w:lang w:val="vi-VN"/>
              </w:rPr>
            </w:pPr>
            <w:r w:rsidRPr="005239BD">
              <w:rPr>
                <w:rFonts w:eastAsia="Times New Roman"/>
                <w:kern w:val="36"/>
                <w:lang w:val="vi-VN"/>
              </w:rPr>
              <w:t>(vi) Vốn của các tổ chức, cá nhân tài trợ không hoàn lại cho quỹ tín dụng nhân dân;</w:t>
            </w:r>
          </w:p>
          <w:p w14:paraId="1F5ECEC0" w14:textId="2D23BB93" w:rsidR="00250554" w:rsidRPr="005239BD" w:rsidRDefault="00250554" w:rsidP="005239BD">
            <w:pPr>
              <w:spacing w:before="120" w:after="120"/>
              <w:ind w:right="0"/>
              <w:rPr>
                <w:rFonts w:eastAsia="Times New Roman" w:cs="Times New Roman"/>
                <w:kern w:val="36"/>
                <w:lang w:val="vi-VN"/>
              </w:rPr>
            </w:pPr>
            <w:r w:rsidRPr="005239BD">
              <w:rPr>
                <w:rFonts w:eastAsia="Times New Roman"/>
                <w:kern w:val="36"/>
                <w:lang w:val="vi-VN"/>
              </w:rPr>
              <w:t xml:space="preserve">(vii) Lợi nhuận </w:t>
            </w:r>
            <w:r w:rsidR="00283FB4" w:rsidRPr="005F55B3">
              <w:rPr>
                <w:rFonts w:eastAsia="Times New Roman"/>
                <w:i/>
                <w:kern w:val="36"/>
                <w:lang w:val="vi-VN"/>
              </w:rPr>
              <w:t>lũy kế</w:t>
            </w:r>
            <w:r w:rsidR="00283FB4" w:rsidRPr="005F55B3">
              <w:rPr>
                <w:rFonts w:eastAsia="Times New Roman"/>
                <w:kern w:val="36"/>
                <w:lang w:val="vi-VN"/>
              </w:rPr>
              <w:t xml:space="preserve"> </w:t>
            </w:r>
            <w:r w:rsidR="001338B9" w:rsidRPr="005F55B3">
              <w:rPr>
                <w:rFonts w:eastAsia="Times New Roman"/>
                <w:i/>
                <w:kern w:val="36"/>
                <w:lang w:val="vi-VN"/>
              </w:rPr>
              <w:t>chưa phân phối</w:t>
            </w:r>
            <w:r w:rsidRPr="005239BD">
              <w:rPr>
                <w:rFonts w:eastAsia="Times New Roman"/>
                <w:kern w:val="36"/>
                <w:lang w:val="vi-VN"/>
              </w:rPr>
              <w:t>;</w:t>
            </w:r>
          </w:p>
          <w:p w14:paraId="132E6F99" w14:textId="77777777" w:rsidR="00250554" w:rsidRPr="005239BD" w:rsidRDefault="00250554" w:rsidP="005239BD">
            <w:pPr>
              <w:spacing w:before="120" w:after="120"/>
              <w:ind w:right="0"/>
              <w:rPr>
                <w:rFonts w:eastAsia="Times New Roman" w:cs="Times New Roman"/>
                <w:kern w:val="36"/>
                <w:lang w:val="vi-VN"/>
              </w:rPr>
            </w:pPr>
            <w:r w:rsidRPr="005239BD">
              <w:rPr>
                <w:rFonts w:eastAsia="Times New Roman"/>
                <w:kern w:val="36"/>
                <w:lang w:val="vi-VN"/>
              </w:rPr>
              <w:t>Vốn cấp 1 phải trừ đi các khoản sau:</w:t>
            </w:r>
          </w:p>
          <w:p w14:paraId="777BFDDF" w14:textId="77777777" w:rsidR="00250554" w:rsidRPr="005239BD" w:rsidRDefault="00250554" w:rsidP="005239BD">
            <w:pPr>
              <w:spacing w:before="120" w:after="120"/>
              <w:ind w:right="0"/>
              <w:rPr>
                <w:rFonts w:eastAsia="Times New Roman" w:cs="Times New Roman"/>
                <w:kern w:val="36"/>
                <w:lang w:val="vi-VN"/>
              </w:rPr>
            </w:pPr>
            <w:r w:rsidRPr="005239BD">
              <w:rPr>
                <w:rFonts w:eastAsia="Times New Roman"/>
                <w:kern w:val="36"/>
                <w:lang w:val="vi-VN"/>
              </w:rPr>
              <w:t>(i) Lỗ lũy kế (nếu có);</w:t>
            </w:r>
          </w:p>
          <w:p w14:paraId="6AC7442D" w14:textId="77777777" w:rsidR="00250554" w:rsidRPr="005239BD" w:rsidRDefault="00250554" w:rsidP="005239BD">
            <w:pPr>
              <w:spacing w:before="120" w:after="120"/>
              <w:ind w:right="0"/>
              <w:rPr>
                <w:rFonts w:eastAsia="Times New Roman" w:cs="Times New Roman"/>
                <w:kern w:val="36"/>
                <w:lang w:val="vi-VN"/>
              </w:rPr>
            </w:pPr>
            <w:r w:rsidRPr="005239BD">
              <w:rPr>
                <w:rFonts w:eastAsia="Times New Roman"/>
                <w:kern w:val="36"/>
                <w:lang w:val="vi-VN"/>
              </w:rPr>
              <w:t>(ii) Số vốn góp vào ngân hàng hợp tác xã;</w:t>
            </w:r>
          </w:p>
          <w:p w14:paraId="798F6F66" w14:textId="77777777" w:rsidR="00250554" w:rsidRPr="005239BD" w:rsidRDefault="00250554" w:rsidP="005239BD">
            <w:pPr>
              <w:spacing w:before="120" w:after="120"/>
              <w:ind w:right="0"/>
              <w:rPr>
                <w:rFonts w:eastAsia="Times New Roman" w:cs="Times New Roman"/>
                <w:kern w:val="36"/>
                <w:lang w:val="vi-VN"/>
              </w:rPr>
            </w:pPr>
            <w:r w:rsidRPr="005239BD">
              <w:rPr>
                <w:rFonts w:eastAsia="Times New Roman"/>
                <w:kern w:val="36"/>
                <w:lang w:val="vi-VN"/>
              </w:rPr>
              <w:t>b) Vốn cấp 2 được tính tối đa bằng 100% giá trị Vốn cấp 1, gồm: Dự phòng chung, tối đa bằng 1,25% tổng tài sản "Có" rủi ro;</w:t>
            </w:r>
          </w:p>
          <w:p w14:paraId="0EB1A268" w14:textId="77777777" w:rsidR="00250554" w:rsidRPr="005239BD" w:rsidRDefault="00250554" w:rsidP="005239BD">
            <w:pPr>
              <w:spacing w:before="120" w:after="120"/>
              <w:ind w:right="0"/>
              <w:rPr>
                <w:rFonts w:eastAsia="Times New Roman" w:cs="Times New Roman"/>
                <w:kern w:val="36"/>
                <w:lang w:val="vi-VN"/>
              </w:rPr>
            </w:pPr>
            <w:r w:rsidRPr="005239BD">
              <w:rPr>
                <w:rFonts w:eastAsia="Times New Roman"/>
                <w:kern w:val="36"/>
                <w:lang w:val="vi-VN"/>
              </w:rPr>
              <w:t>c) Khoản phải trừ khỏi vốn tự có: 100% chênh lệch giảm do đánh giá lại tài sản theo quy định của pháp luật.</w:t>
            </w:r>
          </w:p>
          <w:p w14:paraId="4FB0171E" w14:textId="1E360C2B" w:rsidR="00250554" w:rsidRPr="005239BD" w:rsidRDefault="00250554" w:rsidP="005239BD">
            <w:pPr>
              <w:spacing w:before="120" w:after="120"/>
              <w:ind w:right="0"/>
              <w:rPr>
                <w:rFonts w:eastAsia="Times New Roman" w:cs="Times New Roman"/>
                <w:kern w:val="36"/>
                <w:lang w:val="vi-VN"/>
              </w:rPr>
            </w:pPr>
            <w:r w:rsidRPr="005239BD">
              <w:rPr>
                <w:rFonts w:eastAsia="Times New Roman"/>
                <w:kern w:val="36"/>
                <w:lang w:val="vi-VN"/>
              </w:rPr>
              <w:t>Việc xác định cụ thể vốn tự có để tính tỷ lệ an toàn vốn</w:t>
            </w:r>
            <w:r w:rsidR="00EB655A">
              <w:rPr>
                <w:rFonts w:eastAsia="Times New Roman"/>
                <w:kern w:val="36"/>
              </w:rPr>
              <w:t xml:space="preserve"> </w:t>
            </w:r>
            <w:r w:rsidRPr="005239BD">
              <w:rPr>
                <w:rFonts w:eastAsia="Times New Roman"/>
                <w:kern w:val="36"/>
                <w:lang w:val="vi-VN"/>
              </w:rPr>
              <w:t xml:space="preserve">được quy định tại Phụ lục </w:t>
            </w:r>
            <w:r w:rsidR="00F7631D" w:rsidRPr="005F55B3">
              <w:rPr>
                <w:rFonts w:eastAsia="Times New Roman"/>
                <w:kern w:val="36"/>
                <w:lang w:val="vi-VN"/>
              </w:rPr>
              <w:t>I</w:t>
            </w:r>
            <w:r w:rsidRPr="005239BD">
              <w:rPr>
                <w:rFonts w:eastAsia="Times New Roman"/>
                <w:kern w:val="36"/>
                <w:lang w:val="vi-VN"/>
              </w:rPr>
              <w:t> ban hành kèm theo Thông tư này.</w:t>
            </w:r>
          </w:p>
          <w:p w14:paraId="3173C19A" w14:textId="77777777" w:rsidR="00250554" w:rsidRPr="005239BD" w:rsidRDefault="00250554" w:rsidP="005239BD">
            <w:pPr>
              <w:spacing w:before="120" w:after="120"/>
              <w:ind w:right="0"/>
              <w:rPr>
                <w:rFonts w:eastAsia="Times New Roman" w:cs="Times New Roman"/>
                <w:kern w:val="36"/>
                <w:lang w:val="vi-VN"/>
              </w:rPr>
            </w:pPr>
            <w:r w:rsidRPr="005239BD">
              <w:rPr>
                <w:rFonts w:eastAsia="Times New Roman"/>
                <w:kern w:val="36"/>
                <w:lang w:val="vi-VN"/>
              </w:rPr>
              <w:t>4. Tài sản "Có" được phân nhóm theo các mức độ rủi ro như sau:</w:t>
            </w:r>
          </w:p>
          <w:p w14:paraId="40D6F368" w14:textId="77777777" w:rsidR="00250554" w:rsidRPr="005239BD" w:rsidRDefault="00250554" w:rsidP="005239BD">
            <w:pPr>
              <w:spacing w:before="120" w:after="120"/>
              <w:ind w:right="0"/>
              <w:rPr>
                <w:rFonts w:eastAsia="Times New Roman" w:cs="Times New Roman"/>
                <w:kern w:val="36"/>
                <w:lang w:val="vi-VN"/>
              </w:rPr>
            </w:pPr>
            <w:r w:rsidRPr="005239BD">
              <w:rPr>
                <w:rFonts w:eastAsia="Times New Roman"/>
                <w:kern w:val="36"/>
                <w:lang w:val="vi-VN"/>
              </w:rPr>
              <w:t>a) Nhóm tài sản có hệ số rủi ro 0% bao gồm:</w:t>
            </w:r>
          </w:p>
          <w:p w14:paraId="1144BB0B" w14:textId="77777777" w:rsidR="00250554" w:rsidRPr="005239BD" w:rsidRDefault="00250554" w:rsidP="005239BD">
            <w:pPr>
              <w:spacing w:before="120" w:after="120"/>
              <w:ind w:right="0"/>
              <w:rPr>
                <w:rFonts w:eastAsia="Times New Roman" w:cs="Times New Roman"/>
                <w:kern w:val="36"/>
                <w:lang w:val="vi-VN"/>
              </w:rPr>
            </w:pPr>
            <w:r w:rsidRPr="005239BD">
              <w:rPr>
                <w:rFonts w:eastAsia="Times New Roman"/>
                <w:kern w:val="36"/>
                <w:lang w:val="vi-VN"/>
              </w:rPr>
              <w:t>(i) Tiền mặt;</w:t>
            </w:r>
          </w:p>
          <w:p w14:paraId="14C85BCE" w14:textId="77777777" w:rsidR="00250554" w:rsidRPr="005239BD" w:rsidRDefault="00250554" w:rsidP="005239BD">
            <w:pPr>
              <w:spacing w:before="120" w:after="120"/>
              <w:ind w:right="0"/>
              <w:rPr>
                <w:rFonts w:eastAsia="Times New Roman" w:cs="Times New Roman"/>
                <w:kern w:val="36"/>
                <w:lang w:val="vi-VN"/>
              </w:rPr>
            </w:pPr>
            <w:r w:rsidRPr="005239BD">
              <w:rPr>
                <w:rFonts w:eastAsia="Times New Roman"/>
                <w:kern w:val="36"/>
                <w:lang w:val="vi-VN"/>
              </w:rPr>
              <w:t>(ii) Tiền gửi tại Ngân hàng Nhà nước;</w:t>
            </w:r>
          </w:p>
          <w:p w14:paraId="6576BA43" w14:textId="44B3FD98" w:rsidR="00250554" w:rsidRDefault="00250554" w:rsidP="005239BD">
            <w:pPr>
              <w:spacing w:before="120" w:after="120"/>
              <w:ind w:right="0"/>
              <w:rPr>
                <w:rFonts w:eastAsia="Times New Roman"/>
                <w:kern w:val="36"/>
                <w:lang w:val="vi-VN"/>
              </w:rPr>
            </w:pPr>
            <w:r w:rsidRPr="005239BD">
              <w:rPr>
                <w:rFonts w:eastAsia="Times New Roman"/>
                <w:kern w:val="36"/>
                <w:lang w:val="vi-VN"/>
              </w:rPr>
              <w:t>(iii) Tiền gửi tại ngân hàng hợp tác xã;</w:t>
            </w:r>
          </w:p>
          <w:p w14:paraId="16D480AC" w14:textId="52CA0941" w:rsidR="00250554" w:rsidRPr="005239BD" w:rsidRDefault="00250554" w:rsidP="005239BD">
            <w:pPr>
              <w:spacing w:before="120" w:after="120"/>
              <w:ind w:right="0"/>
              <w:rPr>
                <w:rFonts w:eastAsia="Times New Roman" w:cs="Times New Roman"/>
                <w:kern w:val="36"/>
                <w:lang w:val="vi-VN"/>
              </w:rPr>
            </w:pPr>
            <w:r w:rsidRPr="005239BD">
              <w:rPr>
                <w:rFonts w:eastAsia="Times New Roman"/>
                <w:kern w:val="36"/>
                <w:lang w:val="vi-VN"/>
              </w:rPr>
              <w:t>(</w:t>
            </w:r>
            <w:r w:rsidR="002B12CC">
              <w:rPr>
                <w:rFonts w:eastAsia="Times New Roman"/>
                <w:kern w:val="36"/>
              </w:rPr>
              <w:t>i</w:t>
            </w:r>
            <w:r w:rsidRPr="005239BD">
              <w:rPr>
                <w:rFonts w:eastAsia="Times New Roman"/>
                <w:kern w:val="36"/>
                <w:lang w:val="vi-VN"/>
              </w:rPr>
              <w:t>v) Dư nợ cho vay có bảo đảm toàn bộ bằng tiền, tiền gửi tại chính quỹ tín dụng nhân dân;</w:t>
            </w:r>
          </w:p>
          <w:p w14:paraId="71590246" w14:textId="79730C97" w:rsidR="00250554" w:rsidRDefault="00250554" w:rsidP="005239BD">
            <w:pPr>
              <w:spacing w:before="120" w:after="120"/>
              <w:ind w:right="0"/>
              <w:rPr>
                <w:rFonts w:eastAsia="Times New Roman"/>
                <w:kern w:val="36"/>
                <w:lang w:val="vi-VN"/>
              </w:rPr>
            </w:pPr>
            <w:r w:rsidRPr="005239BD">
              <w:rPr>
                <w:rFonts w:eastAsia="Times New Roman"/>
                <w:kern w:val="36"/>
                <w:lang w:val="vi-VN"/>
              </w:rPr>
              <w:lastRenderedPageBreak/>
              <w:t>(v) Dư nợ cho vay được bảo đảm toàn bộ bằng giấy tờ có giá do Chính phủ, Ngân hàng Nhà nước phát hành;</w:t>
            </w:r>
          </w:p>
          <w:p w14:paraId="2353A486" w14:textId="0EC694D1" w:rsidR="00CF0736" w:rsidRPr="00A27A85" w:rsidRDefault="00CF0736" w:rsidP="005239BD">
            <w:pPr>
              <w:spacing w:before="120" w:after="120"/>
              <w:ind w:right="0"/>
              <w:rPr>
                <w:rFonts w:eastAsia="Times New Roman" w:cs="Times New Roman"/>
                <w:i/>
                <w:kern w:val="36"/>
                <w:lang w:val="vi-VN"/>
              </w:rPr>
            </w:pPr>
            <w:r w:rsidRPr="00A27A85">
              <w:rPr>
                <w:rFonts w:eastAsia="Times New Roman"/>
                <w:i/>
                <w:kern w:val="36"/>
              </w:rPr>
              <w:t xml:space="preserve">(vi) </w:t>
            </w:r>
            <w:r w:rsidRPr="00A27A85">
              <w:rPr>
                <w:rFonts w:eastAsia="Times New Roman"/>
                <w:i/>
                <w:kern w:val="36"/>
                <w:lang w:val="vi-VN"/>
              </w:rPr>
              <w:t>Vốn góp vào ngân hàng hợp tác xã.</w:t>
            </w:r>
          </w:p>
          <w:p w14:paraId="224D56F7" w14:textId="77777777" w:rsidR="00250554" w:rsidRPr="005239BD" w:rsidRDefault="00250554" w:rsidP="005239BD">
            <w:pPr>
              <w:spacing w:before="120" w:after="120"/>
              <w:ind w:right="0"/>
              <w:rPr>
                <w:rFonts w:eastAsia="Times New Roman" w:cs="Times New Roman"/>
                <w:kern w:val="36"/>
                <w:lang w:val="vi-VN"/>
              </w:rPr>
            </w:pPr>
            <w:r w:rsidRPr="005239BD">
              <w:rPr>
                <w:rFonts w:eastAsia="Times New Roman"/>
                <w:kern w:val="36"/>
                <w:lang w:val="vi-VN"/>
              </w:rPr>
              <w:t>b) Nhóm tài sản có hệ số rủi ro 20% bao gồm:</w:t>
            </w:r>
          </w:p>
          <w:p w14:paraId="0C0DF3DC" w14:textId="71A64817" w:rsidR="00250554" w:rsidRPr="005239BD" w:rsidRDefault="00250554" w:rsidP="005239BD">
            <w:pPr>
              <w:spacing w:before="120" w:after="120"/>
              <w:ind w:right="0"/>
              <w:rPr>
                <w:rFonts w:eastAsia="Times New Roman" w:cs="Times New Roman"/>
                <w:kern w:val="36"/>
                <w:lang w:val="vi-VN"/>
              </w:rPr>
            </w:pPr>
            <w:r w:rsidRPr="005239BD">
              <w:rPr>
                <w:rFonts w:eastAsia="Times New Roman"/>
                <w:kern w:val="36"/>
                <w:lang w:val="vi-VN"/>
              </w:rPr>
              <w:t xml:space="preserve">(i) Tiền gửi </w:t>
            </w:r>
            <w:r w:rsidR="0021344B">
              <w:rPr>
                <w:rFonts w:eastAsia="Times New Roman"/>
                <w:kern w:val="36"/>
              </w:rPr>
              <w:t xml:space="preserve">thanh toán </w:t>
            </w:r>
            <w:r w:rsidRPr="005239BD">
              <w:rPr>
                <w:rFonts w:eastAsia="Times New Roman"/>
                <w:kern w:val="36"/>
                <w:lang w:val="vi-VN"/>
              </w:rPr>
              <w:t>tại ngân hàng thương mại, chi nhánh ngân hàng nước ngoài</w:t>
            </w:r>
            <w:r w:rsidR="007F44D0" w:rsidRPr="005F55B3">
              <w:rPr>
                <w:rFonts w:eastAsia="Times New Roman"/>
                <w:kern w:val="36"/>
                <w:lang w:val="vi-VN"/>
              </w:rPr>
              <w:t>, trừ tiền gửi tại tổ chức tín dụng được kiểm soát đặc biệt theo quy định tại khoản 9 Điều 174 Luật Các tổ chức tín dụng</w:t>
            </w:r>
            <w:r w:rsidRPr="005239BD">
              <w:rPr>
                <w:rFonts w:eastAsia="Times New Roman"/>
                <w:kern w:val="36"/>
                <w:lang w:val="vi-VN"/>
              </w:rPr>
              <w:t>;</w:t>
            </w:r>
          </w:p>
          <w:p w14:paraId="0E510642" w14:textId="77777777" w:rsidR="00250554" w:rsidRPr="005239BD" w:rsidRDefault="00250554" w:rsidP="005239BD">
            <w:pPr>
              <w:spacing w:before="120" w:after="120"/>
              <w:ind w:right="0"/>
              <w:rPr>
                <w:rFonts w:eastAsia="Times New Roman" w:cs="Times New Roman"/>
                <w:kern w:val="36"/>
                <w:lang w:val="vi-VN"/>
              </w:rPr>
            </w:pPr>
            <w:r w:rsidRPr="005239BD">
              <w:rPr>
                <w:rFonts w:eastAsia="Times New Roman"/>
                <w:kern w:val="36"/>
                <w:lang w:val="vi-VN"/>
              </w:rPr>
              <w:t>(ii) Dư nợ cho vay được bảo đảm toàn bộ bằng giấy tờ có giá do tổ chức tài chính nhà nước, tổ chức tín dụng, chi nhánh ngân hàng nước ngoài phát hành;</w:t>
            </w:r>
          </w:p>
          <w:p w14:paraId="5569C274" w14:textId="77777777" w:rsidR="00250554" w:rsidRPr="005239BD" w:rsidRDefault="00250554" w:rsidP="005239BD">
            <w:pPr>
              <w:spacing w:before="120" w:after="120"/>
              <w:ind w:right="0"/>
              <w:rPr>
                <w:rFonts w:eastAsia="Times New Roman" w:cs="Times New Roman"/>
                <w:kern w:val="36"/>
                <w:lang w:val="vi-VN"/>
              </w:rPr>
            </w:pPr>
            <w:r w:rsidRPr="005239BD">
              <w:rPr>
                <w:rFonts w:eastAsia="Times New Roman"/>
                <w:kern w:val="36"/>
                <w:lang w:val="vi-VN"/>
              </w:rPr>
              <w:t>c) Nhóm tài sản có hệ số rủi ro 50% bao gồm: Dư nợ cho vay được bảo đảm toàn bộ bằng nhà ở, quyền sử dụng đất, nhà ở gắn với quyền sử dụng đất của bên vay theo quy định của pháp luật;</w:t>
            </w:r>
          </w:p>
          <w:p w14:paraId="5555C9FC" w14:textId="77777777" w:rsidR="00250554" w:rsidRPr="005239BD" w:rsidRDefault="00250554" w:rsidP="005239BD">
            <w:pPr>
              <w:spacing w:before="120" w:after="120"/>
              <w:ind w:right="0"/>
              <w:rPr>
                <w:rFonts w:eastAsia="Times New Roman" w:cs="Times New Roman"/>
                <w:kern w:val="36"/>
                <w:lang w:val="vi-VN"/>
              </w:rPr>
            </w:pPr>
            <w:r w:rsidRPr="005239BD">
              <w:rPr>
                <w:rFonts w:eastAsia="Times New Roman"/>
                <w:kern w:val="36"/>
                <w:lang w:val="vi-VN"/>
              </w:rPr>
              <w:t>d) Nhóm tài sản có hệ số rủi ro 100% bao gồm:</w:t>
            </w:r>
          </w:p>
          <w:p w14:paraId="5732AD53" w14:textId="77777777" w:rsidR="00250554" w:rsidRDefault="00250554" w:rsidP="005239BD">
            <w:pPr>
              <w:spacing w:before="120" w:after="120"/>
              <w:ind w:right="0"/>
              <w:rPr>
                <w:rFonts w:eastAsia="Times New Roman"/>
                <w:kern w:val="36"/>
                <w:lang w:val="vi-VN"/>
              </w:rPr>
            </w:pPr>
            <w:r w:rsidRPr="005239BD">
              <w:rPr>
                <w:rFonts w:eastAsia="Times New Roman" w:cs="Times New Roman"/>
                <w:kern w:val="36"/>
                <w:lang w:val="vi-VN"/>
              </w:rPr>
              <w:t>(</w:t>
            </w:r>
            <w:r w:rsidRPr="005239BD">
              <w:rPr>
                <w:rFonts w:eastAsia="Times New Roman"/>
                <w:kern w:val="36"/>
                <w:lang w:val="vi-VN"/>
              </w:rPr>
              <w:t>i) Giá trị nguyên giá của Tài sản cố định của quỹ tín dụng nhân dân;</w:t>
            </w:r>
          </w:p>
          <w:p w14:paraId="33E31F12" w14:textId="2D8944DF" w:rsidR="004D5055" w:rsidRPr="003946A2" w:rsidRDefault="002B12CC" w:rsidP="005239BD">
            <w:pPr>
              <w:spacing w:before="120" w:after="120"/>
              <w:ind w:right="0"/>
              <w:rPr>
                <w:rFonts w:eastAsia="Times New Roman"/>
                <w:kern w:val="36"/>
              </w:rPr>
            </w:pPr>
            <w:r w:rsidRPr="005F55B3">
              <w:rPr>
                <w:rFonts w:eastAsia="Times New Roman"/>
                <w:kern w:val="36"/>
                <w:lang w:val="vi-VN"/>
              </w:rPr>
              <w:t xml:space="preserve">(ii) </w:t>
            </w:r>
            <w:r w:rsidR="00250554" w:rsidRPr="005239BD">
              <w:rPr>
                <w:rFonts w:eastAsia="Times New Roman"/>
                <w:kern w:val="36"/>
                <w:lang w:val="vi-VN"/>
              </w:rPr>
              <w:t>Các tài sản “Có” khác còn lại trên bảng cân đối kế toán ngoài tài sản “Có” quy định tại điểm a, điểm b, điểm c, điểm d(i</w:t>
            </w:r>
            <w:r w:rsidR="001A4AC5">
              <w:rPr>
                <w:rFonts w:eastAsia="Times New Roman"/>
                <w:kern w:val="36"/>
              </w:rPr>
              <w:t xml:space="preserve">) </w:t>
            </w:r>
            <w:r w:rsidR="00250554" w:rsidRPr="005239BD">
              <w:rPr>
                <w:rFonts w:eastAsia="Times New Roman"/>
                <w:kern w:val="36"/>
                <w:lang w:val="vi-VN"/>
              </w:rPr>
              <w:t>khoản này</w:t>
            </w:r>
            <w:r>
              <w:rPr>
                <w:rFonts w:eastAsia="Times New Roman"/>
                <w:kern w:val="36"/>
              </w:rPr>
              <w:t>.</w:t>
            </w:r>
          </w:p>
          <w:p w14:paraId="14626A75" w14:textId="68457FDE" w:rsidR="00250554" w:rsidRPr="005F55B3" w:rsidDel="00E60013" w:rsidRDefault="00250554" w:rsidP="004F3EB8">
            <w:pPr>
              <w:spacing w:before="120" w:after="120"/>
              <w:ind w:right="0"/>
              <w:rPr>
                <w:noProof/>
                <w:lang w:val="vi-VN"/>
              </w:rPr>
            </w:pPr>
            <w:r w:rsidRPr="005239BD">
              <w:rPr>
                <w:rFonts w:eastAsia="Times New Roman"/>
                <w:kern w:val="36"/>
                <w:lang w:val="vi-VN"/>
              </w:rPr>
              <w:t>Việc xác định cụ thể giá trị tài sản "Có" rủi ro được quy định tại Phụ lục</w:t>
            </w:r>
            <w:r w:rsidR="00632AAF" w:rsidRPr="005F55B3">
              <w:rPr>
                <w:rFonts w:eastAsia="Times New Roman"/>
                <w:kern w:val="36"/>
                <w:lang w:val="vi-VN"/>
              </w:rPr>
              <w:t xml:space="preserve"> II</w:t>
            </w:r>
            <w:r w:rsidRPr="005239BD">
              <w:rPr>
                <w:rFonts w:eastAsia="Times New Roman"/>
                <w:kern w:val="36"/>
                <w:lang w:val="vi-VN"/>
              </w:rPr>
              <w:t> ban hành kèm theo Thông tư này.</w:t>
            </w:r>
          </w:p>
        </w:tc>
        <w:tc>
          <w:tcPr>
            <w:tcW w:w="3969" w:type="dxa"/>
          </w:tcPr>
          <w:p w14:paraId="0F95C964" w14:textId="77777777" w:rsidR="00405CCB" w:rsidRPr="005239BD" w:rsidRDefault="00405CCB" w:rsidP="005239BD">
            <w:pPr>
              <w:spacing w:before="120"/>
              <w:ind w:right="0"/>
              <w:rPr>
                <w:noProof/>
                <w:lang w:val="nl-NL"/>
              </w:rPr>
            </w:pPr>
          </w:p>
          <w:p w14:paraId="5BAC780E" w14:textId="7532DC33" w:rsidR="00405CCB" w:rsidRPr="005239BD" w:rsidRDefault="00841792" w:rsidP="005239BD">
            <w:pPr>
              <w:spacing w:before="120"/>
              <w:ind w:right="0"/>
              <w:rPr>
                <w:noProof/>
                <w:lang w:val="nl-NL"/>
              </w:rPr>
            </w:pPr>
            <w:r>
              <w:t>Chỉnh sửa kỹ thuật cho rõ ràng, chính xác hơn</w:t>
            </w:r>
            <w:r w:rsidR="00D84F05">
              <w:rPr>
                <w:noProof/>
                <w:lang w:val="nl-NL"/>
              </w:rPr>
              <w:t>.</w:t>
            </w:r>
          </w:p>
          <w:p w14:paraId="02869891" w14:textId="77777777" w:rsidR="00405CCB" w:rsidRPr="005239BD" w:rsidRDefault="00405CCB" w:rsidP="005239BD">
            <w:pPr>
              <w:spacing w:before="120"/>
              <w:ind w:right="0"/>
              <w:rPr>
                <w:noProof/>
                <w:lang w:val="nl-NL"/>
              </w:rPr>
            </w:pPr>
          </w:p>
          <w:p w14:paraId="0097AE9F" w14:textId="77777777" w:rsidR="00405CCB" w:rsidRPr="005239BD" w:rsidRDefault="00405CCB" w:rsidP="005239BD">
            <w:pPr>
              <w:spacing w:before="120"/>
              <w:ind w:right="0"/>
              <w:rPr>
                <w:noProof/>
                <w:lang w:val="nl-NL"/>
              </w:rPr>
            </w:pPr>
          </w:p>
          <w:p w14:paraId="5612C93A" w14:textId="77777777" w:rsidR="00405CCB" w:rsidRPr="005239BD" w:rsidRDefault="00405CCB" w:rsidP="005239BD">
            <w:pPr>
              <w:spacing w:before="120"/>
              <w:ind w:right="0"/>
              <w:rPr>
                <w:noProof/>
                <w:lang w:val="nl-NL"/>
              </w:rPr>
            </w:pPr>
          </w:p>
          <w:p w14:paraId="29BEA124" w14:textId="77777777" w:rsidR="00405CCB" w:rsidRPr="005239BD" w:rsidRDefault="00405CCB" w:rsidP="005239BD">
            <w:pPr>
              <w:spacing w:before="120"/>
              <w:ind w:right="0"/>
              <w:rPr>
                <w:noProof/>
                <w:lang w:val="nl-NL"/>
              </w:rPr>
            </w:pPr>
          </w:p>
          <w:p w14:paraId="1138981B" w14:textId="77777777" w:rsidR="00405CCB" w:rsidRPr="005239BD" w:rsidRDefault="00405CCB" w:rsidP="005239BD">
            <w:pPr>
              <w:spacing w:before="120"/>
              <w:ind w:right="0"/>
              <w:rPr>
                <w:noProof/>
                <w:lang w:val="nl-NL"/>
              </w:rPr>
            </w:pPr>
          </w:p>
          <w:p w14:paraId="432FF5DC" w14:textId="77777777" w:rsidR="00405CCB" w:rsidRPr="005239BD" w:rsidRDefault="00405CCB" w:rsidP="005239BD">
            <w:pPr>
              <w:spacing w:before="120"/>
              <w:ind w:right="0"/>
              <w:rPr>
                <w:noProof/>
                <w:lang w:val="nl-NL"/>
              </w:rPr>
            </w:pPr>
          </w:p>
          <w:p w14:paraId="21F7DFA7" w14:textId="77777777" w:rsidR="00405CCB" w:rsidRPr="005239BD" w:rsidRDefault="00405CCB" w:rsidP="005239BD">
            <w:pPr>
              <w:spacing w:before="120"/>
              <w:ind w:right="0"/>
              <w:rPr>
                <w:noProof/>
                <w:lang w:val="nl-NL"/>
              </w:rPr>
            </w:pPr>
          </w:p>
          <w:p w14:paraId="3D4BBE45" w14:textId="77777777" w:rsidR="00405CCB" w:rsidRPr="005239BD" w:rsidRDefault="00405CCB" w:rsidP="005239BD">
            <w:pPr>
              <w:spacing w:before="120"/>
              <w:ind w:right="0"/>
              <w:rPr>
                <w:noProof/>
                <w:lang w:val="nl-NL"/>
              </w:rPr>
            </w:pPr>
          </w:p>
          <w:p w14:paraId="1DCF242D" w14:textId="77777777" w:rsidR="00405CCB" w:rsidRPr="005239BD" w:rsidRDefault="00405CCB" w:rsidP="005239BD">
            <w:pPr>
              <w:spacing w:before="120"/>
              <w:ind w:right="0"/>
              <w:rPr>
                <w:noProof/>
                <w:lang w:val="nl-NL"/>
              </w:rPr>
            </w:pPr>
          </w:p>
          <w:p w14:paraId="2EAB9449" w14:textId="77777777" w:rsidR="00405CCB" w:rsidRPr="005239BD" w:rsidRDefault="00405CCB" w:rsidP="005239BD">
            <w:pPr>
              <w:spacing w:before="120"/>
              <w:ind w:right="0"/>
              <w:rPr>
                <w:noProof/>
                <w:lang w:val="nl-NL"/>
              </w:rPr>
            </w:pPr>
          </w:p>
          <w:p w14:paraId="0764885E" w14:textId="77777777" w:rsidR="00405CCB" w:rsidRPr="005239BD" w:rsidRDefault="00405CCB" w:rsidP="005239BD">
            <w:pPr>
              <w:spacing w:before="120"/>
              <w:ind w:right="0"/>
              <w:rPr>
                <w:noProof/>
                <w:lang w:val="nl-NL"/>
              </w:rPr>
            </w:pPr>
          </w:p>
          <w:p w14:paraId="36D03B71" w14:textId="77777777" w:rsidR="00405CCB" w:rsidRPr="005239BD" w:rsidRDefault="00405CCB" w:rsidP="005239BD">
            <w:pPr>
              <w:spacing w:before="120"/>
              <w:ind w:right="0"/>
              <w:rPr>
                <w:noProof/>
                <w:lang w:val="nl-NL"/>
              </w:rPr>
            </w:pPr>
          </w:p>
          <w:p w14:paraId="6D8527DA" w14:textId="77777777" w:rsidR="00405CCB" w:rsidRPr="005239BD" w:rsidRDefault="00405CCB" w:rsidP="005239BD">
            <w:pPr>
              <w:spacing w:before="120"/>
              <w:ind w:right="0"/>
              <w:rPr>
                <w:noProof/>
                <w:lang w:val="nl-NL"/>
              </w:rPr>
            </w:pPr>
          </w:p>
          <w:p w14:paraId="2856D32D" w14:textId="77777777" w:rsidR="00405CCB" w:rsidRPr="005239BD" w:rsidRDefault="00405CCB" w:rsidP="005239BD">
            <w:pPr>
              <w:spacing w:before="120"/>
              <w:ind w:right="0"/>
              <w:rPr>
                <w:noProof/>
                <w:lang w:val="nl-NL"/>
              </w:rPr>
            </w:pPr>
          </w:p>
          <w:p w14:paraId="25F03E4A" w14:textId="77777777" w:rsidR="00405CCB" w:rsidRPr="005239BD" w:rsidRDefault="00405CCB" w:rsidP="005239BD">
            <w:pPr>
              <w:spacing w:before="120"/>
              <w:ind w:right="0"/>
              <w:rPr>
                <w:noProof/>
                <w:lang w:val="nl-NL"/>
              </w:rPr>
            </w:pPr>
          </w:p>
          <w:p w14:paraId="0C9267AA" w14:textId="77777777" w:rsidR="00405CCB" w:rsidRPr="005239BD" w:rsidRDefault="00405CCB" w:rsidP="005239BD">
            <w:pPr>
              <w:spacing w:before="120"/>
              <w:ind w:right="0"/>
              <w:rPr>
                <w:noProof/>
                <w:lang w:val="nl-NL"/>
              </w:rPr>
            </w:pPr>
          </w:p>
          <w:p w14:paraId="679FA2DF" w14:textId="77777777" w:rsidR="00405CCB" w:rsidRPr="005239BD" w:rsidRDefault="00405CCB" w:rsidP="005239BD">
            <w:pPr>
              <w:spacing w:before="120"/>
              <w:ind w:right="0"/>
              <w:rPr>
                <w:noProof/>
                <w:lang w:val="nl-NL"/>
              </w:rPr>
            </w:pPr>
          </w:p>
          <w:p w14:paraId="715A1C74" w14:textId="3B3692D4" w:rsidR="00405CCB" w:rsidRPr="005239BD" w:rsidRDefault="00D2165B" w:rsidP="005239BD">
            <w:pPr>
              <w:spacing w:before="120"/>
              <w:ind w:right="0"/>
              <w:rPr>
                <w:noProof/>
                <w:lang w:val="nl-NL"/>
              </w:rPr>
            </w:pPr>
            <w:r>
              <w:rPr>
                <w:noProof/>
                <w:lang w:val="nl-NL"/>
              </w:rPr>
              <w:lastRenderedPageBreak/>
              <w:t xml:space="preserve">- Bỏ cụm từ </w:t>
            </w:r>
            <w:r w:rsidRPr="005F55B3">
              <w:rPr>
                <w:i/>
                <w:noProof/>
                <w:lang w:val="nl-NL"/>
              </w:rPr>
              <w:t>“nghiệp vụ”</w:t>
            </w:r>
            <w:r w:rsidR="00A2580E">
              <w:rPr>
                <w:noProof/>
                <w:lang w:val="nl-NL"/>
              </w:rPr>
              <w:t xml:space="preserve"> để phù hợp với </w:t>
            </w:r>
            <w:r w:rsidR="00841792">
              <w:t>quy định tại Nghị định về chế độ tài chính của tổ chức tín dụng</w:t>
            </w:r>
            <w:r w:rsidR="00CF0736">
              <w:t>.</w:t>
            </w:r>
          </w:p>
          <w:p w14:paraId="290291A4" w14:textId="77777777" w:rsidR="00405CCB" w:rsidRPr="005239BD" w:rsidRDefault="00405CCB" w:rsidP="005239BD">
            <w:pPr>
              <w:spacing w:before="120"/>
              <w:ind w:right="0"/>
              <w:rPr>
                <w:noProof/>
                <w:lang w:val="nl-NL"/>
              </w:rPr>
            </w:pPr>
          </w:p>
          <w:p w14:paraId="4B346C80" w14:textId="6B8AC6EF" w:rsidR="00250554" w:rsidRDefault="00D2165B" w:rsidP="000A7278">
            <w:pPr>
              <w:spacing w:before="120"/>
              <w:ind w:right="0"/>
              <w:rPr>
                <w:noProof/>
                <w:lang w:val="nl-NL"/>
              </w:rPr>
            </w:pPr>
            <w:r>
              <w:rPr>
                <w:noProof/>
                <w:lang w:val="nl-NL"/>
              </w:rPr>
              <w:t xml:space="preserve">- </w:t>
            </w:r>
            <w:r w:rsidR="00405CCB" w:rsidRPr="005239BD">
              <w:rPr>
                <w:noProof/>
                <w:lang w:val="nl-NL"/>
              </w:rPr>
              <w:t xml:space="preserve">Sửa </w:t>
            </w:r>
            <w:r w:rsidRPr="005F55B3">
              <w:rPr>
                <w:i/>
                <w:noProof/>
                <w:lang w:val="nl-NL"/>
              </w:rPr>
              <w:t>“lợi nhuận không chia”</w:t>
            </w:r>
            <w:r>
              <w:rPr>
                <w:noProof/>
                <w:lang w:val="nl-NL"/>
              </w:rPr>
              <w:t xml:space="preserve"> thành </w:t>
            </w:r>
            <w:r w:rsidRPr="005F55B3">
              <w:rPr>
                <w:i/>
                <w:noProof/>
                <w:lang w:val="nl-NL"/>
              </w:rPr>
              <w:t>“lợi nhuận lũy kế chưa phân phối”</w:t>
            </w:r>
            <w:r w:rsidR="00405CCB" w:rsidRPr="005239BD">
              <w:rPr>
                <w:noProof/>
                <w:lang w:val="nl-NL"/>
              </w:rPr>
              <w:t xml:space="preserve"> cho phù hợp với khoản 3 Điều 28 Luật Các TCTD 2024.</w:t>
            </w:r>
          </w:p>
          <w:p w14:paraId="35334B4F" w14:textId="77777777" w:rsidR="0029301B" w:rsidRDefault="0029301B">
            <w:pPr>
              <w:spacing w:before="120"/>
              <w:ind w:right="0"/>
              <w:rPr>
                <w:noProof/>
                <w:lang w:val="nl-NL"/>
              </w:rPr>
            </w:pPr>
          </w:p>
          <w:p w14:paraId="0BDCE341" w14:textId="77777777" w:rsidR="0029301B" w:rsidRDefault="0029301B">
            <w:pPr>
              <w:spacing w:before="120"/>
              <w:ind w:right="0"/>
              <w:rPr>
                <w:noProof/>
                <w:lang w:val="nl-NL"/>
              </w:rPr>
            </w:pPr>
          </w:p>
          <w:p w14:paraId="3406E804" w14:textId="77777777" w:rsidR="0029301B" w:rsidRDefault="0029301B">
            <w:pPr>
              <w:spacing w:before="120"/>
              <w:ind w:right="0"/>
              <w:rPr>
                <w:noProof/>
                <w:lang w:val="nl-NL"/>
              </w:rPr>
            </w:pPr>
          </w:p>
          <w:p w14:paraId="07FFAC29" w14:textId="77777777" w:rsidR="0029301B" w:rsidRDefault="0029301B">
            <w:pPr>
              <w:spacing w:before="120"/>
              <w:ind w:right="0"/>
              <w:rPr>
                <w:noProof/>
                <w:lang w:val="nl-NL"/>
              </w:rPr>
            </w:pPr>
          </w:p>
          <w:p w14:paraId="767C580A" w14:textId="77777777" w:rsidR="0029301B" w:rsidRDefault="0029301B">
            <w:pPr>
              <w:spacing w:before="120"/>
              <w:ind w:right="0"/>
              <w:rPr>
                <w:noProof/>
                <w:lang w:val="nl-NL"/>
              </w:rPr>
            </w:pPr>
          </w:p>
          <w:p w14:paraId="1B4A6BD9" w14:textId="77777777" w:rsidR="0029301B" w:rsidRDefault="0029301B">
            <w:pPr>
              <w:spacing w:before="120"/>
              <w:ind w:right="0"/>
              <w:rPr>
                <w:noProof/>
                <w:lang w:val="nl-NL"/>
              </w:rPr>
            </w:pPr>
          </w:p>
          <w:p w14:paraId="1118332F" w14:textId="77777777" w:rsidR="0029301B" w:rsidRDefault="0029301B">
            <w:pPr>
              <w:spacing w:before="120"/>
              <w:ind w:right="0"/>
              <w:rPr>
                <w:noProof/>
                <w:lang w:val="nl-NL"/>
              </w:rPr>
            </w:pPr>
          </w:p>
          <w:p w14:paraId="68705342" w14:textId="77777777" w:rsidR="0029301B" w:rsidRDefault="0029301B">
            <w:pPr>
              <w:spacing w:before="120"/>
              <w:ind w:right="0"/>
              <w:rPr>
                <w:noProof/>
                <w:lang w:val="nl-NL"/>
              </w:rPr>
            </w:pPr>
          </w:p>
          <w:p w14:paraId="38370C3B" w14:textId="77777777" w:rsidR="0029301B" w:rsidRDefault="0029301B">
            <w:pPr>
              <w:spacing w:before="120"/>
              <w:ind w:right="0"/>
              <w:rPr>
                <w:noProof/>
                <w:lang w:val="nl-NL"/>
              </w:rPr>
            </w:pPr>
          </w:p>
          <w:p w14:paraId="32DCF393" w14:textId="77777777" w:rsidR="0029301B" w:rsidRDefault="0029301B">
            <w:pPr>
              <w:spacing w:before="120"/>
              <w:ind w:right="0"/>
              <w:rPr>
                <w:noProof/>
                <w:lang w:val="nl-NL"/>
              </w:rPr>
            </w:pPr>
          </w:p>
          <w:p w14:paraId="61791475" w14:textId="77777777" w:rsidR="0029301B" w:rsidRDefault="0029301B">
            <w:pPr>
              <w:spacing w:before="120"/>
              <w:ind w:right="0"/>
              <w:rPr>
                <w:noProof/>
                <w:lang w:val="nl-NL"/>
              </w:rPr>
            </w:pPr>
          </w:p>
          <w:p w14:paraId="7D12C655" w14:textId="77777777" w:rsidR="0029301B" w:rsidRDefault="0029301B">
            <w:pPr>
              <w:spacing w:before="120"/>
              <w:ind w:right="0"/>
              <w:rPr>
                <w:noProof/>
                <w:lang w:val="nl-NL"/>
              </w:rPr>
            </w:pPr>
          </w:p>
          <w:p w14:paraId="544FB86B" w14:textId="77777777" w:rsidR="0029301B" w:rsidRDefault="0029301B">
            <w:pPr>
              <w:spacing w:before="120"/>
              <w:ind w:right="0"/>
              <w:rPr>
                <w:noProof/>
                <w:lang w:val="nl-NL"/>
              </w:rPr>
            </w:pPr>
          </w:p>
          <w:p w14:paraId="675B68F3" w14:textId="77777777" w:rsidR="00455FDB" w:rsidRDefault="00455FDB">
            <w:pPr>
              <w:spacing w:before="120"/>
              <w:ind w:right="0"/>
              <w:rPr>
                <w:noProof/>
                <w:lang w:val="nl-NL"/>
              </w:rPr>
            </w:pPr>
          </w:p>
          <w:p w14:paraId="7F7D9F65" w14:textId="77777777" w:rsidR="00CF0736" w:rsidRDefault="00CF0736">
            <w:pPr>
              <w:spacing w:before="120"/>
              <w:ind w:right="0"/>
              <w:rPr>
                <w:noProof/>
                <w:lang w:val="nl-NL"/>
              </w:rPr>
            </w:pPr>
          </w:p>
          <w:p w14:paraId="1158D483" w14:textId="77777777" w:rsidR="00CF0736" w:rsidRDefault="00CF0736">
            <w:pPr>
              <w:spacing w:before="120"/>
              <w:ind w:right="0"/>
              <w:rPr>
                <w:noProof/>
                <w:lang w:val="nl-NL"/>
              </w:rPr>
            </w:pPr>
          </w:p>
          <w:p w14:paraId="17DD71F2" w14:textId="4FA75738" w:rsidR="00CF0736" w:rsidRPr="005A502B" w:rsidRDefault="00CF0736">
            <w:pPr>
              <w:spacing w:before="120"/>
              <w:ind w:right="0"/>
              <w:rPr>
                <w:noProof/>
              </w:rPr>
            </w:pPr>
            <w:r>
              <w:rPr>
                <w:noProof/>
                <w:lang w:val="nl-NL"/>
              </w:rPr>
              <w:lastRenderedPageBreak/>
              <w:t>- Bổ sung tài sản là “</w:t>
            </w:r>
            <w:r w:rsidRPr="005F55B3">
              <w:rPr>
                <w:rFonts w:eastAsia="Times New Roman"/>
                <w:kern w:val="36"/>
                <w:lang w:val="vi-VN"/>
              </w:rPr>
              <w:t>V</w:t>
            </w:r>
            <w:r w:rsidRPr="005239BD">
              <w:rPr>
                <w:rFonts w:eastAsia="Times New Roman"/>
                <w:kern w:val="36"/>
                <w:lang w:val="vi-VN"/>
              </w:rPr>
              <w:t>ốn góp vào ngân hàng hợp tác xã</w:t>
            </w:r>
            <w:r>
              <w:rPr>
                <w:rFonts w:eastAsia="Times New Roman"/>
                <w:kern w:val="36"/>
              </w:rPr>
              <w:t xml:space="preserve">” được tính hệ số rủi ro 0% để phù hợp với </w:t>
            </w:r>
            <w:r w:rsidR="001A4AC5">
              <w:rPr>
                <w:rFonts w:eastAsia="Times New Roman"/>
                <w:kern w:val="36"/>
              </w:rPr>
              <w:t>tính liên kết hệ thống của QTDND</w:t>
            </w:r>
            <w:r w:rsidR="00843216">
              <w:rPr>
                <w:rFonts w:eastAsia="Times New Roman"/>
                <w:kern w:val="36"/>
              </w:rPr>
              <w:t xml:space="preserve"> quy định tại điểm d khoản 4 Điều 126 Luật Các TCTD 2024</w:t>
            </w:r>
            <w:r w:rsidR="001A4AC5">
              <w:rPr>
                <w:rFonts w:eastAsia="Times New Roman"/>
                <w:kern w:val="36"/>
              </w:rPr>
              <w:t xml:space="preserve"> chứ không phải nhằm mục tiêu hạn chế sở hữu chéo.</w:t>
            </w:r>
          </w:p>
          <w:p w14:paraId="38D6333B" w14:textId="4C68F7B0" w:rsidR="00455FDB" w:rsidRPr="000A7278" w:rsidRDefault="00455FDB">
            <w:pPr>
              <w:spacing w:before="120"/>
              <w:ind w:right="0"/>
              <w:rPr>
                <w:noProof/>
                <w:lang w:val="nl-NL"/>
              </w:rPr>
            </w:pPr>
            <w:r>
              <w:rPr>
                <w:noProof/>
                <w:lang w:val="nl-NL"/>
              </w:rPr>
              <w:t xml:space="preserve">- Điểm b(i) khoản 4: </w:t>
            </w:r>
            <w:r w:rsidR="007F44D0">
              <w:rPr>
                <w:noProof/>
                <w:lang w:val="nl-NL"/>
              </w:rPr>
              <w:t xml:space="preserve">Bổ sung nội dung </w:t>
            </w:r>
            <w:r w:rsidR="007F44D0" w:rsidRPr="005F55B3">
              <w:rPr>
                <w:i/>
                <w:noProof/>
                <w:lang w:val="nl-NL"/>
              </w:rPr>
              <w:t>“trừ tiền gửi tại tổ chức tín dụng được kiểm soát đặc biệt theo quy định tại khoản 9 Điều 174 Luật Các tổ chức tín dụng”</w:t>
            </w:r>
            <w:r w:rsidR="007F44D0">
              <w:rPr>
                <w:i/>
                <w:noProof/>
                <w:lang w:val="nl-NL"/>
              </w:rPr>
              <w:t xml:space="preserve"> </w:t>
            </w:r>
            <w:r w:rsidR="007F44D0">
              <w:rPr>
                <w:noProof/>
                <w:lang w:val="nl-NL"/>
              </w:rPr>
              <w:t xml:space="preserve">để loại trừ các khoản tiền gửi tại TCTD được KSĐB có hệ số rủi ro 100%. </w:t>
            </w:r>
          </w:p>
          <w:p w14:paraId="5C956333" w14:textId="77777777" w:rsidR="00455FDB" w:rsidRDefault="00455FDB">
            <w:pPr>
              <w:spacing w:before="120"/>
              <w:ind w:right="0"/>
              <w:rPr>
                <w:noProof/>
                <w:lang w:val="nl-NL"/>
              </w:rPr>
            </w:pPr>
          </w:p>
          <w:p w14:paraId="6A0B83FA" w14:textId="77777777" w:rsidR="001865E9" w:rsidRDefault="001865E9">
            <w:pPr>
              <w:spacing w:before="120"/>
              <w:ind w:right="0"/>
              <w:rPr>
                <w:noProof/>
                <w:lang w:val="nl-NL"/>
              </w:rPr>
            </w:pPr>
          </w:p>
          <w:p w14:paraId="56D2EF9A" w14:textId="77777777" w:rsidR="001865E9" w:rsidRDefault="001865E9">
            <w:pPr>
              <w:spacing w:before="120"/>
              <w:ind w:right="0"/>
              <w:rPr>
                <w:noProof/>
                <w:lang w:val="nl-NL"/>
              </w:rPr>
            </w:pPr>
          </w:p>
          <w:p w14:paraId="1E9AD403" w14:textId="6D797731" w:rsidR="001865E9" w:rsidRPr="005239BD" w:rsidDel="00474228" w:rsidRDefault="001865E9">
            <w:pPr>
              <w:spacing w:before="120"/>
              <w:ind w:right="0"/>
              <w:rPr>
                <w:noProof/>
                <w:lang w:val="nl-NL"/>
              </w:rPr>
            </w:pPr>
            <w:r>
              <w:rPr>
                <w:noProof/>
                <w:lang w:val="nl-NL"/>
              </w:rPr>
              <w:t xml:space="preserve">- Tách </w:t>
            </w:r>
            <w:r w:rsidR="001A4AC5">
              <w:rPr>
                <w:noProof/>
                <w:lang w:val="nl-NL"/>
              </w:rPr>
              <w:t xml:space="preserve">nội dung “vốn góp vào ngân hàng hợp tác xã và đưa lên điểm a khoản 4 Điều này để phản ánh đúng hơn tính chất </w:t>
            </w:r>
            <w:r w:rsidR="0003671A">
              <w:rPr>
                <w:noProof/>
                <w:lang w:val="nl-NL"/>
              </w:rPr>
              <w:t xml:space="preserve">liên kết </w:t>
            </w:r>
            <w:r w:rsidR="001A4AC5">
              <w:rPr>
                <w:noProof/>
                <w:lang w:val="nl-NL"/>
              </w:rPr>
              <w:t>của hệ thống QTDND</w:t>
            </w:r>
            <w:r w:rsidR="00CB28F8">
              <w:rPr>
                <w:noProof/>
                <w:lang w:val="nl-NL"/>
              </w:rPr>
              <w:t xml:space="preserve"> quy định tại điểm d khoản 4 Điều 126 Luật Các TCTD năm 2024.</w:t>
            </w:r>
          </w:p>
        </w:tc>
      </w:tr>
      <w:tr w:rsidR="00250554" w:rsidRPr="00AC5DD8" w14:paraId="4AD28C67" w14:textId="77777777" w:rsidTr="00F25D36">
        <w:tc>
          <w:tcPr>
            <w:tcW w:w="680" w:type="dxa"/>
            <w:vAlign w:val="center"/>
          </w:tcPr>
          <w:p w14:paraId="09C9E071" w14:textId="67DE843D" w:rsidR="00250554" w:rsidRPr="005239BD" w:rsidRDefault="00622FAA" w:rsidP="005239BD">
            <w:pPr>
              <w:spacing w:before="120" w:after="120"/>
              <w:ind w:right="0"/>
              <w:jc w:val="center"/>
              <w:rPr>
                <w:b/>
                <w:iCs/>
                <w:noProof/>
              </w:rPr>
            </w:pPr>
            <w:r>
              <w:rPr>
                <w:b/>
                <w:iCs/>
                <w:noProof/>
              </w:rPr>
              <w:lastRenderedPageBreak/>
              <w:t>9</w:t>
            </w:r>
          </w:p>
        </w:tc>
        <w:tc>
          <w:tcPr>
            <w:tcW w:w="5416" w:type="dxa"/>
          </w:tcPr>
          <w:p w14:paraId="1063B5A6" w14:textId="6C161FC4" w:rsidR="00250554" w:rsidRPr="005239BD" w:rsidRDefault="00250554" w:rsidP="005239BD">
            <w:pPr>
              <w:ind w:right="0"/>
              <w:rPr>
                <w:rFonts w:eastAsia="Times New Roman" w:cs="Times New Roman"/>
                <w:color w:val="000000"/>
              </w:rPr>
            </w:pPr>
            <w:bookmarkStart w:id="4" w:name="dieu_6"/>
            <w:r w:rsidRPr="005239BD">
              <w:rPr>
                <w:rFonts w:eastAsia="Times New Roman" w:cs="Times New Roman"/>
                <w:b/>
                <w:bCs/>
                <w:color w:val="000000"/>
                <w:lang w:val="nl-NL"/>
              </w:rPr>
              <w:t>Điều 6. Tỷ lệ khả năng chi trả</w:t>
            </w:r>
            <w:bookmarkEnd w:id="4"/>
          </w:p>
          <w:p w14:paraId="5C3C505C" w14:textId="77777777" w:rsidR="00250554" w:rsidRPr="005239BD" w:rsidRDefault="00250554" w:rsidP="005239BD">
            <w:pPr>
              <w:spacing w:before="120" w:after="120"/>
              <w:ind w:right="0"/>
              <w:rPr>
                <w:rFonts w:eastAsia="Times New Roman" w:cs="Times New Roman"/>
                <w:color w:val="000000"/>
              </w:rPr>
            </w:pPr>
            <w:r w:rsidRPr="005239BD">
              <w:rPr>
                <w:rFonts w:eastAsia="Times New Roman" w:cs="Times New Roman"/>
                <w:color w:val="000000"/>
              </w:rPr>
              <w:lastRenderedPageBreak/>
              <w:t>1. </w:t>
            </w:r>
            <w:r w:rsidRPr="005239BD">
              <w:rPr>
                <w:rFonts w:eastAsia="Times New Roman" w:cs="Times New Roman"/>
                <w:color w:val="000000"/>
                <w:lang w:val="nl-NL"/>
              </w:rPr>
              <w:t>Tỷ lệ khả năng chi trả </w:t>
            </w:r>
            <w:r w:rsidRPr="005239BD">
              <w:rPr>
                <w:rFonts w:eastAsia="Times New Roman" w:cs="Times New Roman"/>
                <w:color w:val="000000"/>
                <w:lang w:val="vi-VN"/>
              </w:rPr>
              <w:t>được xác định bằng công thức sau:</w:t>
            </w:r>
          </w:p>
          <w:p w14:paraId="10E3B5F6" w14:textId="498B1B1E" w:rsidR="00250554" w:rsidRPr="005239BD" w:rsidRDefault="00250554" w:rsidP="005239BD">
            <w:pPr>
              <w:spacing w:before="120" w:after="120"/>
              <w:ind w:right="0"/>
              <w:jc w:val="center"/>
              <w:rPr>
                <w:rFonts w:eastAsia="Times New Roman" w:cs="Times New Roman"/>
                <w:color w:val="000000"/>
              </w:rPr>
            </w:pPr>
            <w:r w:rsidRPr="005239BD">
              <w:rPr>
                <w:rFonts w:eastAsia="Times New Roman"/>
                <w:noProof/>
                <w:color w:val="000000"/>
              </w:rPr>
              <w:drawing>
                <wp:inline distT="0" distB="0" distL="0" distR="0" wp14:anchorId="7938580C" wp14:editId="6AAFDAED">
                  <wp:extent cx="3076575" cy="424355"/>
                  <wp:effectExtent l="0" t="0" r="0" b="0"/>
                  <wp:docPr id="5" name="Picture 5" descr="https://files.thuvienphapluat.vn/doc2htm/00619835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iles.thuvienphapluat.vn/doc2htm/00619835_files/image00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7086" cy="447874"/>
                          </a:xfrm>
                          <a:prstGeom prst="rect">
                            <a:avLst/>
                          </a:prstGeom>
                          <a:noFill/>
                          <a:ln>
                            <a:noFill/>
                          </a:ln>
                        </pic:spPr>
                      </pic:pic>
                    </a:graphicData>
                  </a:graphic>
                </wp:inline>
              </w:drawing>
            </w:r>
          </w:p>
          <w:p w14:paraId="0AC85E5C" w14:textId="77777777" w:rsidR="00250554" w:rsidRPr="005239BD" w:rsidRDefault="00250554" w:rsidP="005239BD">
            <w:pPr>
              <w:ind w:right="0"/>
              <w:rPr>
                <w:rFonts w:eastAsia="Times New Roman" w:cs="Times New Roman"/>
                <w:color w:val="000000"/>
              </w:rPr>
            </w:pPr>
            <w:r w:rsidRPr="005239BD">
              <w:rPr>
                <w:rFonts w:eastAsia="Times New Roman" w:cs="Times New Roman"/>
                <w:color w:val="000000"/>
                <w:lang w:val="nl-NL"/>
              </w:rPr>
              <w:t>Trong đó: Tài sản “Có” có thể thanh toán ngay, Tài sản “Nợ” phải thanh toán được xác định theo quy định tại </w:t>
            </w:r>
            <w:bookmarkStart w:id="5" w:name="bieumau_pl_03"/>
            <w:r w:rsidRPr="005239BD">
              <w:rPr>
                <w:rFonts w:eastAsia="Times New Roman" w:cs="Times New Roman"/>
                <w:color w:val="000000"/>
                <w:lang w:val="nl-NL"/>
              </w:rPr>
              <w:t>Phụ lục 3</w:t>
            </w:r>
            <w:bookmarkEnd w:id="5"/>
            <w:r w:rsidRPr="005239BD">
              <w:rPr>
                <w:rFonts w:eastAsia="Times New Roman" w:cs="Times New Roman"/>
                <w:color w:val="000000"/>
                <w:lang w:val="nl-NL"/>
              </w:rPr>
              <w:t> ban hành kèm theo Thông tư này.</w:t>
            </w:r>
          </w:p>
          <w:p w14:paraId="20B40706" w14:textId="4A202F00" w:rsidR="00250554" w:rsidRPr="005239BD" w:rsidRDefault="00250554" w:rsidP="005239BD">
            <w:pPr>
              <w:spacing w:before="120" w:after="120"/>
              <w:ind w:right="0"/>
              <w:rPr>
                <w:rFonts w:cs="Times New Roman"/>
                <w:b/>
                <w:lang w:val="nb-NO"/>
              </w:rPr>
            </w:pPr>
            <w:r w:rsidRPr="005239BD">
              <w:rPr>
                <w:rFonts w:eastAsia="Times New Roman" w:cs="Times New Roman"/>
                <w:color w:val="000000"/>
                <w:lang w:val="nl-NL"/>
              </w:rPr>
              <w:t>2. </w:t>
            </w:r>
            <w:r w:rsidRPr="005239BD">
              <w:rPr>
                <w:rFonts w:eastAsia="Times New Roman" w:cs="Times New Roman"/>
                <w:color w:val="000000"/>
                <w:lang w:val="vi-VN"/>
              </w:rPr>
              <w:t>Kết thúc ngày làm việc, quỹ tín dụng nhân dân phải duy trì tỷ lệ </w:t>
            </w:r>
            <w:r w:rsidRPr="005239BD">
              <w:rPr>
                <w:rFonts w:eastAsia="Times New Roman" w:cs="Times New Roman"/>
                <w:color w:val="000000"/>
                <w:lang w:val="nl-NL"/>
              </w:rPr>
              <w:t>khả năng chi trả trong</w:t>
            </w:r>
            <w:r w:rsidRPr="005239BD">
              <w:rPr>
                <w:rFonts w:eastAsia="Times New Roman" w:cs="Times New Roman"/>
                <w:color w:val="000000"/>
                <w:lang w:val="vi-VN"/>
              </w:rPr>
              <w:t xml:space="preserve"> ngày </w:t>
            </w:r>
            <w:r w:rsidRPr="005A502B">
              <w:rPr>
                <w:rFonts w:eastAsia="Times New Roman"/>
                <w:color w:val="000000"/>
                <w:u w:val="single"/>
                <w:lang w:val="vi-VN"/>
              </w:rPr>
              <w:t>làm việc</w:t>
            </w:r>
            <w:r w:rsidRPr="005239BD">
              <w:rPr>
                <w:rFonts w:eastAsia="Times New Roman" w:cs="Times New Roman"/>
                <w:color w:val="000000"/>
                <w:lang w:val="vi-VN"/>
              </w:rPr>
              <w:t xml:space="preserve"> tiếp theo</w:t>
            </w:r>
            <w:r w:rsidRPr="005239BD">
              <w:rPr>
                <w:rFonts w:eastAsia="Times New Roman" w:cs="Times New Roman"/>
                <w:color w:val="000000"/>
                <w:lang w:val="nl-NL"/>
              </w:rPr>
              <w:t> và tỷ lệ khả năng chi trả </w:t>
            </w:r>
            <w:r w:rsidRPr="005239BD">
              <w:rPr>
                <w:rFonts w:eastAsia="Times New Roman" w:cs="Times New Roman"/>
                <w:color w:val="000000"/>
                <w:lang w:val="vi-VN"/>
              </w:rPr>
              <w:t>trong khoảng thời gian 7 </w:t>
            </w:r>
            <w:r w:rsidRPr="005239BD">
              <w:rPr>
                <w:rFonts w:eastAsia="Times New Roman" w:cs="Times New Roman"/>
                <w:color w:val="000000"/>
                <w:lang w:val="nl-NL"/>
              </w:rPr>
              <w:t>(bảy) </w:t>
            </w:r>
            <w:r w:rsidRPr="005239BD">
              <w:rPr>
                <w:rFonts w:eastAsia="Times New Roman" w:cs="Times New Roman"/>
                <w:color w:val="000000"/>
                <w:lang w:val="vi-VN"/>
              </w:rPr>
              <w:t xml:space="preserve">ngày </w:t>
            </w:r>
            <w:r w:rsidRPr="005A502B">
              <w:rPr>
                <w:rFonts w:eastAsia="Times New Roman"/>
                <w:color w:val="000000"/>
                <w:u w:val="single"/>
                <w:lang w:val="vi-VN"/>
              </w:rPr>
              <w:t>làm việc</w:t>
            </w:r>
            <w:r w:rsidRPr="005239BD">
              <w:rPr>
                <w:rFonts w:eastAsia="Times New Roman" w:cs="Times New Roman"/>
                <w:color w:val="000000"/>
                <w:lang w:val="vi-VN"/>
              </w:rPr>
              <w:t xml:space="preserve"> tiếp theo</w:t>
            </w:r>
            <w:r w:rsidRPr="005239BD">
              <w:rPr>
                <w:rFonts w:eastAsia="Times New Roman" w:cs="Times New Roman"/>
                <w:color w:val="000000"/>
                <w:lang w:val="nl-NL"/>
              </w:rPr>
              <w:t xml:space="preserve"> tối thiểu bằng </w:t>
            </w:r>
            <w:r w:rsidRPr="005239BD">
              <w:rPr>
                <w:rFonts w:eastAsia="Times New Roman" w:cs="Times New Roman"/>
                <w:color w:val="000000"/>
                <w:u w:val="single"/>
                <w:lang w:val="nl-NL"/>
              </w:rPr>
              <w:t>1</w:t>
            </w:r>
            <w:r w:rsidRPr="005239BD">
              <w:rPr>
                <w:rFonts w:eastAsia="Times New Roman" w:cs="Times New Roman"/>
                <w:color w:val="000000"/>
                <w:lang w:val="nl-NL"/>
              </w:rPr>
              <w:t>.</w:t>
            </w:r>
          </w:p>
        </w:tc>
        <w:tc>
          <w:tcPr>
            <w:tcW w:w="5386" w:type="dxa"/>
          </w:tcPr>
          <w:p w14:paraId="2C1962E2" w14:textId="65A7448F" w:rsidR="00250554" w:rsidRPr="005F55B3" w:rsidRDefault="00250554" w:rsidP="005239BD">
            <w:pPr>
              <w:ind w:right="0"/>
              <w:rPr>
                <w:rFonts w:eastAsia="Times New Roman" w:cs="Times New Roman"/>
                <w:lang w:val="nb-NO"/>
              </w:rPr>
            </w:pPr>
            <w:r w:rsidRPr="005F55B3">
              <w:rPr>
                <w:rFonts w:eastAsiaTheme="majorEastAsia"/>
                <w:b/>
                <w:lang w:val="nb-NO"/>
              </w:rPr>
              <w:lastRenderedPageBreak/>
              <w:t>Điề</w:t>
            </w:r>
            <w:r w:rsidR="00866A74" w:rsidRPr="005F55B3">
              <w:rPr>
                <w:rFonts w:eastAsiaTheme="majorEastAsia"/>
                <w:b/>
                <w:lang w:val="nb-NO"/>
              </w:rPr>
              <w:t>u 9</w:t>
            </w:r>
            <w:r w:rsidRPr="005F55B3">
              <w:rPr>
                <w:rFonts w:eastAsiaTheme="majorEastAsia"/>
                <w:b/>
                <w:lang w:val="nb-NO"/>
              </w:rPr>
              <w:t xml:space="preserve">. </w:t>
            </w:r>
            <w:r w:rsidRPr="005239BD">
              <w:rPr>
                <w:rFonts w:eastAsia="Times New Roman"/>
                <w:b/>
                <w:bCs/>
                <w:lang w:val="nl-NL"/>
              </w:rPr>
              <w:t>Tỷ lệ khả năng chi trả</w:t>
            </w:r>
          </w:p>
          <w:p w14:paraId="64F338D6" w14:textId="77777777" w:rsidR="00250554" w:rsidRPr="005F55B3" w:rsidRDefault="00250554" w:rsidP="005239BD">
            <w:pPr>
              <w:spacing w:before="120" w:after="120"/>
              <w:ind w:right="0"/>
              <w:rPr>
                <w:rFonts w:eastAsia="Times New Roman" w:cs="Times New Roman"/>
                <w:lang w:val="nb-NO"/>
              </w:rPr>
            </w:pPr>
            <w:r w:rsidRPr="005F55B3">
              <w:rPr>
                <w:rFonts w:eastAsia="Times New Roman"/>
                <w:lang w:val="nb-NO"/>
              </w:rPr>
              <w:lastRenderedPageBreak/>
              <w:t>1. </w:t>
            </w:r>
            <w:r w:rsidRPr="005239BD">
              <w:rPr>
                <w:rFonts w:eastAsia="Times New Roman"/>
                <w:lang w:val="nl-NL"/>
              </w:rPr>
              <w:t>Tỷ lệ khả năng chi trả </w:t>
            </w:r>
            <w:r w:rsidRPr="005239BD">
              <w:rPr>
                <w:rFonts w:eastAsia="Times New Roman"/>
                <w:lang w:val="vi-VN"/>
              </w:rPr>
              <w:t>được xác định bằng công thức sau:</w:t>
            </w:r>
          </w:p>
          <w:p w14:paraId="61D8678C" w14:textId="42AB3910" w:rsidR="00250554" w:rsidRPr="005F55B3" w:rsidRDefault="00250554" w:rsidP="005239BD">
            <w:pPr>
              <w:spacing w:before="120" w:after="120"/>
              <w:ind w:right="0"/>
              <w:jc w:val="center"/>
              <w:rPr>
                <w:rFonts w:eastAsia="Times New Roman" w:cs="Times New Roman"/>
                <w:lang w:val="nb-NO"/>
              </w:rPr>
            </w:pPr>
          </w:p>
          <w:p w14:paraId="313EAA77" w14:textId="76938636" w:rsidR="006F5DEE" w:rsidRPr="005F55B3" w:rsidRDefault="006F5DEE" w:rsidP="005239BD">
            <w:pPr>
              <w:spacing w:before="120" w:after="120"/>
              <w:ind w:right="0"/>
              <w:jc w:val="center"/>
              <w:rPr>
                <w:rFonts w:ascii="Cambria Math" w:eastAsia="Times New Roman" w:hAnsi="Cambria Math" w:cs="Times New Roman"/>
                <w:iCs/>
                <w:lang w:val="nb-NO"/>
              </w:rPr>
            </w:pPr>
            <m:oMath>
              <m:r>
                <m:rPr>
                  <m:sty m:val="p"/>
                </m:rPr>
                <w:rPr>
                  <w:rFonts w:ascii="Cambria Math" w:eastAsia="Times New Roman" w:hAnsi="Cambria Math"/>
                  <w:lang w:val="nb-NO"/>
                </w:rPr>
                <m:t>Tỷ lệ khả n</m:t>
              </m:r>
              <m:r>
                <m:rPr>
                  <m:sty m:val="p"/>
                </m:rPr>
                <w:rPr>
                  <w:rFonts w:ascii="Cambria Math" w:eastAsia="Times New Roman" w:hAnsi="Cambria Math" w:hint="eastAsia"/>
                  <w:lang w:val="nb-NO"/>
                </w:rPr>
                <m:t>ă</m:t>
              </m:r>
              <m:r>
                <m:rPr>
                  <m:sty m:val="p"/>
                </m:rPr>
                <w:rPr>
                  <w:rFonts w:ascii="Cambria Math" w:eastAsia="Times New Roman" w:hAnsi="Cambria Math"/>
                  <w:lang w:val="nb-NO"/>
                </w:rPr>
                <m:t>ng chi trả (%)=</m:t>
              </m:r>
              <m:f>
                <m:fPr>
                  <m:ctrlPr>
                    <w:rPr>
                      <w:rFonts w:ascii="Cambria Math" w:eastAsia="Times New Roman" w:hAnsi="Cambria Math" w:cs="Times New Roman"/>
                      <w:iCs/>
                    </w:rPr>
                  </m:ctrlPr>
                </m:fPr>
                <m:num>
                  <m:r>
                    <m:rPr>
                      <m:sty m:val="p"/>
                    </m:rPr>
                    <w:rPr>
                      <w:rFonts w:ascii="Cambria Math" w:eastAsia="Times New Roman" w:hAnsi="Cambria Math"/>
                      <w:lang w:val="nb-NO"/>
                    </w:rPr>
                    <m:t>T</m:t>
                  </m:r>
                  <m:r>
                    <m:rPr>
                      <m:sty m:val="p"/>
                    </m:rPr>
                    <w:rPr>
                      <w:rFonts w:ascii="Cambria Math" w:eastAsia="Times New Roman" w:hAnsi="Cambria Math" w:hint="eastAsia"/>
                      <w:lang w:val="nb-NO"/>
                    </w:rPr>
                    <m:t>à</m:t>
                  </m:r>
                  <m:r>
                    <m:rPr>
                      <m:sty m:val="p"/>
                    </m:rPr>
                    <w:rPr>
                      <w:rFonts w:ascii="Cambria Math" w:eastAsia="Times New Roman" w:hAnsi="Cambria Math"/>
                      <w:lang w:val="nb-NO"/>
                    </w:rPr>
                    <m:t xml:space="preserve">i sản </m:t>
                  </m:r>
                  <m:r>
                    <m:rPr>
                      <m:nor/>
                    </m:rPr>
                    <w:rPr>
                      <w:rFonts w:ascii="Cambria Math" w:eastAsia="Times New Roman" w:hAnsi="Cambria Math"/>
                      <w:iCs/>
                      <w:lang w:val="nb-NO"/>
                    </w:rPr>
                    <m:t>"C</m:t>
                  </m:r>
                  <m:r>
                    <m:rPr>
                      <m:nor/>
                    </m:rPr>
                    <w:rPr>
                      <w:rFonts w:ascii="Cambria Math" w:eastAsia="Times New Roman" w:hAnsi="Cambria Math" w:hint="eastAsia"/>
                      <w:iCs/>
                      <w:lang w:val="nb-NO"/>
                    </w:rPr>
                    <m:t>ó</m:t>
                  </m:r>
                  <m:r>
                    <m:rPr>
                      <m:nor/>
                    </m:rPr>
                    <w:rPr>
                      <w:rFonts w:ascii="Cambria Math" w:eastAsia="Times New Roman" w:hAnsi="Cambria Math"/>
                      <w:iCs/>
                      <w:lang w:val="nb-NO"/>
                    </w:rPr>
                    <m:t>" c</m:t>
                  </m:r>
                  <m:r>
                    <m:rPr>
                      <m:nor/>
                    </m:rPr>
                    <w:rPr>
                      <w:rFonts w:ascii="Cambria Math" w:eastAsia="Times New Roman" w:hAnsi="Cambria Math" w:hint="eastAsia"/>
                      <w:iCs/>
                      <w:lang w:val="nb-NO"/>
                    </w:rPr>
                    <m:t>ó</m:t>
                  </m:r>
                  <m:r>
                    <m:rPr>
                      <m:nor/>
                    </m:rPr>
                    <w:rPr>
                      <w:rFonts w:ascii="Cambria Math" w:eastAsia="Times New Roman" w:hAnsi="Cambria Math"/>
                      <w:iCs/>
                      <w:lang w:val="nb-NO"/>
                    </w:rPr>
                    <m:t xml:space="preserve"> thể thanh to</m:t>
                  </m:r>
                  <m:r>
                    <m:rPr>
                      <m:nor/>
                    </m:rPr>
                    <w:rPr>
                      <w:rFonts w:ascii="Cambria Math" w:eastAsia="Times New Roman" w:hAnsi="Cambria Math" w:hint="eastAsia"/>
                      <w:iCs/>
                      <w:lang w:val="nb-NO"/>
                    </w:rPr>
                    <m:t>á</m:t>
                  </m:r>
                  <m:r>
                    <m:rPr>
                      <m:nor/>
                    </m:rPr>
                    <w:rPr>
                      <w:rFonts w:ascii="Cambria Math" w:eastAsia="Times New Roman" w:hAnsi="Cambria Math"/>
                      <w:iCs/>
                      <w:lang w:val="nb-NO"/>
                    </w:rPr>
                    <m:t>n ngay</m:t>
                  </m:r>
                </m:num>
                <m:den>
                  <m:r>
                    <m:rPr>
                      <m:sty m:val="p"/>
                    </m:rPr>
                    <w:rPr>
                      <w:rFonts w:ascii="Cambria Math" w:eastAsia="Times New Roman" w:hAnsi="Cambria Math"/>
                      <w:lang w:val="nb-NO"/>
                    </w:rPr>
                    <m:t>T</m:t>
                  </m:r>
                  <m:r>
                    <m:rPr>
                      <m:sty m:val="p"/>
                    </m:rPr>
                    <w:rPr>
                      <w:rFonts w:ascii="Cambria Math" w:eastAsia="Times New Roman" w:hAnsi="Cambria Math" w:hint="eastAsia"/>
                      <w:lang w:val="nb-NO"/>
                    </w:rPr>
                    <m:t>à</m:t>
                  </m:r>
                  <m:r>
                    <m:rPr>
                      <m:sty m:val="p"/>
                    </m:rPr>
                    <w:rPr>
                      <w:rFonts w:ascii="Cambria Math" w:eastAsia="Times New Roman" w:hAnsi="Cambria Math"/>
                      <w:lang w:val="nb-NO"/>
                    </w:rPr>
                    <m:t xml:space="preserve">i sản </m:t>
                  </m:r>
                  <m:r>
                    <m:rPr>
                      <m:nor/>
                    </m:rPr>
                    <w:rPr>
                      <w:rFonts w:ascii="Cambria Math" w:eastAsia="Times New Roman" w:hAnsi="Cambria Math"/>
                      <w:iCs/>
                      <w:lang w:val="nb-NO"/>
                    </w:rPr>
                    <m:t>"Nợ" phải thanh to</m:t>
                  </m:r>
                  <m:r>
                    <m:rPr>
                      <m:nor/>
                    </m:rPr>
                    <w:rPr>
                      <w:rFonts w:ascii="Cambria Math" w:eastAsia="Times New Roman" w:hAnsi="Cambria Math" w:hint="eastAsia"/>
                      <w:iCs/>
                      <w:lang w:val="nb-NO"/>
                    </w:rPr>
                    <m:t>á</m:t>
                  </m:r>
                  <m:r>
                    <m:rPr>
                      <m:nor/>
                    </m:rPr>
                    <w:rPr>
                      <w:rFonts w:ascii="Cambria Math" w:eastAsia="Times New Roman" w:hAnsi="Cambria Math"/>
                      <w:iCs/>
                      <w:lang w:val="nb-NO"/>
                    </w:rPr>
                    <m:t>n</m:t>
                  </m:r>
                </m:den>
              </m:f>
            </m:oMath>
            <w:r w:rsidR="00F564ED" w:rsidRPr="005F55B3">
              <w:rPr>
                <w:rFonts w:ascii="Cambria Math" w:eastAsia="Times New Roman" w:hAnsi="Cambria Math"/>
                <w:iCs/>
                <w:lang w:val="nb-NO"/>
              </w:rPr>
              <w:t xml:space="preserve">  x 100</w:t>
            </w:r>
          </w:p>
          <w:p w14:paraId="46093EB9" w14:textId="484BC975" w:rsidR="00250554" w:rsidRPr="005F55B3" w:rsidRDefault="00250554" w:rsidP="005239BD">
            <w:pPr>
              <w:ind w:right="0"/>
              <w:rPr>
                <w:rFonts w:eastAsia="Times New Roman" w:cs="Times New Roman"/>
                <w:lang w:val="nb-NO"/>
              </w:rPr>
            </w:pPr>
            <w:r w:rsidRPr="005239BD">
              <w:rPr>
                <w:rFonts w:eastAsia="Times New Roman"/>
                <w:lang w:val="nl-NL"/>
              </w:rPr>
              <w:t xml:space="preserve">Trong đó: Tài sản “Có” có thể thanh toán ngay, Tài sản “Nợ” phải thanh toán được xác định theo quy định tại Phụ lục </w:t>
            </w:r>
            <w:r w:rsidR="00C541B5">
              <w:rPr>
                <w:rFonts w:eastAsia="Times New Roman"/>
                <w:lang w:val="nl-NL"/>
              </w:rPr>
              <w:t>III</w:t>
            </w:r>
            <w:r w:rsidRPr="005239BD">
              <w:rPr>
                <w:rFonts w:eastAsia="Times New Roman"/>
                <w:lang w:val="nl-NL"/>
              </w:rPr>
              <w:t> ban hành kèm theo Thông tư này.</w:t>
            </w:r>
          </w:p>
          <w:p w14:paraId="357E3EF5" w14:textId="0CB2F8F1" w:rsidR="00250554" w:rsidRPr="005F55B3" w:rsidRDefault="00250554">
            <w:pPr>
              <w:spacing w:before="120" w:after="120"/>
              <w:ind w:right="0"/>
              <w:rPr>
                <w:rFonts w:eastAsiaTheme="majorEastAsia" w:cs="Times New Roman"/>
                <w:b/>
                <w:lang w:val="nb-NO"/>
              </w:rPr>
            </w:pPr>
            <w:r w:rsidRPr="005239BD">
              <w:rPr>
                <w:rFonts w:eastAsia="Times New Roman"/>
                <w:lang w:val="nl-NL"/>
              </w:rPr>
              <w:t>2. </w:t>
            </w:r>
            <w:r w:rsidRPr="005239BD">
              <w:rPr>
                <w:rFonts w:eastAsia="Times New Roman"/>
                <w:lang w:val="vi-VN"/>
              </w:rPr>
              <w:t>Kết thúc ngày làm việc, quỹ tín dụng nhân dân phải duy trì tỷ lệ </w:t>
            </w:r>
            <w:r w:rsidRPr="005239BD">
              <w:rPr>
                <w:rFonts w:eastAsia="Times New Roman"/>
                <w:lang w:val="nl-NL"/>
              </w:rPr>
              <w:t>khả năng chi trả trong</w:t>
            </w:r>
            <w:r w:rsidRPr="005239BD">
              <w:rPr>
                <w:rFonts w:eastAsia="Times New Roman"/>
                <w:lang w:val="vi-VN"/>
              </w:rPr>
              <w:t> ngày tiếp theo</w:t>
            </w:r>
            <w:r w:rsidRPr="005239BD">
              <w:rPr>
                <w:rFonts w:eastAsia="Times New Roman"/>
                <w:lang w:val="nl-NL"/>
              </w:rPr>
              <w:t> và tỷ lệ khả năng chi trả </w:t>
            </w:r>
            <w:r w:rsidRPr="005239BD">
              <w:rPr>
                <w:rFonts w:eastAsia="Times New Roman"/>
                <w:lang w:val="vi-VN"/>
              </w:rPr>
              <w:t>trong khoảng thời gian 7 </w:t>
            </w:r>
            <w:r w:rsidRPr="005239BD">
              <w:rPr>
                <w:rFonts w:eastAsia="Times New Roman"/>
                <w:lang w:val="nl-NL"/>
              </w:rPr>
              <w:t>(bảy) </w:t>
            </w:r>
            <w:r w:rsidRPr="005239BD">
              <w:rPr>
                <w:rFonts w:eastAsia="Times New Roman"/>
                <w:lang w:val="vi-VN"/>
              </w:rPr>
              <w:t>ngày</w:t>
            </w:r>
            <w:r w:rsidR="00A97E57">
              <w:rPr>
                <w:rFonts w:eastAsia="Times New Roman"/>
              </w:rPr>
              <w:t xml:space="preserve"> </w:t>
            </w:r>
            <w:r w:rsidRPr="005239BD">
              <w:rPr>
                <w:rFonts w:eastAsia="Times New Roman"/>
                <w:lang w:val="vi-VN"/>
              </w:rPr>
              <w:t>tiếp theo</w:t>
            </w:r>
            <w:r w:rsidRPr="005239BD">
              <w:rPr>
                <w:rFonts w:eastAsia="Times New Roman"/>
                <w:lang w:val="nl-NL"/>
              </w:rPr>
              <w:t xml:space="preserve"> tối thiểu bằng </w:t>
            </w:r>
            <w:r w:rsidRPr="005239BD">
              <w:rPr>
                <w:rFonts w:eastAsia="Times New Roman"/>
                <w:i/>
                <w:lang w:val="nl-NL"/>
              </w:rPr>
              <w:t>1</w:t>
            </w:r>
            <w:r w:rsidR="00F25D36" w:rsidRPr="005239BD">
              <w:rPr>
                <w:rFonts w:eastAsia="Times New Roman"/>
                <w:i/>
                <w:lang w:val="nl-NL"/>
              </w:rPr>
              <w:t>00%</w:t>
            </w:r>
            <w:r w:rsidRPr="005239BD">
              <w:rPr>
                <w:rFonts w:eastAsia="Times New Roman" w:cs="Times New Roman"/>
                <w:lang w:val="nl-NL"/>
              </w:rPr>
              <w:t>.</w:t>
            </w:r>
          </w:p>
        </w:tc>
        <w:tc>
          <w:tcPr>
            <w:tcW w:w="3969" w:type="dxa"/>
          </w:tcPr>
          <w:p w14:paraId="0878BE1A" w14:textId="77777777" w:rsidR="00F25D36" w:rsidRPr="005239BD" w:rsidRDefault="00F25D36" w:rsidP="005239BD">
            <w:pPr>
              <w:ind w:right="0"/>
              <w:rPr>
                <w:noProof/>
                <w:lang w:val="nl-NL"/>
              </w:rPr>
            </w:pPr>
          </w:p>
          <w:p w14:paraId="1B219CAD" w14:textId="77777777" w:rsidR="00F25D36" w:rsidRPr="005239BD" w:rsidRDefault="00F25D36" w:rsidP="005239BD">
            <w:pPr>
              <w:ind w:right="0"/>
              <w:rPr>
                <w:noProof/>
                <w:lang w:val="nl-NL"/>
              </w:rPr>
            </w:pPr>
          </w:p>
          <w:p w14:paraId="73845948" w14:textId="77777777" w:rsidR="00F25D36" w:rsidRPr="005239BD" w:rsidRDefault="00F25D36" w:rsidP="005239BD">
            <w:pPr>
              <w:ind w:right="0"/>
              <w:rPr>
                <w:noProof/>
                <w:lang w:val="nl-NL"/>
              </w:rPr>
            </w:pPr>
          </w:p>
          <w:p w14:paraId="37622774" w14:textId="77777777" w:rsidR="00F25D36" w:rsidRPr="005239BD" w:rsidRDefault="00F25D36" w:rsidP="005239BD">
            <w:pPr>
              <w:ind w:right="0"/>
              <w:rPr>
                <w:noProof/>
                <w:lang w:val="nl-NL"/>
              </w:rPr>
            </w:pPr>
          </w:p>
          <w:p w14:paraId="4B905033" w14:textId="77777777" w:rsidR="00F25D36" w:rsidRPr="005239BD" w:rsidRDefault="00F25D36" w:rsidP="005239BD">
            <w:pPr>
              <w:ind w:right="0"/>
              <w:rPr>
                <w:noProof/>
                <w:lang w:val="nl-NL"/>
              </w:rPr>
            </w:pPr>
          </w:p>
          <w:p w14:paraId="7A61A42B" w14:textId="77777777" w:rsidR="00F25D36" w:rsidRPr="005239BD" w:rsidRDefault="00F25D36" w:rsidP="005239BD">
            <w:pPr>
              <w:ind w:right="0"/>
              <w:rPr>
                <w:noProof/>
                <w:lang w:val="nl-NL"/>
              </w:rPr>
            </w:pPr>
          </w:p>
          <w:p w14:paraId="0EE3F831" w14:textId="77777777" w:rsidR="00F25D36" w:rsidRPr="005239BD" w:rsidRDefault="00F25D36" w:rsidP="005239BD">
            <w:pPr>
              <w:ind w:right="0"/>
              <w:rPr>
                <w:noProof/>
                <w:lang w:val="nl-NL"/>
              </w:rPr>
            </w:pPr>
          </w:p>
          <w:p w14:paraId="5AB518EF" w14:textId="77777777" w:rsidR="00F25D36" w:rsidRPr="005239BD" w:rsidRDefault="00F25D36" w:rsidP="005239BD">
            <w:pPr>
              <w:ind w:right="0"/>
              <w:rPr>
                <w:noProof/>
                <w:lang w:val="nl-NL"/>
              </w:rPr>
            </w:pPr>
          </w:p>
          <w:p w14:paraId="708A7E4F" w14:textId="77777777" w:rsidR="00F25D36" w:rsidRPr="005239BD" w:rsidRDefault="00F25D36" w:rsidP="005239BD">
            <w:pPr>
              <w:ind w:right="0"/>
              <w:rPr>
                <w:noProof/>
                <w:lang w:val="nl-NL"/>
              </w:rPr>
            </w:pPr>
          </w:p>
          <w:p w14:paraId="0C1C95B6" w14:textId="77777777" w:rsidR="00F25D36" w:rsidRPr="005239BD" w:rsidRDefault="00F25D36" w:rsidP="005239BD">
            <w:pPr>
              <w:ind w:right="0"/>
              <w:rPr>
                <w:noProof/>
                <w:lang w:val="nl-NL"/>
              </w:rPr>
            </w:pPr>
          </w:p>
          <w:p w14:paraId="3FA82815" w14:textId="77777777" w:rsidR="00F25D36" w:rsidRPr="005239BD" w:rsidRDefault="00F25D36" w:rsidP="005239BD">
            <w:pPr>
              <w:ind w:right="0"/>
              <w:rPr>
                <w:noProof/>
                <w:lang w:val="nl-NL"/>
              </w:rPr>
            </w:pPr>
          </w:p>
          <w:p w14:paraId="3116739D" w14:textId="77777777" w:rsidR="00F25D36" w:rsidRPr="005239BD" w:rsidRDefault="00F25D36" w:rsidP="005239BD">
            <w:pPr>
              <w:ind w:right="0"/>
              <w:rPr>
                <w:noProof/>
                <w:lang w:val="nl-NL"/>
              </w:rPr>
            </w:pPr>
          </w:p>
          <w:p w14:paraId="0CE11B18" w14:textId="77777777" w:rsidR="00E370B2" w:rsidRDefault="00E370B2" w:rsidP="005239BD">
            <w:pPr>
              <w:ind w:right="0"/>
              <w:rPr>
                <w:noProof/>
                <w:lang w:val="nl-NL"/>
              </w:rPr>
            </w:pPr>
            <w:r>
              <w:rPr>
                <w:noProof/>
                <w:lang w:val="nl-NL"/>
              </w:rPr>
              <w:t xml:space="preserve">- </w:t>
            </w:r>
            <w:r w:rsidR="00F25D36" w:rsidRPr="005239BD">
              <w:rPr>
                <w:noProof/>
                <w:lang w:val="nl-NL"/>
              </w:rPr>
              <w:t>Quy đổi sang tỷ lệ % cho thống nhất với các tỷ lệ</w:t>
            </w:r>
            <w:r w:rsidR="00250554" w:rsidRPr="005239BD">
              <w:rPr>
                <w:noProof/>
                <w:lang w:val="nl-NL"/>
              </w:rPr>
              <w:t>.</w:t>
            </w:r>
            <w:r>
              <w:rPr>
                <w:noProof/>
                <w:lang w:val="nl-NL"/>
              </w:rPr>
              <w:t xml:space="preserve"> </w:t>
            </w:r>
          </w:p>
          <w:p w14:paraId="4742054F" w14:textId="0AB2EBED" w:rsidR="00250554" w:rsidRPr="005239BD" w:rsidRDefault="00E370B2">
            <w:pPr>
              <w:ind w:right="0"/>
              <w:rPr>
                <w:noProof/>
                <w:lang w:val="nl-NL"/>
              </w:rPr>
            </w:pPr>
            <w:r>
              <w:rPr>
                <w:noProof/>
                <w:lang w:val="nl-NL"/>
              </w:rPr>
              <w:t xml:space="preserve">- Bỏ </w:t>
            </w:r>
            <w:r w:rsidR="00CB2D9A">
              <w:rPr>
                <w:noProof/>
                <w:lang w:val="nl-NL"/>
              </w:rPr>
              <w:t>cụm từ</w:t>
            </w:r>
            <w:r>
              <w:rPr>
                <w:noProof/>
                <w:lang w:val="nl-NL"/>
              </w:rPr>
              <w:t xml:space="preserve"> “làm việc” để yêu cầu các QTDND phải duy trì tỷ lệ khả năng chi trả trong suốt thời gian hoạt động, kể cả không phải ngày làm việc.</w:t>
            </w:r>
            <w:r w:rsidR="000840BE">
              <w:rPr>
                <w:noProof/>
                <w:lang w:val="nl-NL"/>
              </w:rPr>
              <w:t xml:space="preserve"> Nội dung này cũng phù hợp với khoản 1 Điều 13 Thông tư này khi đánh giá mất khả năng chi trả trong thời gian 30 ngày liên tục</w:t>
            </w:r>
            <w:r w:rsidR="001409F2">
              <w:rPr>
                <w:noProof/>
                <w:lang w:val="nl-NL"/>
              </w:rPr>
              <w:t>.</w:t>
            </w:r>
          </w:p>
        </w:tc>
      </w:tr>
      <w:tr w:rsidR="00250554" w:rsidRPr="00AC5DD8" w14:paraId="568FCCE6" w14:textId="77777777" w:rsidTr="009521CC">
        <w:tc>
          <w:tcPr>
            <w:tcW w:w="680" w:type="dxa"/>
            <w:vAlign w:val="center"/>
          </w:tcPr>
          <w:p w14:paraId="3207CE94" w14:textId="4904FE75" w:rsidR="00250554" w:rsidRPr="005239BD" w:rsidRDefault="00622FAA" w:rsidP="005239BD">
            <w:pPr>
              <w:spacing w:before="120" w:after="120"/>
              <w:ind w:right="0"/>
              <w:jc w:val="center"/>
              <w:rPr>
                <w:b/>
                <w:iCs/>
                <w:noProof/>
              </w:rPr>
            </w:pPr>
            <w:r>
              <w:rPr>
                <w:b/>
                <w:iCs/>
                <w:noProof/>
              </w:rPr>
              <w:lastRenderedPageBreak/>
              <w:t>10</w:t>
            </w:r>
          </w:p>
        </w:tc>
        <w:tc>
          <w:tcPr>
            <w:tcW w:w="5416" w:type="dxa"/>
          </w:tcPr>
          <w:p w14:paraId="48E52346" w14:textId="7A400C48" w:rsidR="00250554" w:rsidRPr="005239BD" w:rsidRDefault="00250554" w:rsidP="005239BD">
            <w:pPr>
              <w:ind w:right="0"/>
              <w:rPr>
                <w:rFonts w:eastAsia="Times New Roman" w:cs="Times New Roman"/>
                <w:color w:val="000000"/>
              </w:rPr>
            </w:pPr>
            <w:bookmarkStart w:id="6" w:name="dieu_7"/>
            <w:r w:rsidRPr="005239BD">
              <w:rPr>
                <w:rFonts w:eastAsia="Times New Roman" w:cs="Times New Roman"/>
                <w:b/>
                <w:bCs/>
                <w:color w:val="000000"/>
                <w:lang w:val="pt-BR"/>
              </w:rPr>
              <w:t xml:space="preserve">Điều 7. Tỷ lệ </w:t>
            </w:r>
            <w:r w:rsidRPr="001D6C23">
              <w:rPr>
                <w:rFonts w:eastAsia="Times New Roman"/>
                <w:b/>
                <w:bCs/>
                <w:color w:val="000000"/>
                <w:u w:val="single"/>
                <w:lang w:val="pt-BR"/>
              </w:rPr>
              <w:t>tối đa của</w:t>
            </w:r>
            <w:r w:rsidRPr="005239BD">
              <w:rPr>
                <w:rFonts w:eastAsia="Times New Roman" w:cs="Times New Roman"/>
                <w:b/>
                <w:bCs/>
                <w:color w:val="000000"/>
                <w:lang w:val="pt-BR"/>
              </w:rPr>
              <w:t xml:space="preserve"> nguồn vốn ngắn hạn được sử dụng để cho vay trung hạn và dài hạn</w:t>
            </w:r>
            <w:bookmarkEnd w:id="6"/>
          </w:p>
          <w:p w14:paraId="19870BA6" w14:textId="77777777" w:rsidR="00250554" w:rsidRPr="005239BD" w:rsidRDefault="00250554" w:rsidP="005239BD">
            <w:pPr>
              <w:spacing w:before="120" w:after="120"/>
              <w:ind w:right="0"/>
              <w:rPr>
                <w:rFonts w:eastAsia="Times New Roman" w:cs="Times New Roman"/>
                <w:color w:val="000000"/>
              </w:rPr>
            </w:pPr>
            <w:r w:rsidRPr="005239BD">
              <w:rPr>
                <w:rFonts w:eastAsia="Times New Roman" w:cs="Times New Roman"/>
                <w:color w:val="000000"/>
                <w:lang w:val="vi-VN"/>
              </w:rPr>
              <w:t xml:space="preserve">1. Quỹ tín dụng nhân dân phải duy trì tỷ lệ </w:t>
            </w:r>
            <w:r w:rsidRPr="001D6C23">
              <w:rPr>
                <w:rFonts w:eastAsia="Times New Roman"/>
                <w:color w:val="000000"/>
                <w:u w:val="single"/>
                <w:lang w:val="vi-VN"/>
              </w:rPr>
              <w:t>của</w:t>
            </w:r>
            <w:r w:rsidRPr="005239BD">
              <w:rPr>
                <w:rFonts w:eastAsia="Times New Roman" w:cs="Times New Roman"/>
                <w:color w:val="000000"/>
                <w:lang w:val="vi-VN"/>
              </w:rPr>
              <w:t xml:space="preserve"> nguồn vốn ngắn hạn được sử dụng để cho vay trung hạn và dài hạn tối đa là </w:t>
            </w:r>
            <w:r w:rsidRPr="005239BD">
              <w:rPr>
                <w:rFonts w:eastAsia="Times New Roman" w:cs="Times New Roman"/>
                <w:color w:val="000000"/>
                <w:lang w:val="pt-BR"/>
              </w:rPr>
              <w:t>30%.</w:t>
            </w:r>
          </w:p>
          <w:p w14:paraId="6CD6A343" w14:textId="77777777" w:rsidR="00250554" w:rsidRPr="005239BD" w:rsidRDefault="00250554" w:rsidP="005239BD">
            <w:pPr>
              <w:spacing w:before="120" w:after="120"/>
              <w:ind w:right="0"/>
              <w:rPr>
                <w:rFonts w:eastAsia="Times New Roman" w:cs="Times New Roman"/>
                <w:color w:val="000000"/>
              </w:rPr>
            </w:pPr>
            <w:r w:rsidRPr="005239BD">
              <w:rPr>
                <w:rFonts w:eastAsia="Times New Roman" w:cs="Times New Roman"/>
                <w:color w:val="000000"/>
                <w:lang w:val="vi-VN"/>
              </w:rPr>
              <w:t xml:space="preserve">2. Tỷ lệ </w:t>
            </w:r>
            <w:r w:rsidRPr="001D6C23">
              <w:rPr>
                <w:rFonts w:eastAsia="Times New Roman"/>
                <w:color w:val="000000"/>
                <w:u w:val="single"/>
                <w:lang w:val="vi-VN"/>
              </w:rPr>
              <w:t>của</w:t>
            </w:r>
            <w:r w:rsidRPr="005239BD">
              <w:rPr>
                <w:rFonts w:eastAsia="Times New Roman" w:cs="Times New Roman"/>
                <w:color w:val="000000"/>
                <w:lang w:val="vi-VN"/>
              </w:rPr>
              <w:t xml:space="preserve"> nguồn vốn ngắn hạn được sử dụng để cho vay trung hạn và dài hạn được xác định theo công thức sau:</w:t>
            </w:r>
          </w:p>
          <w:p w14:paraId="014237E1" w14:textId="2E809D66" w:rsidR="00250554" w:rsidRPr="005239BD" w:rsidRDefault="00250554" w:rsidP="005239BD">
            <w:pPr>
              <w:spacing w:before="120" w:after="120"/>
              <w:ind w:right="0"/>
              <w:jc w:val="center"/>
              <w:rPr>
                <w:rFonts w:eastAsia="Times New Roman" w:cs="Times New Roman"/>
                <w:color w:val="000000"/>
              </w:rPr>
            </w:pPr>
            <w:r w:rsidRPr="005239BD">
              <w:rPr>
                <w:rFonts w:eastAsia="Times New Roman"/>
                <w:b/>
                <w:bCs/>
                <w:noProof/>
                <w:color w:val="000000"/>
              </w:rPr>
              <w:drawing>
                <wp:inline distT="0" distB="0" distL="0" distR="0" wp14:anchorId="6708A9BE" wp14:editId="5264DDC6">
                  <wp:extent cx="1752600" cy="495300"/>
                  <wp:effectExtent l="0" t="0" r="0" b="0"/>
                  <wp:docPr id="4" name="Picture 4" descr="https://files.thuvienphapluat.vn/doc2htm/00619835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iles.thuvienphapluat.vn/doc2htm/00619835_files/image00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0" cy="495300"/>
                          </a:xfrm>
                          <a:prstGeom prst="rect">
                            <a:avLst/>
                          </a:prstGeom>
                          <a:noFill/>
                          <a:ln>
                            <a:noFill/>
                          </a:ln>
                        </pic:spPr>
                      </pic:pic>
                    </a:graphicData>
                  </a:graphic>
                </wp:inline>
              </w:drawing>
            </w:r>
          </w:p>
          <w:p w14:paraId="64667400" w14:textId="77777777" w:rsidR="00250554" w:rsidRPr="005239BD" w:rsidRDefault="00250554" w:rsidP="005239BD">
            <w:pPr>
              <w:spacing w:before="120" w:after="120"/>
              <w:ind w:right="0"/>
              <w:rPr>
                <w:rFonts w:eastAsia="Times New Roman" w:cs="Times New Roman"/>
                <w:color w:val="000000"/>
              </w:rPr>
            </w:pPr>
            <w:r w:rsidRPr="005239BD">
              <w:rPr>
                <w:rFonts w:eastAsia="Times New Roman" w:cs="Times New Roman"/>
                <w:color w:val="000000"/>
                <w:lang w:val="vi-VN"/>
              </w:rPr>
              <w:t>Trong đó:</w:t>
            </w:r>
          </w:p>
          <w:p w14:paraId="497D05DB" w14:textId="77777777" w:rsidR="00250554" w:rsidRPr="005239BD" w:rsidRDefault="00250554" w:rsidP="005239BD">
            <w:pPr>
              <w:spacing w:before="120" w:after="120"/>
              <w:ind w:right="0"/>
              <w:rPr>
                <w:rFonts w:eastAsia="Times New Roman" w:cs="Times New Roman"/>
                <w:color w:val="000000"/>
              </w:rPr>
            </w:pPr>
            <w:r w:rsidRPr="005239BD">
              <w:rPr>
                <w:rFonts w:eastAsia="Times New Roman" w:cs="Times New Roman"/>
                <w:color w:val="000000"/>
                <w:lang w:val="vi-VN"/>
              </w:rPr>
              <w:lastRenderedPageBreak/>
              <w:t xml:space="preserve">- A: tỷ lệ </w:t>
            </w:r>
            <w:r w:rsidRPr="001D6C23">
              <w:rPr>
                <w:rFonts w:eastAsia="Times New Roman"/>
                <w:color w:val="000000"/>
                <w:u w:val="single"/>
                <w:lang w:val="vi-VN"/>
              </w:rPr>
              <w:t>của</w:t>
            </w:r>
            <w:r w:rsidRPr="005239BD">
              <w:rPr>
                <w:rFonts w:eastAsia="Times New Roman" w:cs="Times New Roman"/>
                <w:color w:val="000000"/>
                <w:lang w:val="vi-VN"/>
              </w:rPr>
              <w:t xml:space="preserve"> nguồn vốn ngắn hạn được sử dụng để cho vay trung hạn và dài hạn</w:t>
            </w:r>
            <w:r w:rsidRPr="005239BD">
              <w:rPr>
                <w:rFonts w:eastAsia="Times New Roman" w:cs="Times New Roman"/>
                <w:i/>
                <w:iCs/>
                <w:color w:val="000000"/>
                <w:lang w:val="vi-VN"/>
              </w:rPr>
              <w:t>.</w:t>
            </w:r>
          </w:p>
          <w:p w14:paraId="5C569067" w14:textId="77777777" w:rsidR="00250554" w:rsidRPr="005239BD" w:rsidRDefault="00250554" w:rsidP="005239BD">
            <w:pPr>
              <w:spacing w:before="120" w:after="120"/>
              <w:ind w:right="0"/>
              <w:rPr>
                <w:rFonts w:eastAsia="Times New Roman" w:cs="Times New Roman"/>
                <w:color w:val="000000"/>
              </w:rPr>
            </w:pPr>
            <w:r w:rsidRPr="005239BD">
              <w:rPr>
                <w:rFonts w:eastAsia="Times New Roman" w:cs="Times New Roman"/>
                <w:color w:val="000000"/>
                <w:lang w:val="vi-VN"/>
              </w:rPr>
              <w:t>- B: tổng dư nợ cho vay trung hạn và dài hạn quy định tại khoản 3 Điều này.</w:t>
            </w:r>
          </w:p>
          <w:p w14:paraId="7FEEA431" w14:textId="77777777" w:rsidR="00250554" w:rsidRPr="005239BD" w:rsidRDefault="00250554" w:rsidP="005239BD">
            <w:pPr>
              <w:spacing w:before="120" w:after="120"/>
              <w:ind w:right="0"/>
              <w:rPr>
                <w:rFonts w:eastAsia="Times New Roman" w:cs="Times New Roman"/>
                <w:color w:val="000000"/>
              </w:rPr>
            </w:pPr>
            <w:r w:rsidRPr="005239BD">
              <w:rPr>
                <w:rFonts w:eastAsia="Times New Roman" w:cs="Times New Roman"/>
                <w:color w:val="000000"/>
                <w:lang w:val="vi-VN"/>
              </w:rPr>
              <w:t>- C: tổng nguồn vốn trung hạn và dài hạn quy định tại khoản 4 Điều này.</w:t>
            </w:r>
          </w:p>
          <w:p w14:paraId="011DF7C5" w14:textId="77777777" w:rsidR="00250554" w:rsidRPr="005239BD" w:rsidRDefault="00250554" w:rsidP="005239BD">
            <w:pPr>
              <w:spacing w:before="120" w:after="120"/>
              <w:ind w:right="0"/>
              <w:rPr>
                <w:rFonts w:eastAsia="Times New Roman" w:cs="Times New Roman"/>
                <w:color w:val="000000"/>
              </w:rPr>
            </w:pPr>
            <w:r w:rsidRPr="005239BD">
              <w:rPr>
                <w:rFonts w:eastAsia="Times New Roman" w:cs="Times New Roman"/>
                <w:color w:val="000000"/>
                <w:lang w:val="vi-VN"/>
              </w:rPr>
              <w:t>- D: nguồn vốn ngắn hạn quy định tại khoản 5 Điều này.</w:t>
            </w:r>
          </w:p>
          <w:p w14:paraId="75B6FFBA" w14:textId="77777777" w:rsidR="00250554" w:rsidRPr="005F55B3" w:rsidRDefault="00250554" w:rsidP="005239BD">
            <w:pPr>
              <w:spacing w:before="120" w:after="120"/>
              <w:ind w:right="0"/>
              <w:rPr>
                <w:rFonts w:eastAsia="Times New Roman" w:cs="Times New Roman"/>
                <w:color w:val="000000"/>
                <w:lang w:val="vi-VN"/>
              </w:rPr>
            </w:pPr>
            <w:r w:rsidRPr="005239BD">
              <w:rPr>
                <w:rFonts w:eastAsia="Times New Roman" w:cs="Times New Roman"/>
                <w:color w:val="000000"/>
                <w:lang w:val="vi-VN"/>
              </w:rPr>
              <w:t>3. Tổng dư nợ cho vay trung hạn và dài hạn bao gồm dư nợ cho vay có thời hạn còn lại trên 01 (một) năm. Tổng dư nợ cho vay trung hạn và dài hạn không bao gồm dư nợ cho vay theo ủy thác của Chính phủ, tổ chức (bao gồm cả tổ chức tín dụng, chi nhánh ngân hàng nước ngoài khác) và cá nhân.</w:t>
            </w:r>
          </w:p>
          <w:p w14:paraId="087D877F" w14:textId="77777777" w:rsidR="00250554" w:rsidRPr="005F55B3" w:rsidRDefault="00250554" w:rsidP="005239BD">
            <w:pPr>
              <w:spacing w:before="120" w:after="120"/>
              <w:ind w:right="0"/>
              <w:rPr>
                <w:rFonts w:eastAsia="Times New Roman" w:cs="Times New Roman"/>
                <w:color w:val="000000"/>
                <w:lang w:val="vi-VN"/>
              </w:rPr>
            </w:pPr>
            <w:r w:rsidRPr="005239BD">
              <w:rPr>
                <w:rFonts w:eastAsia="Times New Roman" w:cs="Times New Roman"/>
                <w:color w:val="000000"/>
                <w:lang w:val="vi-VN"/>
              </w:rPr>
              <w:t>4. Nguồn vốn trung hạn và dài hạn bao gồm:</w:t>
            </w:r>
          </w:p>
          <w:p w14:paraId="52C3DAFE" w14:textId="107B6974" w:rsidR="00250554" w:rsidRPr="005F55B3" w:rsidRDefault="00250554" w:rsidP="005239BD">
            <w:pPr>
              <w:ind w:right="0"/>
              <w:rPr>
                <w:rFonts w:eastAsia="Times New Roman" w:cs="Times New Roman"/>
                <w:color w:val="000000"/>
                <w:lang w:val="vi-VN"/>
              </w:rPr>
            </w:pPr>
            <w:r w:rsidRPr="005239BD">
              <w:rPr>
                <w:rFonts w:eastAsia="Times New Roman" w:cs="Times New Roman"/>
                <w:color w:val="000000"/>
                <w:lang w:val="vi-VN"/>
              </w:rPr>
              <w:t>a)</w:t>
            </w:r>
            <w:r w:rsidRPr="005239BD">
              <w:rPr>
                <w:rFonts w:eastAsia="Times New Roman" w:cs="Times New Roman"/>
                <w:color w:val="000000"/>
                <w:shd w:val="clear" w:color="auto" w:fill="FFFFFF"/>
                <w:lang w:val="vi-VN"/>
              </w:rPr>
              <w:t xml:space="preserve"> Vốn điều lệ, quỹ dự trữ bổ sung vốn điều lệ, quỹ đầu tư </w:t>
            </w:r>
            <w:r w:rsidRPr="005F55B3">
              <w:rPr>
                <w:rFonts w:eastAsia="Times New Roman"/>
                <w:color w:val="000000"/>
                <w:shd w:val="clear" w:color="auto" w:fill="FFFFFF"/>
                <w:lang w:val="vi-VN"/>
              </w:rPr>
              <w:t>phát triển</w:t>
            </w:r>
            <w:r w:rsidRPr="005239BD">
              <w:rPr>
                <w:rFonts w:eastAsia="Times New Roman" w:cs="Times New Roman"/>
                <w:color w:val="000000"/>
                <w:shd w:val="clear" w:color="auto" w:fill="FFFFFF"/>
                <w:lang w:val="vi-VN"/>
              </w:rPr>
              <w:t xml:space="preserve"> và quỹ dự phòng tài chính còn lại sau khi trừ đi lỗ lũy kế (được xác định trên bảng cân đối tài khoản kế toán tại thời điểm tính tỷ lệ tối đa của nguồn vốn ngắn hạn được sử dụng để cho vay trung hạn và dài hạn), giá trị nguyên giá của các khoản mua, đầu tư tài sản cố định, góp vốn vào ngân hàng hợp tác xã theo quy định của pháp luật;</w:t>
            </w:r>
          </w:p>
          <w:p w14:paraId="3EB52388" w14:textId="77777777" w:rsidR="00250554" w:rsidRPr="005F55B3" w:rsidRDefault="00250554" w:rsidP="005239BD">
            <w:pPr>
              <w:spacing w:before="120" w:after="120"/>
              <w:ind w:right="0"/>
              <w:rPr>
                <w:rFonts w:eastAsia="Times New Roman" w:cs="Times New Roman"/>
                <w:color w:val="000000"/>
                <w:lang w:val="vi-VN"/>
              </w:rPr>
            </w:pPr>
            <w:r w:rsidRPr="005239BD">
              <w:rPr>
                <w:rFonts w:eastAsia="Times New Roman" w:cs="Times New Roman"/>
                <w:color w:val="000000"/>
                <w:lang w:val="vi-VN"/>
              </w:rPr>
              <w:t>b) Các khoản sau đây có thời hạn còn lại trên 01 (một) năm, bao gồm:</w:t>
            </w:r>
          </w:p>
          <w:p w14:paraId="4620E967" w14:textId="77777777" w:rsidR="00250554" w:rsidRPr="005F55B3" w:rsidRDefault="00250554" w:rsidP="005239BD">
            <w:pPr>
              <w:spacing w:before="120" w:after="120"/>
              <w:ind w:right="0"/>
              <w:rPr>
                <w:rFonts w:eastAsia="Times New Roman" w:cs="Times New Roman"/>
                <w:color w:val="000000"/>
                <w:lang w:val="vi-VN"/>
              </w:rPr>
            </w:pPr>
            <w:r w:rsidRPr="005239BD">
              <w:rPr>
                <w:rFonts w:eastAsia="Times New Roman" w:cs="Times New Roman"/>
                <w:color w:val="000000"/>
                <w:lang w:val="vi-VN"/>
              </w:rPr>
              <w:t>(i) Tiền gửi có kỳ hạn, tiền gửi tiết kiệm của tổ chức, cá nhân;</w:t>
            </w:r>
          </w:p>
          <w:p w14:paraId="77A6FBD1" w14:textId="77777777" w:rsidR="00250554" w:rsidRPr="005F55B3" w:rsidRDefault="00250554" w:rsidP="005239BD">
            <w:pPr>
              <w:spacing w:before="120" w:after="120"/>
              <w:ind w:right="0"/>
              <w:rPr>
                <w:rFonts w:eastAsia="Times New Roman" w:cs="Times New Roman"/>
                <w:color w:val="000000"/>
                <w:lang w:val="vi-VN"/>
              </w:rPr>
            </w:pPr>
            <w:r w:rsidRPr="005239BD">
              <w:rPr>
                <w:rFonts w:eastAsia="Times New Roman" w:cs="Times New Roman"/>
                <w:color w:val="000000"/>
                <w:lang w:val="vi-VN"/>
              </w:rPr>
              <w:lastRenderedPageBreak/>
              <w:t>(ii) Khoản vay từ tổ chức tín dụng, tổ chức tài chính khác.</w:t>
            </w:r>
          </w:p>
          <w:p w14:paraId="5C17743D" w14:textId="77777777" w:rsidR="00250554" w:rsidRPr="005F55B3" w:rsidRDefault="00250554" w:rsidP="005239BD">
            <w:pPr>
              <w:spacing w:before="120" w:after="120"/>
              <w:ind w:right="0"/>
              <w:rPr>
                <w:rFonts w:eastAsia="Times New Roman" w:cs="Times New Roman"/>
                <w:color w:val="000000"/>
                <w:lang w:val="vi-VN"/>
              </w:rPr>
            </w:pPr>
            <w:r w:rsidRPr="005239BD">
              <w:rPr>
                <w:rFonts w:eastAsia="Times New Roman" w:cs="Times New Roman"/>
                <w:color w:val="000000"/>
                <w:lang w:val="vi-VN"/>
              </w:rPr>
              <w:t>5. Nguồn vốn ngắn hạn gồm:</w:t>
            </w:r>
          </w:p>
          <w:p w14:paraId="0AD336FC" w14:textId="77777777" w:rsidR="00250554" w:rsidRPr="005239BD" w:rsidRDefault="00250554" w:rsidP="005239BD">
            <w:pPr>
              <w:spacing w:before="120" w:after="120"/>
              <w:ind w:right="0"/>
              <w:rPr>
                <w:rFonts w:eastAsia="Times New Roman" w:cs="Times New Roman"/>
                <w:color w:val="000000"/>
              </w:rPr>
            </w:pPr>
            <w:r w:rsidRPr="005239BD">
              <w:rPr>
                <w:rFonts w:eastAsia="Times New Roman" w:cs="Times New Roman"/>
                <w:color w:val="000000"/>
              </w:rPr>
              <w:t>a) T</w:t>
            </w:r>
            <w:r w:rsidRPr="005239BD">
              <w:rPr>
                <w:rFonts w:eastAsia="Times New Roman" w:cs="Times New Roman"/>
                <w:color w:val="000000"/>
                <w:lang w:val="vi-VN"/>
              </w:rPr>
              <w:t>iền gửi không kỳ hạn</w:t>
            </w:r>
            <w:r w:rsidRPr="005239BD">
              <w:rPr>
                <w:rFonts w:eastAsia="Times New Roman" w:cs="Times New Roman"/>
                <w:color w:val="000000"/>
              </w:rPr>
              <w:t>;</w:t>
            </w:r>
          </w:p>
          <w:p w14:paraId="63F10775" w14:textId="77777777" w:rsidR="00250554" w:rsidRPr="005239BD" w:rsidRDefault="00250554" w:rsidP="005239BD">
            <w:pPr>
              <w:spacing w:before="120" w:after="120"/>
              <w:ind w:right="0"/>
              <w:rPr>
                <w:rFonts w:eastAsia="Times New Roman" w:cs="Times New Roman"/>
                <w:color w:val="000000"/>
              </w:rPr>
            </w:pPr>
            <w:r w:rsidRPr="005239BD">
              <w:rPr>
                <w:rFonts w:eastAsia="Times New Roman" w:cs="Times New Roman"/>
                <w:color w:val="000000"/>
              </w:rPr>
              <w:t>b</w:t>
            </w:r>
            <w:r w:rsidRPr="005239BD">
              <w:rPr>
                <w:rFonts w:eastAsia="Times New Roman" w:cs="Times New Roman"/>
                <w:color w:val="000000"/>
                <w:lang w:val="vi-VN"/>
              </w:rPr>
              <w:t>) </w:t>
            </w:r>
            <w:r w:rsidRPr="005239BD">
              <w:rPr>
                <w:rFonts w:eastAsia="Times New Roman" w:cs="Times New Roman"/>
                <w:color w:val="000000"/>
              </w:rPr>
              <w:t>C</w:t>
            </w:r>
            <w:r w:rsidRPr="005239BD">
              <w:rPr>
                <w:rFonts w:eastAsia="Times New Roman" w:cs="Times New Roman"/>
                <w:color w:val="000000"/>
                <w:lang w:val="vi-VN"/>
              </w:rPr>
              <w:t>ác khoản sau đây có thời hạn còn lại</w:t>
            </w:r>
            <w:r w:rsidRPr="005239BD">
              <w:rPr>
                <w:rFonts w:eastAsia="Times New Roman" w:cs="Times New Roman"/>
                <w:color w:val="000000"/>
              </w:rPr>
              <w:t> đến 01 (một) năm:</w:t>
            </w:r>
          </w:p>
          <w:p w14:paraId="30B81043" w14:textId="77777777" w:rsidR="00250554" w:rsidRPr="005239BD" w:rsidRDefault="00250554" w:rsidP="005239BD">
            <w:pPr>
              <w:spacing w:before="120" w:after="120"/>
              <w:ind w:right="0"/>
              <w:rPr>
                <w:rFonts w:eastAsia="Times New Roman" w:cs="Times New Roman"/>
                <w:color w:val="000000"/>
              </w:rPr>
            </w:pPr>
            <w:r w:rsidRPr="005239BD">
              <w:rPr>
                <w:rFonts w:eastAsia="Times New Roman" w:cs="Times New Roman"/>
                <w:color w:val="000000"/>
              </w:rPr>
              <w:t>(i)</w:t>
            </w:r>
            <w:r w:rsidRPr="005239BD">
              <w:rPr>
                <w:rFonts w:eastAsia="Times New Roman" w:cs="Times New Roman"/>
                <w:color w:val="000000"/>
                <w:lang w:val="vi-VN"/>
              </w:rPr>
              <w:t> Tiền gửi có kỳ hạn</w:t>
            </w:r>
            <w:r w:rsidRPr="005239BD">
              <w:rPr>
                <w:rFonts w:eastAsia="Times New Roman" w:cs="Times New Roman"/>
                <w:color w:val="000000"/>
              </w:rPr>
              <w:t>, tiền gửi tiết kiệm</w:t>
            </w:r>
            <w:r w:rsidRPr="005239BD">
              <w:rPr>
                <w:rFonts w:eastAsia="Times New Roman" w:cs="Times New Roman"/>
                <w:color w:val="000000"/>
                <w:lang w:val="vi-VN"/>
              </w:rPr>
              <w:t> của tổ chức, cá nhân;</w:t>
            </w:r>
          </w:p>
          <w:p w14:paraId="708CDF8D" w14:textId="3DDB791C" w:rsidR="00250554" w:rsidRPr="005239BD" w:rsidRDefault="00250554" w:rsidP="005239BD">
            <w:pPr>
              <w:spacing w:before="120" w:after="120"/>
              <w:ind w:right="0"/>
              <w:rPr>
                <w:rFonts w:eastAsia="Times New Roman" w:cs="Times New Roman"/>
                <w:color w:val="000000"/>
              </w:rPr>
            </w:pPr>
            <w:r w:rsidRPr="005239BD">
              <w:rPr>
                <w:rFonts w:eastAsia="Times New Roman" w:cs="Times New Roman"/>
                <w:color w:val="000000"/>
                <w:lang w:val="vi-VN"/>
              </w:rPr>
              <w:t>(ii) Khoản vay từ tổ chức tín dụng, tổ chức tài chính khác.</w:t>
            </w:r>
          </w:p>
        </w:tc>
        <w:tc>
          <w:tcPr>
            <w:tcW w:w="5386" w:type="dxa"/>
          </w:tcPr>
          <w:p w14:paraId="0259249C" w14:textId="25B856F3" w:rsidR="00250554" w:rsidRPr="005239BD" w:rsidRDefault="00250554" w:rsidP="005239BD">
            <w:pPr>
              <w:ind w:right="0"/>
              <w:rPr>
                <w:rFonts w:eastAsia="Times New Roman" w:cs="Times New Roman"/>
              </w:rPr>
            </w:pPr>
            <w:r w:rsidRPr="005239BD">
              <w:rPr>
                <w:rFonts w:eastAsia="Times New Roman"/>
                <w:b/>
                <w:bCs/>
                <w:lang w:val="pt-BR"/>
              </w:rPr>
              <w:lastRenderedPageBreak/>
              <w:t xml:space="preserve">Điều </w:t>
            </w:r>
            <w:r w:rsidR="00866A74" w:rsidRPr="005239BD">
              <w:rPr>
                <w:rFonts w:eastAsia="Times New Roman"/>
                <w:b/>
                <w:bCs/>
                <w:lang w:val="pt-BR"/>
              </w:rPr>
              <w:t>10</w:t>
            </w:r>
            <w:r w:rsidRPr="005239BD">
              <w:rPr>
                <w:rFonts w:eastAsia="Times New Roman"/>
                <w:b/>
                <w:bCs/>
                <w:lang w:val="pt-BR"/>
              </w:rPr>
              <w:t>. Tỷ lệ nguồn vốn ngắn hạn được sử dụng để cho vay trung hạn và dài hạn</w:t>
            </w:r>
          </w:p>
          <w:p w14:paraId="30DE18DD" w14:textId="2BEC7468" w:rsidR="00250554" w:rsidRPr="005239BD" w:rsidRDefault="00250554" w:rsidP="005239BD">
            <w:pPr>
              <w:spacing w:before="120" w:after="120"/>
              <w:ind w:right="0"/>
              <w:rPr>
                <w:rFonts w:eastAsia="Times New Roman" w:cs="Times New Roman"/>
              </w:rPr>
            </w:pPr>
            <w:r w:rsidRPr="005239BD">
              <w:rPr>
                <w:rFonts w:eastAsia="Times New Roman"/>
                <w:lang w:val="vi-VN"/>
              </w:rPr>
              <w:t>1. Quỹ tín dụng nhân dân phải duy trì tỷ lệ nguồn vốn ngắn hạn được sử dụng để cho vay trung hạn và dài hạn tối đa là </w:t>
            </w:r>
            <w:r w:rsidRPr="005239BD">
              <w:rPr>
                <w:rFonts w:eastAsia="Times New Roman"/>
                <w:lang w:val="pt-BR"/>
              </w:rPr>
              <w:t>30%.</w:t>
            </w:r>
          </w:p>
          <w:p w14:paraId="536CA5DC" w14:textId="293A823D" w:rsidR="00250554" w:rsidRPr="005239BD" w:rsidRDefault="00250554" w:rsidP="005239BD">
            <w:pPr>
              <w:spacing w:before="120" w:after="120"/>
              <w:ind w:right="0"/>
              <w:rPr>
                <w:rFonts w:eastAsia="Times New Roman" w:cs="Times New Roman"/>
              </w:rPr>
            </w:pPr>
            <w:r w:rsidRPr="005239BD">
              <w:rPr>
                <w:rFonts w:eastAsia="Times New Roman"/>
                <w:lang w:val="vi-VN"/>
              </w:rPr>
              <w:t>2. Tỷ lệ nguồn vốn ngắn hạn được sử dụng để cho vay trung hạn và dài hạn được xác định theo công thức sau:</w:t>
            </w:r>
          </w:p>
          <w:p w14:paraId="4208029D" w14:textId="6EAD51EC" w:rsidR="006F5DEE" w:rsidRPr="005239BD" w:rsidRDefault="006F5DEE" w:rsidP="005239BD">
            <w:pPr>
              <w:spacing w:before="120" w:after="120"/>
              <w:ind w:right="0"/>
              <w:jc w:val="center"/>
              <w:rPr>
                <w:rFonts w:eastAsia="Times New Roman" w:cs="Times New Roman"/>
              </w:rPr>
            </w:pPr>
          </w:p>
          <w:p w14:paraId="758D1097" w14:textId="24F828B9" w:rsidR="006F5DEE" w:rsidRPr="005239BD" w:rsidRDefault="006F5DEE" w:rsidP="005239BD">
            <w:pPr>
              <w:spacing w:before="120" w:after="120"/>
              <w:ind w:right="0"/>
              <w:jc w:val="center"/>
              <w:rPr>
                <w:rFonts w:eastAsia="Times New Roman" w:cs="Times New Roman"/>
              </w:rPr>
            </w:pPr>
            <m:oMathPara>
              <m:oMath>
                <m:r>
                  <m:rPr>
                    <m:sty m:val="p"/>
                  </m:rPr>
                  <w:rPr>
                    <w:rFonts w:ascii="Cambria Math" w:eastAsia="Times New Roman" w:hAnsi="Cambria Math"/>
                  </w:rPr>
                  <m:t>A (%)=</m:t>
                </m:r>
                <m:f>
                  <m:fPr>
                    <m:ctrlPr>
                      <w:rPr>
                        <w:rFonts w:ascii="Cambria Math" w:eastAsia="Times New Roman" w:hAnsi="Cambria Math" w:cs="Times New Roman"/>
                      </w:rPr>
                    </m:ctrlPr>
                  </m:fPr>
                  <m:num>
                    <m:r>
                      <m:rPr>
                        <m:sty m:val="p"/>
                      </m:rPr>
                      <w:rPr>
                        <w:rFonts w:ascii="Cambria Math" w:eastAsia="Times New Roman" w:hAnsi="Cambria Math"/>
                      </w:rPr>
                      <m:t>(B-C)</m:t>
                    </m:r>
                  </m:num>
                  <m:den>
                    <m:r>
                      <m:rPr>
                        <m:sty m:val="p"/>
                      </m:rPr>
                      <w:rPr>
                        <w:rFonts w:ascii="Cambria Math" w:eastAsia="Times New Roman" w:hAnsi="Cambria Math"/>
                      </w:rPr>
                      <m:t>D</m:t>
                    </m:r>
                  </m:den>
                </m:f>
                <m:r>
                  <m:rPr>
                    <m:sty m:val="p"/>
                  </m:rPr>
                  <w:rPr>
                    <w:rFonts w:ascii="Cambria Math" w:eastAsia="Times New Roman" w:hAnsi="Cambria Math"/>
                  </w:rPr>
                  <m:t xml:space="preserve"> ×100</m:t>
                </m:r>
              </m:oMath>
            </m:oMathPara>
          </w:p>
          <w:p w14:paraId="1BD64347" w14:textId="77777777" w:rsidR="00250554" w:rsidRPr="005239BD" w:rsidRDefault="00250554" w:rsidP="005239BD">
            <w:pPr>
              <w:spacing w:before="120" w:after="120"/>
              <w:ind w:right="0"/>
              <w:rPr>
                <w:rFonts w:eastAsia="Times New Roman" w:cs="Times New Roman"/>
              </w:rPr>
            </w:pPr>
            <w:r w:rsidRPr="005239BD">
              <w:rPr>
                <w:rFonts w:eastAsia="Times New Roman"/>
                <w:lang w:val="vi-VN"/>
              </w:rPr>
              <w:t>Trong đó:</w:t>
            </w:r>
          </w:p>
          <w:p w14:paraId="05DFBCE2" w14:textId="44A32A70" w:rsidR="00250554" w:rsidRPr="005239BD" w:rsidRDefault="00250554" w:rsidP="005239BD">
            <w:pPr>
              <w:spacing w:before="120" w:after="120"/>
              <w:ind w:right="0"/>
              <w:rPr>
                <w:rFonts w:eastAsia="Times New Roman" w:cs="Times New Roman"/>
              </w:rPr>
            </w:pPr>
            <w:r w:rsidRPr="005239BD">
              <w:rPr>
                <w:rFonts w:eastAsia="Times New Roman"/>
                <w:lang w:val="vi-VN"/>
              </w:rPr>
              <w:lastRenderedPageBreak/>
              <w:t>- A: tỷ lệ nguồn vốn ngắn hạn được sử dụng để cho vay trung hạn và dài hạn</w:t>
            </w:r>
            <w:r w:rsidRPr="005239BD">
              <w:rPr>
                <w:rFonts w:eastAsia="Times New Roman"/>
                <w:i/>
                <w:iCs/>
                <w:lang w:val="vi-VN"/>
              </w:rPr>
              <w:t>.</w:t>
            </w:r>
          </w:p>
          <w:p w14:paraId="735DE584" w14:textId="77777777" w:rsidR="00250554" w:rsidRPr="005239BD" w:rsidRDefault="00250554" w:rsidP="005239BD">
            <w:pPr>
              <w:spacing w:before="120" w:after="120"/>
              <w:ind w:right="0"/>
              <w:rPr>
                <w:rFonts w:eastAsia="Times New Roman" w:cs="Times New Roman"/>
              </w:rPr>
            </w:pPr>
            <w:r w:rsidRPr="005239BD">
              <w:rPr>
                <w:rFonts w:eastAsia="Times New Roman"/>
                <w:lang w:val="vi-VN"/>
              </w:rPr>
              <w:t>- B: tổng dư nợ cho vay trung hạn và dài hạn quy định tại khoản 3 Điều này.</w:t>
            </w:r>
          </w:p>
          <w:p w14:paraId="743AFABA" w14:textId="77777777" w:rsidR="00250554" w:rsidRPr="005239BD" w:rsidRDefault="00250554" w:rsidP="005239BD">
            <w:pPr>
              <w:spacing w:before="120" w:after="120"/>
              <w:ind w:right="0"/>
              <w:rPr>
                <w:rFonts w:eastAsia="Times New Roman" w:cs="Times New Roman"/>
              </w:rPr>
            </w:pPr>
            <w:r w:rsidRPr="005239BD">
              <w:rPr>
                <w:rFonts w:eastAsia="Times New Roman"/>
                <w:lang w:val="vi-VN"/>
              </w:rPr>
              <w:t>- C: tổng nguồn vốn trung hạn và dài hạn quy định tại khoản 4 Điều này.</w:t>
            </w:r>
          </w:p>
          <w:p w14:paraId="15B1A27D" w14:textId="77777777" w:rsidR="00250554" w:rsidRPr="005239BD" w:rsidRDefault="00250554" w:rsidP="005239BD">
            <w:pPr>
              <w:spacing w:before="120" w:after="120"/>
              <w:ind w:right="0"/>
              <w:rPr>
                <w:rFonts w:eastAsia="Times New Roman" w:cs="Times New Roman"/>
              </w:rPr>
            </w:pPr>
            <w:r w:rsidRPr="005239BD">
              <w:rPr>
                <w:rFonts w:eastAsia="Times New Roman"/>
                <w:lang w:val="vi-VN"/>
              </w:rPr>
              <w:t>- D: nguồn vốn ngắn hạn quy định tại khoản 5 Điều này.</w:t>
            </w:r>
          </w:p>
          <w:p w14:paraId="5AB3650F" w14:textId="77777777" w:rsidR="00250554" w:rsidRPr="005F55B3" w:rsidRDefault="00250554" w:rsidP="005239BD">
            <w:pPr>
              <w:spacing w:before="120" w:after="120"/>
              <w:ind w:right="0"/>
              <w:rPr>
                <w:rFonts w:eastAsia="Times New Roman" w:cs="Times New Roman"/>
                <w:lang w:val="vi-VN"/>
              </w:rPr>
            </w:pPr>
            <w:r w:rsidRPr="005239BD">
              <w:rPr>
                <w:rFonts w:eastAsia="Times New Roman"/>
                <w:lang w:val="vi-VN"/>
              </w:rPr>
              <w:t>3. Tổng dư nợ cho vay trung hạn và dài hạn bao gồm dư nợ cho vay có thời hạn còn lại trên 01 (một) năm. Tổng dư nợ cho vay trung hạn và dài hạn không bao gồm dư nợ cho vay theo ủy thác của Chính phủ, tổ chức (bao gồm cả tổ chức tín dụng, chi nhánh ngân hàng nước ngoài khác) và cá nhân.</w:t>
            </w:r>
          </w:p>
          <w:p w14:paraId="2F38CD83" w14:textId="77777777" w:rsidR="00250554" w:rsidRPr="005F55B3" w:rsidRDefault="00250554" w:rsidP="005239BD">
            <w:pPr>
              <w:spacing w:before="120" w:after="120"/>
              <w:ind w:right="0"/>
              <w:rPr>
                <w:rFonts w:eastAsia="Times New Roman" w:cs="Times New Roman"/>
                <w:lang w:val="vi-VN"/>
              </w:rPr>
            </w:pPr>
            <w:r w:rsidRPr="005239BD">
              <w:rPr>
                <w:rFonts w:eastAsia="Times New Roman"/>
                <w:lang w:val="vi-VN"/>
              </w:rPr>
              <w:t>4. Nguồn vốn trung hạn và dài hạn bao gồm:</w:t>
            </w:r>
          </w:p>
          <w:p w14:paraId="3130E4FF" w14:textId="7C9CFB19" w:rsidR="00250554" w:rsidRPr="005F55B3" w:rsidRDefault="00250554" w:rsidP="005239BD">
            <w:pPr>
              <w:ind w:right="0"/>
              <w:rPr>
                <w:rFonts w:eastAsia="Times New Roman" w:cs="Times New Roman"/>
                <w:lang w:val="vi-VN"/>
              </w:rPr>
            </w:pPr>
            <w:r w:rsidRPr="005239BD">
              <w:rPr>
                <w:rFonts w:eastAsia="Times New Roman"/>
                <w:lang w:val="vi-VN"/>
              </w:rPr>
              <w:t>a)</w:t>
            </w:r>
            <w:r w:rsidRPr="005239BD">
              <w:rPr>
                <w:rFonts w:eastAsia="Times New Roman"/>
                <w:shd w:val="clear" w:color="auto" w:fill="FFFFFF"/>
                <w:lang w:val="vi-VN"/>
              </w:rPr>
              <w:t xml:space="preserve"> Vốn điều lệ, quỹ dự trữ bổ sung vốn điều lệ, quỹ đầu tư </w:t>
            </w:r>
            <w:r w:rsidRPr="005F55B3">
              <w:rPr>
                <w:rFonts w:eastAsia="Times New Roman"/>
                <w:shd w:val="clear" w:color="auto" w:fill="FFFFFF"/>
                <w:lang w:val="vi-VN"/>
              </w:rPr>
              <w:t>phát triển</w:t>
            </w:r>
            <w:r w:rsidR="009521CC" w:rsidRPr="005F55B3">
              <w:rPr>
                <w:rFonts w:eastAsia="Times New Roman"/>
                <w:i/>
                <w:shd w:val="clear" w:color="auto" w:fill="FFFFFF"/>
                <w:lang w:val="vi-VN"/>
              </w:rPr>
              <w:t xml:space="preserve"> </w:t>
            </w:r>
            <w:r w:rsidRPr="005239BD">
              <w:rPr>
                <w:rFonts w:eastAsia="Times New Roman"/>
                <w:shd w:val="clear" w:color="auto" w:fill="FFFFFF"/>
                <w:lang w:val="vi-VN"/>
              </w:rPr>
              <w:t>và quỹ dự phòng tài chính còn lại sau khi trừ đi lỗ lũy kế (được xác định trên bảng cân đối tài khoản kế toán tại thời điểm tính tỷ lệ tối đa của nguồn vốn ngắn hạn được sử dụng để cho vay trung hạn và dài hạn), giá trị nguyên giá của các khoản mua, đầu tư tài sản cố định, góp vốn vào ngân hàng hợp tác xã theo quy định của pháp luật;</w:t>
            </w:r>
          </w:p>
          <w:p w14:paraId="3BCDCC46" w14:textId="77777777" w:rsidR="00250554" w:rsidRPr="005F55B3" w:rsidRDefault="00250554" w:rsidP="005239BD">
            <w:pPr>
              <w:spacing w:before="120" w:after="120"/>
              <w:ind w:right="0"/>
              <w:rPr>
                <w:rFonts w:eastAsia="Times New Roman" w:cs="Times New Roman"/>
                <w:lang w:val="vi-VN"/>
              </w:rPr>
            </w:pPr>
            <w:r w:rsidRPr="005239BD">
              <w:rPr>
                <w:rFonts w:eastAsia="Times New Roman"/>
                <w:lang w:val="vi-VN"/>
              </w:rPr>
              <w:t>b) Các khoản sau đây có thời hạn còn lại trên 01 (một) năm, bao gồm:</w:t>
            </w:r>
          </w:p>
          <w:p w14:paraId="612277C3" w14:textId="77777777" w:rsidR="00250554" w:rsidRPr="005F55B3" w:rsidRDefault="00250554" w:rsidP="005239BD">
            <w:pPr>
              <w:spacing w:before="120" w:after="120"/>
              <w:ind w:right="0"/>
              <w:rPr>
                <w:rFonts w:eastAsia="Times New Roman" w:cs="Times New Roman"/>
                <w:lang w:val="vi-VN"/>
              </w:rPr>
            </w:pPr>
            <w:r w:rsidRPr="005239BD">
              <w:rPr>
                <w:rFonts w:eastAsia="Times New Roman"/>
                <w:lang w:val="vi-VN"/>
              </w:rPr>
              <w:t>(i) Tiền gửi có kỳ hạn, tiền gửi tiết kiệm của tổ chức, cá nhân;</w:t>
            </w:r>
          </w:p>
          <w:p w14:paraId="025967FC" w14:textId="77777777" w:rsidR="00250554" w:rsidRPr="005F55B3" w:rsidRDefault="00250554" w:rsidP="005239BD">
            <w:pPr>
              <w:spacing w:before="120" w:after="120"/>
              <w:ind w:right="0"/>
              <w:rPr>
                <w:rFonts w:eastAsia="Times New Roman" w:cs="Times New Roman"/>
                <w:lang w:val="vi-VN"/>
              </w:rPr>
            </w:pPr>
            <w:r w:rsidRPr="005239BD">
              <w:rPr>
                <w:rFonts w:eastAsia="Times New Roman"/>
                <w:lang w:val="vi-VN"/>
              </w:rPr>
              <w:lastRenderedPageBreak/>
              <w:t>(ii) Khoản vay từ tổ chức tín dụng, tổ chức tài chính khác.</w:t>
            </w:r>
          </w:p>
          <w:p w14:paraId="3AF6D07D" w14:textId="77777777" w:rsidR="00250554" w:rsidRPr="005F55B3" w:rsidRDefault="00250554" w:rsidP="005239BD">
            <w:pPr>
              <w:spacing w:before="120" w:after="120"/>
              <w:ind w:right="0"/>
              <w:rPr>
                <w:rFonts w:eastAsia="Times New Roman" w:cs="Times New Roman"/>
                <w:lang w:val="vi-VN"/>
              </w:rPr>
            </w:pPr>
            <w:r w:rsidRPr="005239BD">
              <w:rPr>
                <w:rFonts w:eastAsia="Times New Roman"/>
                <w:lang w:val="vi-VN"/>
              </w:rPr>
              <w:t>5. Nguồn vốn ngắn hạn gồm:</w:t>
            </w:r>
          </w:p>
          <w:p w14:paraId="29A9301E" w14:textId="77777777" w:rsidR="00250554" w:rsidRPr="005239BD" w:rsidRDefault="00250554" w:rsidP="005239BD">
            <w:pPr>
              <w:spacing w:before="120" w:after="120"/>
              <w:ind w:right="0"/>
              <w:rPr>
                <w:rFonts w:eastAsia="Times New Roman" w:cs="Times New Roman"/>
              </w:rPr>
            </w:pPr>
            <w:r w:rsidRPr="005239BD">
              <w:rPr>
                <w:rFonts w:eastAsia="Times New Roman"/>
              </w:rPr>
              <w:t>a) T</w:t>
            </w:r>
            <w:r w:rsidRPr="005239BD">
              <w:rPr>
                <w:rFonts w:eastAsia="Times New Roman"/>
                <w:lang w:val="vi-VN"/>
              </w:rPr>
              <w:t>iền gửi không kỳ hạn</w:t>
            </w:r>
            <w:r w:rsidRPr="005239BD">
              <w:rPr>
                <w:rFonts w:eastAsia="Times New Roman"/>
              </w:rPr>
              <w:t>;</w:t>
            </w:r>
          </w:p>
          <w:p w14:paraId="5AA7BE2C" w14:textId="77777777" w:rsidR="00250554" w:rsidRPr="005239BD" w:rsidRDefault="00250554" w:rsidP="005239BD">
            <w:pPr>
              <w:spacing w:before="120" w:after="120"/>
              <w:ind w:right="0"/>
              <w:rPr>
                <w:rFonts w:eastAsia="Times New Roman" w:cs="Times New Roman"/>
              </w:rPr>
            </w:pPr>
            <w:r w:rsidRPr="005239BD">
              <w:rPr>
                <w:rFonts w:eastAsia="Times New Roman"/>
              </w:rPr>
              <w:t>b</w:t>
            </w:r>
            <w:r w:rsidRPr="005239BD">
              <w:rPr>
                <w:rFonts w:eastAsia="Times New Roman"/>
                <w:lang w:val="vi-VN"/>
              </w:rPr>
              <w:t>) </w:t>
            </w:r>
            <w:r w:rsidRPr="005239BD">
              <w:rPr>
                <w:rFonts w:eastAsia="Times New Roman"/>
              </w:rPr>
              <w:t>C</w:t>
            </w:r>
            <w:r w:rsidRPr="005239BD">
              <w:rPr>
                <w:rFonts w:eastAsia="Times New Roman"/>
                <w:lang w:val="vi-VN"/>
              </w:rPr>
              <w:t>ác khoản sau đây có thời hạn còn lại</w:t>
            </w:r>
            <w:r w:rsidRPr="005239BD">
              <w:rPr>
                <w:rFonts w:eastAsia="Times New Roman"/>
              </w:rPr>
              <w:t> đến 01 (một) năm:</w:t>
            </w:r>
          </w:p>
          <w:p w14:paraId="70377E90" w14:textId="77777777" w:rsidR="00250554" w:rsidRPr="005239BD" w:rsidRDefault="00250554" w:rsidP="005239BD">
            <w:pPr>
              <w:spacing w:before="120" w:after="120"/>
              <w:ind w:right="0"/>
              <w:rPr>
                <w:rFonts w:eastAsia="Times New Roman" w:cs="Times New Roman"/>
              </w:rPr>
            </w:pPr>
            <w:r w:rsidRPr="005239BD">
              <w:rPr>
                <w:rFonts w:eastAsia="Times New Roman"/>
              </w:rPr>
              <w:t>(i)</w:t>
            </w:r>
            <w:r w:rsidRPr="005239BD">
              <w:rPr>
                <w:rFonts w:eastAsia="Times New Roman"/>
                <w:lang w:val="vi-VN"/>
              </w:rPr>
              <w:t> Tiền gửi có kỳ hạn</w:t>
            </w:r>
            <w:r w:rsidRPr="005239BD">
              <w:rPr>
                <w:rFonts w:eastAsia="Times New Roman"/>
              </w:rPr>
              <w:t>, tiền gửi tiết kiệm</w:t>
            </w:r>
            <w:r w:rsidRPr="005239BD">
              <w:rPr>
                <w:rFonts w:eastAsia="Times New Roman"/>
                <w:lang w:val="vi-VN"/>
              </w:rPr>
              <w:t> của tổ chức, cá nhân;</w:t>
            </w:r>
          </w:p>
          <w:p w14:paraId="7EA3061B" w14:textId="77777777" w:rsidR="00250554" w:rsidRDefault="00250554" w:rsidP="005239BD">
            <w:pPr>
              <w:spacing w:before="120" w:after="120" w:line="234" w:lineRule="atLeast"/>
              <w:ind w:right="33"/>
              <w:rPr>
                <w:rFonts w:eastAsia="Times New Roman"/>
                <w:lang w:val="vi-VN"/>
              </w:rPr>
            </w:pPr>
            <w:r w:rsidRPr="005239BD">
              <w:rPr>
                <w:rFonts w:eastAsia="Times New Roman"/>
                <w:lang w:val="vi-VN"/>
              </w:rPr>
              <w:t>(ii) Khoản vay từ tổ chức tín dụng, tổ chức tài chính khác.</w:t>
            </w:r>
          </w:p>
          <w:p w14:paraId="6769119E" w14:textId="429FE114" w:rsidR="0006611D" w:rsidRPr="005F55B3" w:rsidRDefault="0006611D">
            <w:pPr>
              <w:spacing w:before="120" w:after="120" w:line="234" w:lineRule="atLeast"/>
              <w:ind w:right="33"/>
              <w:rPr>
                <w:rFonts w:eastAsiaTheme="majorEastAsia"/>
                <w:b/>
                <w:i/>
                <w:lang w:val="vi-VN"/>
              </w:rPr>
            </w:pPr>
            <w:r w:rsidRPr="005F55B3">
              <w:rPr>
                <w:rFonts w:eastAsia="Times New Roman"/>
                <w:i/>
                <w:lang w:val="vi-VN"/>
              </w:rPr>
              <w:t xml:space="preserve">6. Trường hợp quỹ tín dụng nhân dân có </w:t>
            </w:r>
            <w:r w:rsidRPr="005C2816">
              <w:rPr>
                <w:rFonts w:eastAsia="Times New Roman"/>
                <w:i/>
                <w:lang w:val="vi-VN"/>
              </w:rPr>
              <w:t>tổng dư nợ cho vay trung hạn và dài hạn quy định tại khoản 3 Điều này</w:t>
            </w:r>
            <w:r w:rsidRPr="005F55B3">
              <w:rPr>
                <w:rFonts w:eastAsia="Times New Roman"/>
                <w:i/>
                <w:lang w:val="vi-VN"/>
              </w:rPr>
              <w:t xml:space="preserve"> nhỏ hơn </w:t>
            </w:r>
            <w:r w:rsidRPr="005C2816">
              <w:rPr>
                <w:rFonts w:eastAsia="Times New Roman"/>
                <w:i/>
                <w:lang w:val="vi-VN"/>
              </w:rPr>
              <w:t>tổng nguồn vốn trung hạn và dài hạn quy định tại khoản 4 Điều này</w:t>
            </w:r>
            <w:r w:rsidRPr="005F55B3">
              <w:rPr>
                <w:rFonts w:eastAsia="Times New Roman"/>
                <w:i/>
                <w:lang w:val="vi-VN"/>
              </w:rPr>
              <w:t xml:space="preserve"> khi tính </w:t>
            </w:r>
            <w:r w:rsidRPr="005C2816">
              <w:rPr>
                <w:rFonts w:eastAsia="Times New Roman"/>
                <w:i/>
                <w:lang w:val="vi-VN"/>
              </w:rPr>
              <w:t>tỷ lệ nguồn vốn ngắn hạn được sử dụng để cho vay trung hạn và dài hạn</w:t>
            </w:r>
            <w:r w:rsidRPr="005F55B3">
              <w:rPr>
                <w:rFonts w:eastAsia="Times New Roman"/>
                <w:i/>
                <w:lang w:val="vi-VN"/>
              </w:rPr>
              <w:t xml:space="preserve"> thì tỷ lệ này có giá trị bằng 0.</w:t>
            </w:r>
          </w:p>
        </w:tc>
        <w:tc>
          <w:tcPr>
            <w:tcW w:w="3969" w:type="dxa"/>
          </w:tcPr>
          <w:p w14:paraId="118644C3" w14:textId="4FB9B86A" w:rsidR="009521CC" w:rsidRPr="005239BD" w:rsidRDefault="00F024EC" w:rsidP="005239BD">
            <w:pPr>
              <w:ind w:right="0"/>
              <w:rPr>
                <w:noProof/>
                <w:lang w:val="nl-NL"/>
              </w:rPr>
            </w:pPr>
            <w:r w:rsidRPr="00F024EC">
              <w:rPr>
                <w:noProof/>
                <w:lang w:val="nl-NL"/>
              </w:rPr>
              <w:lastRenderedPageBreak/>
              <w:t>Chỉnh sửa kỹ thuật cho rõ ràng, chính xác hơn.</w:t>
            </w:r>
          </w:p>
          <w:p w14:paraId="6708B585" w14:textId="77777777" w:rsidR="009521CC" w:rsidRPr="005239BD" w:rsidRDefault="009521CC" w:rsidP="005239BD">
            <w:pPr>
              <w:ind w:right="0"/>
              <w:rPr>
                <w:noProof/>
                <w:lang w:val="nl-NL"/>
              </w:rPr>
            </w:pPr>
          </w:p>
          <w:p w14:paraId="5428907F" w14:textId="77777777" w:rsidR="009521CC" w:rsidRPr="005239BD" w:rsidRDefault="009521CC" w:rsidP="005239BD">
            <w:pPr>
              <w:ind w:right="0"/>
              <w:rPr>
                <w:noProof/>
                <w:lang w:val="nl-NL"/>
              </w:rPr>
            </w:pPr>
          </w:p>
          <w:p w14:paraId="333C4888" w14:textId="77777777" w:rsidR="009521CC" w:rsidRPr="005239BD" w:rsidRDefault="009521CC" w:rsidP="005239BD">
            <w:pPr>
              <w:ind w:right="0"/>
              <w:rPr>
                <w:noProof/>
                <w:lang w:val="nl-NL"/>
              </w:rPr>
            </w:pPr>
          </w:p>
          <w:p w14:paraId="2AB74E91" w14:textId="77777777" w:rsidR="009521CC" w:rsidRPr="005239BD" w:rsidRDefault="009521CC" w:rsidP="005239BD">
            <w:pPr>
              <w:ind w:right="0"/>
              <w:rPr>
                <w:noProof/>
                <w:lang w:val="nl-NL"/>
              </w:rPr>
            </w:pPr>
          </w:p>
          <w:p w14:paraId="554DDD40" w14:textId="77777777" w:rsidR="009521CC" w:rsidRPr="005239BD" w:rsidRDefault="009521CC" w:rsidP="005239BD">
            <w:pPr>
              <w:ind w:right="0"/>
              <w:rPr>
                <w:noProof/>
                <w:lang w:val="nl-NL"/>
              </w:rPr>
            </w:pPr>
          </w:p>
          <w:p w14:paraId="272DD284" w14:textId="77777777" w:rsidR="009521CC" w:rsidRPr="005239BD" w:rsidRDefault="009521CC" w:rsidP="005239BD">
            <w:pPr>
              <w:ind w:right="0"/>
              <w:rPr>
                <w:noProof/>
                <w:lang w:val="nl-NL"/>
              </w:rPr>
            </w:pPr>
          </w:p>
          <w:p w14:paraId="23F1EBDE" w14:textId="77777777" w:rsidR="009521CC" w:rsidRPr="005239BD" w:rsidRDefault="009521CC" w:rsidP="005239BD">
            <w:pPr>
              <w:ind w:right="0"/>
              <w:rPr>
                <w:noProof/>
                <w:lang w:val="nl-NL"/>
              </w:rPr>
            </w:pPr>
          </w:p>
          <w:p w14:paraId="12F27C4B" w14:textId="77777777" w:rsidR="009521CC" w:rsidRPr="005239BD" w:rsidRDefault="009521CC" w:rsidP="005239BD">
            <w:pPr>
              <w:ind w:right="0"/>
              <w:rPr>
                <w:noProof/>
                <w:lang w:val="nl-NL"/>
              </w:rPr>
            </w:pPr>
          </w:p>
          <w:p w14:paraId="7B96F826" w14:textId="77777777" w:rsidR="009521CC" w:rsidRPr="005239BD" w:rsidRDefault="009521CC" w:rsidP="005239BD">
            <w:pPr>
              <w:ind w:right="0"/>
              <w:rPr>
                <w:noProof/>
                <w:lang w:val="nl-NL"/>
              </w:rPr>
            </w:pPr>
          </w:p>
          <w:p w14:paraId="69BABEC4" w14:textId="77777777" w:rsidR="009521CC" w:rsidRPr="005239BD" w:rsidRDefault="009521CC" w:rsidP="005239BD">
            <w:pPr>
              <w:ind w:right="0"/>
              <w:rPr>
                <w:noProof/>
                <w:lang w:val="nl-NL"/>
              </w:rPr>
            </w:pPr>
          </w:p>
          <w:p w14:paraId="3C3553DF" w14:textId="77777777" w:rsidR="009521CC" w:rsidRPr="005239BD" w:rsidRDefault="009521CC" w:rsidP="005239BD">
            <w:pPr>
              <w:ind w:right="0"/>
              <w:rPr>
                <w:noProof/>
                <w:lang w:val="nl-NL"/>
              </w:rPr>
            </w:pPr>
          </w:p>
          <w:p w14:paraId="64DF76B7" w14:textId="77777777" w:rsidR="009521CC" w:rsidRPr="005239BD" w:rsidRDefault="009521CC" w:rsidP="005239BD">
            <w:pPr>
              <w:ind w:right="0"/>
              <w:rPr>
                <w:noProof/>
                <w:lang w:val="nl-NL"/>
              </w:rPr>
            </w:pPr>
          </w:p>
          <w:p w14:paraId="6BDA291D" w14:textId="77777777" w:rsidR="009521CC" w:rsidRPr="005239BD" w:rsidRDefault="009521CC" w:rsidP="005239BD">
            <w:pPr>
              <w:ind w:right="0"/>
              <w:rPr>
                <w:noProof/>
                <w:lang w:val="nl-NL"/>
              </w:rPr>
            </w:pPr>
          </w:p>
          <w:p w14:paraId="2B682730" w14:textId="77777777" w:rsidR="009521CC" w:rsidRPr="005239BD" w:rsidRDefault="009521CC" w:rsidP="005239BD">
            <w:pPr>
              <w:ind w:right="0"/>
              <w:rPr>
                <w:noProof/>
                <w:lang w:val="nl-NL"/>
              </w:rPr>
            </w:pPr>
          </w:p>
          <w:p w14:paraId="55B41468" w14:textId="77777777" w:rsidR="009521CC" w:rsidRPr="005239BD" w:rsidRDefault="009521CC" w:rsidP="005239BD">
            <w:pPr>
              <w:ind w:right="0"/>
              <w:rPr>
                <w:noProof/>
                <w:lang w:val="nl-NL"/>
              </w:rPr>
            </w:pPr>
          </w:p>
          <w:p w14:paraId="787FCDEB" w14:textId="77777777" w:rsidR="009521CC" w:rsidRPr="005239BD" w:rsidRDefault="009521CC" w:rsidP="005239BD">
            <w:pPr>
              <w:ind w:right="0"/>
              <w:rPr>
                <w:noProof/>
                <w:lang w:val="nl-NL"/>
              </w:rPr>
            </w:pPr>
          </w:p>
          <w:p w14:paraId="5A0B9F0A" w14:textId="77777777" w:rsidR="009521CC" w:rsidRPr="005239BD" w:rsidRDefault="009521CC" w:rsidP="005239BD">
            <w:pPr>
              <w:ind w:right="0"/>
              <w:rPr>
                <w:noProof/>
                <w:lang w:val="nl-NL"/>
              </w:rPr>
            </w:pPr>
          </w:p>
          <w:p w14:paraId="0AE1276A" w14:textId="77777777" w:rsidR="009521CC" w:rsidRPr="005239BD" w:rsidRDefault="009521CC" w:rsidP="005239BD">
            <w:pPr>
              <w:ind w:right="0"/>
              <w:rPr>
                <w:noProof/>
                <w:lang w:val="nl-NL"/>
              </w:rPr>
            </w:pPr>
          </w:p>
          <w:p w14:paraId="7AB1CCBE" w14:textId="77777777" w:rsidR="009521CC" w:rsidRPr="005239BD" w:rsidRDefault="009521CC" w:rsidP="005239BD">
            <w:pPr>
              <w:ind w:right="0"/>
              <w:rPr>
                <w:noProof/>
                <w:lang w:val="nl-NL"/>
              </w:rPr>
            </w:pPr>
          </w:p>
          <w:p w14:paraId="1208A0EB" w14:textId="77777777" w:rsidR="009521CC" w:rsidRPr="005239BD" w:rsidRDefault="009521CC" w:rsidP="005239BD">
            <w:pPr>
              <w:ind w:right="0"/>
              <w:rPr>
                <w:noProof/>
                <w:lang w:val="nl-NL"/>
              </w:rPr>
            </w:pPr>
          </w:p>
          <w:p w14:paraId="70120FA4" w14:textId="77777777" w:rsidR="009521CC" w:rsidRPr="005239BD" w:rsidRDefault="009521CC" w:rsidP="005239BD">
            <w:pPr>
              <w:ind w:right="0"/>
              <w:rPr>
                <w:noProof/>
                <w:lang w:val="nl-NL"/>
              </w:rPr>
            </w:pPr>
          </w:p>
          <w:p w14:paraId="7FEEF039" w14:textId="77777777" w:rsidR="009521CC" w:rsidRPr="005239BD" w:rsidRDefault="009521CC" w:rsidP="005239BD">
            <w:pPr>
              <w:ind w:right="0"/>
              <w:rPr>
                <w:noProof/>
                <w:lang w:val="nl-NL"/>
              </w:rPr>
            </w:pPr>
          </w:p>
          <w:p w14:paraId="0C82BF69" w14:textId="77777777" w:rsidR="009521CC" w:rsidRPr="005239BD" w:rsidRDefault="009521CC" w:rsidP="005239BD">
            <w:pPr>
              <w:ind w:right="0"/>
              <w:rPr>
                <w:noProof/>
                <w:lang w:val="nl-NL"/>
              </w:rPr>
            </w:pPr>
          </w:p>
          <w:p w14:paraId="0EF5C6A3" w14:textId="77777777" w:rsidR="009521CC" w:rsidRPr="005239BD" w:rsidRDefault="009521CC" w:rsidP="005239BD">
            <w:pPr>
              <w:ind w:right="0"/>
              <w:rPr>
                <w:noProof/>
                <w:lang w:val="nl-NL"/>
              </w:rPr>
            </w:pPr>
          </w:p>
          <w:p w14:paraId="05D20421" w14:textId="77777777" w:rsidR="009521CC" w:rsidRPr="005239BD" w:rsidRDefault="009521CC" w:rsidP="005239BD">
            <w:pPr>
              <w:ind w:right="0"/>
              <w:rPr>
                <w:noProof/>
                <w:lang w:val="nl-NL"/>
              </w:rPr>
            </w:pPr>
          </w:p>
          <w:p w14:paraId="64F52035" w14:textId="77777777" w:rsidR="009521CC" w:rsidRPr="005239BD" w:rsidRDefault="009521CC" w:rsidP="005239BD">
            <w:pPr>
              <w:ind w:right="0"/>
              <w:rPr>
                <w:noProof/>
                <w:lang w:val="nl-NL"/>
              </w:rPr>
            </w:pPr>
          </w:p>
          <w:p w14:paraId="2AE17044" w14:textId="77777777" w:rsidR="009521CC" w:rsidRPr="005239BD" w:rsidRDefault="009521CC" w:rsidP="005239BD">
            <w:pPr>
              <w:ind w:right="0"/>
              <w:rPr>
                <w:noProof/>
                <w:lang w:val="nl-NL"/>
              </w:rPr>
            </w:pPr>
          </w:p>
          <w:p w14:paraId="259CA078" w14:textId="77777777" w:rsidR="009521CC" w:rsidRPr="005239BD" w:rsidRDefault="009521CC" w:rsidP="005239BD">
            <w:pPr>
              <w:ind w:right="0"/>
              <w:rPr>
                <w:noProof/>
                <w:lang w:val="nl-NL"/>
              </w:rPr>
            </w:pPr>
          </w:p>
          <w:p w14:paraId="04C4E52D" w14:textId="77777777" w:rsidR="009521CC" w:rsidRPr="005239BD" w:rsidRDefault="009521CC" w:rsidP="005239BD">
            <w:pPr>
              <w:ind w:right="0"/>
              <w:rPr>
                <w:noProof/>
                <w:lang w:val="nl-NL"/>
              </w:rPr>
            </w:pPr>
          </w:p>
          <w:p w14:paraId="1098B110" w14:textId="77777777" w:rsidR="009521CC" w:rsidRPr="005239BD" w:rsidRDefault="009521CC" w:rsidP="005239BD">
            <w:pPr>
              <w:ind w:right="0"/>
              <w:rPr>
                <w:noProof/>
                <w:lang w:val="nl-NL"/>
              </w:rPr>
            </w:pPr>
          </w:p>
          <w:p w14:paraId="4CCD71C0" w14:textId="77777777" w:rsidR="009521CC" w:rsidRPr="005239BD" w:rsidRDefault="009521CC" w:rsidP="005239BD">
            <w:pPr>
              <w:ind w:right="0"/>
              <w:rPr>
                <w:noProof/>
                <w:lang w:val="nl-NL"/>
              </w:rPr>
            </w:pPr>
          </w:p>
          <w:p w14:paraId="606F0516" w14:textId="533DCEC2" w:rsidR="005C2816" w:rsidRDefault="005C2816" w:rsidP="005239BD">
            <w:pPr>
              <w:ind w:right="0"/>
              <w:rPr>
                <w:noProof/>
                <w:lang w:val="nl-NL"/>
              </w:rPr>
            </w:pPr>
          </w:p>
          <w:p w14:paraId="1E2303A5" w14:textId="77777777" w:rsidR="005C2816" w:rsidRDefault="005C2816" w:rsidP="005239BD">
            <w:pPr>
              <w:ind w:right="0"/>
              <w:rPr>
                <w:noProof/>
                <w:lang w:val="nl-NL"/>
              </w:rPr>
            </w:pPr>
          </w:p>
          <w:p w14:paraId="404FA4F0" w14:textId="77777777" w:rsidR="005C2816" w:rsidRDefault="005C2816" w:rsidP="005239BD">
            <w:pPr>
              <w:ind w:right="0"/>
              <w:rPr>
                <w:noProof/>
                <w:lang w:val="nl-NL"/>
              </w:rPr>
            </w:pPr>
          </w:p>
          <w:p w14:paraId="4A77566A" w14:textId="77777777" w:rsidR="005C2816" w:rsidRDefault="005C2816" w:rsidP="005239BD">
            <w:pPr>
              <w:ind w:right="0"/>
              <w:rPr>
                <w:noProof/>
                <w:lang w:val="nl-NL"/>
              </w:rPr>
            </w:pPr>
          </w:p>
          <w:p w14:paraId="5F3B086F" w14:textId="77777777" w:rsidR="005C2816" w:rsidRDefault="005C2816" w:rsidP="005239BD">
            <w:pPr>
              <w:ind w:right="0"/>
              <w:rPr>
                <w:noProof/>
                <w:lang w:val="nl-NL"/>
              </w:rPr>
            </w:pPr>
          </w:p>
          <w:p w14:paraId="76BF61B0" w14:textId="77777777" w:rsidR="005C2816" w:rsidRDefault="005C2816" w:rsidP="005239BD">
            <w:pPr>
              <w:ind w:right="0"/>
              <w:rPr>
                <w:noProof/>
                <w:lang w:val="nl-NL"/>
              </w:rPr>
            </w:pPr>
          </w:p>
          <w:p w14:paraId="27139533" w14:textId="77777777" w:rsidR="005C2816" w:rsidRDefault="005C2816" w:rsidP="005239BD">
            <w:pPr>
              <w:ind w:right="0"/>
              <w:rPr>
                <w:noProof/>
                <w:lang w:val="nl-NL"/>
              </w:rPr>
            </w:pPr>
          </w:p>
          <w:p w14:paraId="354F8D89" w14:textId="77777777" w:rsidR="005C2816" w:rsidRDefault="005C2816" w:rsidP="005239BD">
            <w:pPr>
              <w:ind w:right="0"/>
              <w:rPr>
                <w:noProof/>
                <w:lang w:val="nl-NL"/>
              </w:rPr>
            </w:pPr>
          </w:p>
          <w:p w14:paraId="47F5899A" w14:textId="77777777" w:rsidR="005C2816" w:rsidRDefault="005C2816" w:rsidP="005239BD">
            <w:pPr>
              <w:ind w:right="0"/>
              <w:rPr>
                <w:noProof/>
                <w:lang w:val="nl-NL"/>
              </w:rPr>
            </w:pPr>
          </w:p>
          <w:p w14:paraId="31ACA1B4" w14:textId="77777777" w:rsidR="005C2816" w:rsidRDefault="005C2816" w:rsidP="005239BD">
            <w:pPr>
              <w:ind w:right="0"/>
              <w:rPr>
                <w:noProof/>
                <w:lang w:val="nl-NL"/>
              </w:rPr>
            </w:pPr>
          </w:p>
          <w:p w14:paraId="46C4382D" w14:textId="77777777" w:rsidR="005C2816" w:rsidRDefault="005C2816" w:rsidP="005239BD">
            <w:pPr>
              <w:ind w:right="0"/>
              <w:rPr>
                <w:noProof/>
                <w:lang w:val="nl-NL"/>
              </w:rPr>
            </w:pPr>
          </w:p>
          <w:p w14:paraId="70AC029E" w14:textId="77777777" w:rsidR="005C2816" w:rsidRDefault="005C2816" w:rsidP="005239BD">
            <w:pPr>
              <w:ind w:right="0"/>
              <w:rPr>
                <w:noProof/>
                <w:lang w:val="nl-NL"/>
              </w:rPr>
            </w:pPr>
          </w:p>
          <w:p w14:paraId="11ED534C" w14:textId="77777777" w:rsidR="005C2816" w:rsidRDefault="005C2816" w:rsidP="005239BD">
            <w:pPr>
              <w:ind w:right="0"/>
              <w:rPr>
                <w:noProof/>
                <w:lang w:val="nl-NL"/>
              </w:rPr>
            </w:pPr>
          </w:p>
          <w:p w14:paraId="58A153AA" w14:textId="77777777" w:rsidR="005C2816" w:rsidRDefault="005C2816" w:rsidP="005239BD">
            <w:pPr>
              <w:ind w:right="0"/>
              <w:rPr>
                <w:noProof/>
                <w:lang w:val="nl-NL"/>
              </w:rPr>
            </w:pPr>
          </w:p>
          <w:p w14:paraId="40137E6B" w14:textId="77777777" w:rsidR="005C2816" w:rsidRDefault="005C2816" w:rsidP="005239BD">
            <w:pPr>
              <w:ind w:right="0"/>
              <w:rPr>
                <w:noProof/>
                <w:lang w:val="nl-NL"/>
              </w:rPr>
            </w:pPr>
          </w:p>
          <w:p w14:paraId="46E5AAA8" w14:textId="77777777" w:rsidR="005C2816" w:rsidRDefault="005C2816" w:rsidP="005239BD">
            <w:pPr>
              <w:ind w:right="0"/>
              <w:rPr>
                <w:noProof/>
                <w:lang w:val="nl-NL"/>
              </w:rPr>
            </w:pPr>
          </w:p>
          <w:p w14:paraId="73D0DC6C" w14:textId="77777777" w:rsidR="005C2816" w:rsidRDefault="005C2816" w:rsidP="005239BD">
            <w:pPr>
              <w:ind w:right="0"/>
              <w:rPr>
                <w:noProof/>
                <w:lang w:val="nl-NL"/>
              </w:rPr>
            </w:pPr>
          </w:p>
          <w:p w14:paraId="2EA522EE" w14:textId="77777777" w:rsidR="005C2816" w:rsidRDefault="005C2816" w:rsidP="005239BD">
            <w:pPr>
              <w:ind w:right="0"/>
              <w:rPr>
                <w:noProof/>
                <w:lang w:val="nl-NL"/>
              </w:rPr>
            </w:pPr>
          </w:p>
          <w:p w14:paraId="1039DC81" w14:textId="77777777" w:rsidR="005C2816" w:rsidRDefault="005C2816" w:rsidP="005239BD">
            <w:pPr>
              <w:ind w:right="0"/>
              <w:rPr>
                <w:noProof/>
                <w:lang w:val="nl-NL"/>
              </w:rPr>
            </w:pPr>
          </w:p>
          <w:p w14:paraId="16CD04C0" w14:textId="77777777" w:rsidR="005C2816" w:rsidRDefault="005C2816" w:rsidP="005239BD">
            <w:pPr>
              <w:ind w:right="0"/>
              <w:rPr>
                <w:noProof/>
                <w:lang w:val="nl-NL"/>
              </w:rPr>
            </w:pPr>
          </w:p>
          <w:p w14:paraId="523C02F4" w14:textId="77777777" w:rsidR="005C2816" w:rsidRDefault="005C2816" w:rsidP="005239BD">
            <w:pPr>
              <w:ind w:right="0"/>
              <w:rPr>
                <w:noProof/>
                <w:lang w:val="nl-NL"/>
              </w:rPr>
            </w:pPr>
          </w:p>
          <w:p w14:paraId="634A363C" w14:textId="77777777" w:rsidR="005C2816" w:rsidRDefault="005C2816" w:rsidP="005239BD">
            <w:pPr>
              <w:ind w:right="0"/>
              <w:rPr>
                <w:noProof/>
                <w:lang w:val="nl-NL"/>
              </w:rPr>
            </w:pPr>
          </w:p>
          <w:p w14:paraId="310F95B5" w14:textId="77777777" w:rsidR="005C2816" w:rsidRDefault="005C2816" w:rsidP="005239BD">
            <w:pPr>
              <w:ind w:right="0"/>
              <w:rPr>
                <w:noProof/>
                <w:lang w:val="nl-NL"/>
              </w:rPr>
            </w:pPr>
          </w:p>
          <w:p w14:paraId="3DEF0889" w14:textId="77777777" w:rsidR="005C2816" w:rsidRDefault="005C2816" w:rsidP="005239BD">
            <w:pPr>
              <w:ind w:right="0"/>
              <w:rPr>
                <w:noProof/>
                <w:lang w:val="nl-NL"/>
              </w:rPr>
            </w:pPr>
          </w:p>
          <w:p w14:paraId="16274A10" w14:textId="77777777" w:rsidR="005C2816" w:rsidRDefault="005C2816" w:rsidP="005239BD">
            <w:pPr>
              <w:ind w:right="0"/>
              <w:rPr>
                <w:noProof/>
                <w:lang w:val="nl-NL"/>
              </w:rPr>
            </w:pPr>
          </w:p>
          <w:p w14:paraId="7C50F690" w14:textId="77777777" w:rsidR="005C2816" w:rsidRDefault="005C2816" w:rsidP="005239BD">
            <w:pPr>
              <w:ind w:right="0"/>
              <w:rPr>
                <w:noProof/>
                <w:lang w:val="nl-NL"/>
              </w:rPr>
            </w:pPr>
          </w:p>
          <w:p w14:paraId="44D5BBBB" w14:textId="33F1A8A9" w:rsidR="005C2816" w:rsidRPr="005239BD" w:rsidRDefault="00FF4246" w:rsidP="00C371EE">
            <w:pPr>
              <w:ind w:right="0"/>
              <w:rPr>
                <w:noProof/>
                <w:lang w:val="nl-NL"/>
              </w:rPr>
            </w:pPr>
            <w:r>
              <w:rPr>
                <w:noProof/>
                <w:lang w:val="nl-NL"/>
              </w:rPr>
              <w:t xml:space="preserve">- Khoản 6: </w:t>
            </w:r>
            <w:r w:rsidR="005C2816">
              <w:rPr>
                <w:noProof/>
                <w:lang w:val="nl-NL"/>
              </w:rPr>
              <w:t>Bổ sung trường hợp giá trị tử số</w:t>
            </w:r>
            <w:r w:rsidR="00C371EE">
              <w:rPr>
                <w:noProof/>
                <w:lang w:val="nl-NL"/>
              </w:rPr>
              <w:t xml:space="preserve"> âm khi tính tỷ lệ này.</w:t>
            </w:r>
          </w:p>
        </w:tc>
      </w:tr>
      <w:tr w:rsidR="00250554" w:rsidRPr="00AC5DD8" w14:paraId="5AEF41A6" w14:textId="77777777" w:rsidTr="001C0CAB">
        <w:tc>
          <w:tcPr>
            <w:tcW w:w="680" w:type="dxa"/>
            <w:vAlign w:val="center"/>
          </w:tcPr>
          <w:p w14:paraId="65B476D5" w14:textId="0531DA26" w:rsidR="00250554" w:rsidRPr="005239BD" w:rsidRDefault="00250554">
            <w:pPr>
              <w:spacing w:before="120" w:after="120"/>
              <w:ind w:right="0"/>
              <w:jc w:val="center"/>
              <w:rPr>
                <w:b/>
                <w:iCs/>
                <w:noProof/>
              </w:rPr>
            </w:pPr>
            <w:r w:rsidRPr="005239BD">
              <w:rPr>
                <w:b/>
                <w:iCs/>
                <w:noProof/>
              </w:rPr>
              <w:lastRenderedPageBreak/>
              <w:t>1</w:t>
            </w:r>
            <w:r w:rsidR="00622FAA">
              <w:rPr>
                <w:b/>
                <w:iCs/>
                <w:noProof/>
              </w:rPr>
              <w:t>1</w:t>
            </w:r>
          </w:p>
        </w:tc>
        <w:tc>
          <w:tcPr>
            <w:tcW w:w="5416" w:type="dxa"/>
          </w:tcPr>
          <w:p w14:paraId="70F7597C" w14:textId="3FF75C14" w:rsidR="00250554" w:rsidRPr="005239BD" w:rsidRDefault="00250554" w:rsidP="005239BD">
            <w:pPr>
              <w:ind w:right="0"/>
              <w:rPr>
                <w:rFonts w:eastAsia="Times New Roman" w:cs="Times New Roman"/>
                <w:color w:val="000000"/>
              </w:rPr>
            </w:pPr>
            <w:bookmarkStart w:id="7" w:name="dieu_7_1"/>
            <w:r w:rsidRPr="005239BD">
              <w:rPr>
                <w:rFonts w:eastAsia="Times New Roman" w:cs="Times New Roman"/>
                <w:b/>
                <w:bCs/>
                <w:color w:val="000000"/>
                <w:lang w:val="nl-NL"/>
              </w:rPr>
              <w:t>Điều 7a: Tỷ lệ tổng mức nhận tiền gửi so với vốn chủ sở hữu</w:t>
            </w:r>
            <w:bookmarkEnd w:id="7"/>
          </w:p>
          <w:p w14:paraId="5C30F09E" w14:textId="77777777" w:rsidR="00250554" w:rsidRPr="005239BD" w:rsidRDefault="00250554" w:rsidP="005239BD">
            <w:pPr>
              <w:spacing w:before="120" w:after="120"/>
              <w:ind w:right="0"/>
              <w:rPr>
                <w:rFonts w:eastAsia="Times New Roman" w:cs="Times New Roman"/>
                <w:color w:val="000000"/>
              </w:rPr>
            </w:pPr>
            <w:r w:rsidRPr="005239BD">
              <w:rPr>
                <w:rFonts w:eastAsia="Times New Roman" w:cs="Times New Roman"/>
                <w:color w:val="000000"/>
                <w:lang w:val="nl-NL"/>
              </w:rPr>
              <w:t xml:space="preserve">1. Quỹ tín dụng nhân dân phải </w:t>
            </w:r>
            <w:r w:rsidRPr="005239BD">
              <w:rPr>
                <w:rFonts w:eastAsia="Times New Roman" w:cs="Times New Roman"/>
                <w:color w:val="000000"/>
                <w:u w:val="single"/>
                <w:lang w:val="nl-NL"/>
              </w:rPr>
              <w:t>thường xuyên</w:t>
            </w:r>
            <w:r w:rsidRPr="005239BD">
              <w:rPr>
                <w:rFonts w:eastAsia="Times New Roman" w:cs="Times New Roman"/>
                <w:color w:val="000000"/>
                <w:lang w:val="nl-NL"/>
              </w:rPr>
              <w:t xml:space="preserve"> duy trì tỷ lệ tổng mức nhận tiền gửi so với vốn chủ sở hữu không được vượt quá 20 lần.</w:t>
            </w:r>
          </w:p>
          <w:p w14:paraId="5C8BBFED" w14:textId="77777777" w:rsidR="00250554" w:rsidRPr="005239BD" w:rsidRDefault="00250554" w:rsidP="005239BD">
            <w:pPr>
              <w:spacing w:before="120" w:after="120"/>
              <w:ind w:right="0"/>
              <w:rPr>
                <w:rFonts w:eastAsia="Times New Roman" w:cs="Times New Roman"/>
                <w:color w:val="000000"/>
              </w:rPr>
            </w:pPr>
            <w:r w:rsidRPr="005239BD">
              <w:rPr>
                <w:rFonts w:eastAsia="Times New Roman" w:cs="Times New Roman"/>
                <w:color w:val="000000"/>
                <w:lang w:val="nl-NL"/>
              </w:rPr>
              <w:t>2. Tỷ lệ tổng mức nhận tiền gửi so với vốn chủ sở hữu được xác định theo công thức sau:</w:t>
            </w:r>
          </w:p>
          <w:p w14:paraId="784EE1D4" w14:textId="30A78F45" w:rsidR="00250554" w:rsidRPr="005239BD" w:rsidRDefault="00250554" w:rsidP="005239BD">
            <w:pPr>
              <w:spacing w:before="120" w:after="120"/>
              <w:ind w:right="0"/>
              <w:jc w:val="center"/>
              <w:rPr>
                <w:rFonts w:eastAsia="Times New Roman" w:cs="Times New Roman"/>
                <w:color w:val="000000"/>
              </w:rPr>
            </w:pPr>
            <w:r w:rsidRPr="005239BD">
              <w:rPr>
                <w:rFonts w:eastAsia="Times New Roman"/>
                <w:noProof/>
                <w:color w:val="000000"/>
              </w:rPr>
              <w:drawing>
                <wp:inline distT="0" distB="0" distL="0" distR="0" wp14:anchorId="271B3814" wp14:editId="5A431681">
                  <wp:extent cx="762000" cy="466725"/>
                  <wp:effectExtent l="0" t="0" r="0" b="9525"/>
                  <wp:docPr id="7" name="Picture 7" descr="https://files.thuvienphapluat.vn/doc2htm/00619835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iles.thuvienphapluat.vn/doc2htm/00619835_files/image00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466725"/>
                          </a:xfrm>
                          <a:prstGeom prst="rect">
                            <a:avLst/>
                          </a:prstGeom>
                          <a:noFill/>
                          <a:ln>
                            <a:noFill/>
                          </a:ln>
                        </pic:spPr>
                      </pic:pic>
                    </a:graphicData>
                  </a:graphic>
                </wp:inline>
              </w:drawing>
            </w:r>
          </w:p>
          <w:p w14:paraId="053A7017" w14:textId="77777777" w:rsidR="00250554" w:rsidRPr="005239BD" w:rsidRDefault="00250554" w:rsidP="005239BD">
            <w:pPr>
              <w:spacing w:before="120" w:after="120"/>
              <w:ind w:right="0"/>
              <w:rPr>
                <w:rFonts w:eastAsia="Times New Roman" w:cs="Times New Roman"/>
                <w:color w:val="000000"/>
              </w:rPr>
            </w:pPr>
            <w:r w:rsidRPr="005239BD">
              <w:rPr>
                <w:rFonts w:eastAsia="Times New Roman" w:cs="Times New Roman"/>
                <w:color w:val="000000"/>
                <w:lang w:val="nl-NL"/>
              </w:rPr>
              <w:t>Trong đó:</w:t>
            </w:r>
          </w:p>
          <w:p w14:paraId="2DEACF64" w14:textId="77777777" w:rsidR="00250554" w:rsidRPr="005239BD" w:rsidRDefault="00250554" w:rsidP="005239BD">
            <w:pPr>
              <w:spacing w:before="120" w:after="120"/>
              <w:ind w:right="0"/>
              <w:rPr>
                <w:rFonts w:eastAsia="Times New Roman" w:cs="Times New Roman"/>
                <w:color w:val="000000"/>
              </w:rPr>
            </w:pPr>
            <w:r w:rsidRPr="005239BD">
              <w:rPr>
                <w:rFonts w:eastAsia="Times New Roman" w:cs="Times New Roman"/>
                <w:color w:val="000000"/>
                <w:lang w:val="nl-NL"/>
              </w:rPr>
              <w:lastRenderedPageBreak/>
              <w:t>- A: tỷ lệ tổng mức nhận tiền gửi so với vốn chủ sở hữu.</w:t>
            </w:r>
          </w:p>
          <w:p w14:paraId="2422E92D" w14:textId="77777777" w:rsidR="00250554" w:rsidRPr="005239BD" w:rsidRDefault="00250554" w:rsidP="005239BD">
            <w:pPr>
              <w:spacing w:before="120" w:after="120"/>
              <w:ind w:right="0"/>
              <w:rPr>
                <w:rFonts w:eastAsia="Times New Roman" w:cs="Times New Roman"/>
                <w:color w:val="000000"/>
              </w:rPr>
            </w:pPr>
            <w:r w:rsidRPr="005239BD">
              <w:rPr>
                <w:rFonts w:eastAsia="Times New Roman" w:cs="Times New Roman"/>
                <w:color w:val="000000"/>
                <w:lang w:val="nl-NL"/>
              </w:rPr>
              <w:t>- B: tổng mức nhận tiền gửi quy định tại khoản 3 Điều này.</w:t>
            </w:r>
          </w:p>
          <w:p w14:paraId="6A581F83" w14:textId="77777777" w:rsidR="00250554" w:rsidRPr="005239BD" w:rsidRDefault="00250554" w:rsidP="005239BD">
            <w:pPr>
              <w:spacing w:before="120" w:after="120"/>
              <w:ind w:right="0"/>
              <w:rPr>
                <w:rFonts w:eastAsia="Times New Roman" w:cs="Times New Roman"/>
                <w:color w:val="000000"/>
              </w:rPr>
            </w:pPr>
            <w:r w:rsidRPr="005239BD">
              <w:rPr>
                <w:rFonts w:eastAsia="Times New Roman" w:cs="Times New Roman"/>
                <w:color w:val="000000"/>
                <w:lang w:val="nl-NL"/>
              </w:rPr>
              <w:t>- C: vốn chủ sở hữu quy định tại khoản 4 Điều này.</w:t>
            </w:r>
          </w:p>
          <w:p w14:paraId="51BDDF52" w14:textId="77777777" w:rsidR="00250554" w:rsidRPr="005239BD" w:rsidRDefault="00250554" w:rsidP="005239BD">
            <w:pPr>
              <w:spacing w:before="120" w:after="120"/>
              <w:ind w:right="0"/>
              <w:rPr>
                <w:rFonts w:eastAsia="Times New Roman" w:cs="Times New Roman"/>
                <w:color w:val="000000"/>
              </w:rPr>
            </w:pPr>
            <w:r w:rsidRPr="005239BD">
              <w:rPr>
                <w:rFonts w:eastAsia="Times New Roman" w:cs="Times New Roman"/>
                <w:color w:val="000000"/>
                <w:lang w:val="nl-NL"/>
              </w:rPr>
              <w:t>3. Tổng mức nhận tiền gửi bao gồm: tiền gửi không kỳ hạn, có kỳ hạn, tiền gửi tiết kiệm của thành viên, tổ chức, cá nhân khác bằng đồng Việt Nam.</w:t>
            </w:r>
          </w:p>
          <w:p w14:paraId="3999253E" w14:textId="77777777" w:rsidR="00250554" w:rsidRPr="005239BD" w:rsidRDefault="00250554" w:rsidP="005239BD">
            <w:pPr>
              <w:spacing w:before="120" w:after="120"/>
              <w:ind w:right="0"/>
              <w:rPr>
                <w:rFonts w:eastAsia="Times New Roman" w:cs="Times New Roman"/>
                <w:color w:val="000000"/>
                <w:lang w:val="nl-NL"/>
              </w:rPr>
            </w:pPr>
            <w:r w:rsidRPr="005239BD">
              <w:rPr>
                <w:rFonts w:eastAsia="Times New Roman" w:cs="Times New Roman"/>
                <w:color w:val="000000"/>
                <w:lang w:val="nl-NL"/>
              </w:rPr>
              <w:t>4. Vốn chủ sở hữu được ghi nhận </w:t>
            </w:r>
            <w:r w:rsidRPr="005239BD">
              <w:rPr>
                <w:rFonts w:eastAsia="Times New Roman" w:cs="Times New Roman"/>
                <w:color w:val="000000"/>
                <w:lang w:val="vi-VN"/>
              </w:rPr>
              <w:t>theo chế độ tài chính đối với Quỹ tín dụng nhân dân</w:t>
            </w:r>
            <w:r w:rsidRPr="005239BD">
              <w:rPr>
                <w:rFonts w:eastAsia="Times New Roman" w:cs="Times New Roman"/>
                <w:color w:val="000000"/>
                <w:lang w:val="nl-NL"/>
              </w:rPr>
              <w:t>.</w:t>
            </w:r>
          </w:p>
          <w:p w14:paraId="573FBD11" w14:textId="71E985B2" w:rsidR="00250554" w:rsidRPr="005239BD" w:rsidRDefault="00250554" w:rsidP="005239BD">
            <w:pPr>
              <w:spacing w:before="120" w:after="120"/>
              <w:ind w:right="0"/>
              <w:rPr>
                <w:b/>
                <w:lang w:val="nb-NO"/>
              </w:rPr>
            </w:pPr>
          </w:p>
        </w:tc>
        <w:tc>
          <w:tcPr>
            <w:tcW w:w="5386" w:type="dxa"/>
          </w:tcPr>
          <w:p w14:paraId="6C5EE802" w14:textId="513579D3" w:rsidR="00250554" w:rsidRPr="005F55B3" w:rsidRDefault="00250554" w:rsidP="005239BD">
            <w:pPr>
              <w:ind w:right="0"/>
              <w:rPr>
                <w:rFonts w:eastAsia="Times New Roman" w:cs="Times New Roman"/>
                <w:lang w:val="nb-NO"/>
              </w:rPr>
            </w:pPr>
            <w:r w:rsidRPr="005F55B3">
              <w:rPr>
                <w:rFonts w:eastAsiaTheme="majorEastAsia"/>
                <w:b/>
                <w:lang w:val="nb-NO"/>
              </w:rPr>
              <w:lastRenderedPageBreak/>
              <w:t>Điều 1</w:t>
            </w:r>
            <w:r w:rsidR="00866A74" w:rsidRPr="005F55B3">
              <w:rPr>
                <w:rFonts w:eastAsiaTheme="majorEastAsia"/>
                <w:b/>
                <w:lang w:val="nb-NO"/>
              </w:rPr>
              <w:t>1</w:t>
            </w:r>
            <w:r w:rsidRPr="005F55B3">
              <w:rPr>
                <w:rFonts w:eastAsiaTheme="majorEastAsia"/>
                <w:b/>
                <w:lang w:val="nb-NO"/>
              </w:rPr>
              <w:t xml:space="preserve">. </w:t>
            </w:r>
            <w:r w:rsidRPr="005239BD">
              <w:rPr>
                <w:rFonts w:eastAsia="Times New Roman" w:cs="Times New Roman"/>
                <w:b/>
                <w:bCs/>
                <w:lang w:val="nl-NL"/>
              </w:rPr>
              <w:t>Tỷ lệ tổng mức nhận tiền gửi so với vốn chủ sở hữu</w:t>
            </w:r>
          </w:p>
          <w:p w14:paraId="32ACD712" w14:textId="58C806CC" w:rsidR="00250554" w:rsidRPr="005F55B3" w:rsidRDefault="00250554" w:rsidP="005239BD">
            <w:pPr>
              <w:spacing w:before="120" w:after="120"/>
              <w:ind w:right="0"/>
              <w:rPr>
                <w:rFonts w:eastAsia="Times New Roman" w:cs="Times New Roman"/>
                <w:lang w:val="nb-NO"/>
              </w:rPr>
            </w:pPr>
            <w:r w:rsidRPr="005239BD">
              <w:rPr>
                <w:rFonts w:eastAsia="Times New Roman"/>
                <w:lang w:val="nl-NL"/>
              </w:rPr>
              <w:t>1. Quỹ tín dụng nhân dân phải duy trì tỷ lệ tổng mức nhận tiền gửi so với vốn chủ sở hữu không được vượt quá 20 lần.</w:t>
            </w:r>
          </w:p>
          <w:p w14:paraId="2BC3A894" w14:textId="77777777" w:rsidR="00250554" w:rsidRPr="005F55B3" w:rsidRDefault="00250554" w:rsidP="005239BD">
            <w:pPr>
              <w:spacing w:before="120" w:after="120"/>
              <w:ind w:right="0"/>
              <w:rPr>
                <w:rFonts w:eastAsia="Times New Roman" w:cs="Times New Roman"/>
                <w:lang w:val="nb-NO"/>
              </w:rPr>
            </w:pPr>
            <w:r w:rsidRPr="005239BD">
              <w:rPr>
                <w:rFonts w:eastAsia="Times New Roman"/>
                <w:lang w:val="nl-NL"/>
              </w:rPr>
              <w:t>2. Tỷ lệ tổng mức nhận tiền gửi so với vốn chủ sở hữu được xác định theo công thức sau:</w:t>
            </w:r>
          </w:p>
          <w:p w14:paraId="0C2703D8" w14:textId="2FCD4059" w:rsidR="00250554" w:rsidRPr="005F55B3" w:rsidRDefault="00250554" w:rsidP="005239BD">
            <w:pPr>
              <w:spacing w:before="120" w:after="120"/>
              <w:ind w:right="0"/>
              <w:jc w:val="center"/>
              <w:rPr>
                <w:rFonts w:eastAsia="Times New Roman" w:cs="Times New Roman"/>
                <w:lang w:val="nb-NO"/>
              </w:rPr>
            </w:pPr>
          </w:p>
          <w:p w14:paraId="692988FD" w14:textId="6497BF94" w:rsidR="006F5DEE" w:rsidRPr="005239BD" w:rsidRDefault="00FB100B" w:rsidP="005239BD">
            <w:pPr>
              <w:spacing w:before="120" w:after="120"/>
              <w:ind w:right="0"/>
              <w:jc w:val="center"/>
              <w:rPr>
                <w:rFonts w:eastAsia="Times New Roman" w:cs="Times New Roman"/>
              </w:rPr>
            </w:pPr>
            <m:oMathPara>
              <m:oMath>
                <m:r>
                  <m:rPr>
                    <m:sty m:val="p"/>
                  </m:rPr>
                  <w:rPr>
                    <w:rFonts w:ascii="Cambria Math" w:eastAsia="Times New Roman" w:hAnsi="Cambria Math"/>
                  </w:rPr>
                  <m:t xml:space="preserve">A (lần)= </m:t>
                </m:r>
                <m:f>
                  <m:fPr>
                    <m:ctrlPr>
                      <w:rPr>
                        <w:rFonts w:ascii="Cambria Math" w:eastAsia="Times New Roman" w:hAnsi="Cambria Math" w:cs="Times New Roman"/>
                      </w:rPr>
                    </m:ctrlPr>
                  </m:fPr>
                  <m:num>
                    <m:r>
                      <m:rPr>
                        <m:sty m:val="p"/>
                      </m:rPr>
                      <w:rPr>
                        <w:rFonts w:ascii="Cambria Math" w:eastAsia="Times New Roman" w:hAnsi="Cambria Math"/>
                      </w:rPr>
                      <m:t>B</m:t>
                    </m:r>
                  </m:num>
                  <m:den>
                    <m:r>
                      <m:rPr>
                        <m:sty m:val="p"/>
                      </m:rPr>
                      <w:rPr>
                        <w:rFonts w:ascii="Cambria Math" w:eastAsia="Times New Roman" w:hAnsi="Cambria Math"/>
                      </w:rPr>
                      <m:t>C</m:t>
                    </m:r>
                  </m:den>
                </m:f>
              </m:oMath>
            </m:oMathPara>
          </w:p>
          <w:p w14:paraId="4FCB3349" w14:textId="77777777" w:rsidR="00250554" w:rsidRPr="005239BD" w:rsidRDefault="00250554" w:rsidP="005239BD">
            <w:pPr>
              <w:spacing w:before="120" w:after="120"/>
              <w:ind w:right="0"/>
              <w:rPr>
                <w:rFonts w:eastAsia="Times New Roman" w:cs="Times New Roman"/>
              </w:rPr>
            </w:pPr>
            <w:r w:rsidRPr="005239BD">
              <w:rPr>
                <w:rFonts w:eastAsia="Times New Roman"/>
                <w:lang w:val="nl-NL"/>
              </w:rPr>
              <w:t>Trong đó:</w:t>
            </w:r>
          </w:p>
          <w:p w14:paraId="417B4BBD" w14:textId="77777777" w:rsidR="00250554" w:rsidRPr="005239BD" w:rsidRDefault="00250554" w:rsidP="005239BD">
            <w:pPr>
              <w:spacing w:before="120" w:after="120"/>
              <w:ind w:right="0"/>
              <w:rPr>
                <w:rFonts w:eastAsia="Times New Roman" w:cs="Times New Roman"/>
              </w:rPr>
            </w:pPr>
            <w:r w:rsidRPr="005239BD">
              <w:rPr>
                <w:rFonts w:eastAsia="Times New Roman"/>
                <w:lang w:val="nl-NL"/>
              </w:rPr>
              <w:lastRenderedPageBreak/>
              <w:t>- A: tỷ lệ tổng mức nhận tiền gửi so với vốn chủ sở hữu.</w:t>
            </w:r>
          </w:p>
          <w:p w14:paraId="321571CB" w14:textId="77777777" w:rsidR="00250554" w:rsidRPr="005239BD" w:rsidRDefault="00250554" w:rsidP="005239BD">
            <w:pPr>
              <w:spacing w:before="120" w:after="120"/>
              <w:ind w:right="0"/>
              <w:rPr>
                <w:rFonts w:eastAsia="Times New Roman" w:cs="Times New Roman"/>
              </w:rPr>
            </w:pPr>
            <w:r w:rsidRPr="005239BD">
              <w:rPr>
                <w:rFonts w:eastAsia="Times New Roman"/>
                <w:lang w:val="nl-NL"/>
              </w:rPr>
              <w:t>- B: tổng mức nhận tiền gửi quy định tại khoản 3 Điều này.</w:t>
            </w:r>
          </w:p>
          <w:p w14:paraId="7BBB544E" w14:textId="77777777" w:rsidR="00250554" w:rsidRPr="005239BD" w:rsidRDefault="00250554" w:rsidP="005239BD">
            <w:pPr>
              <w:spacing w:before="120" w:after="120"/>
              <w:ind w:right="0"/>
              <w:rPr>
                <w:rFonts w:eastAsia="Times New Roman" w:cs="Times New Roman"/>
              </w:rPr>
            </w:pPr>
            <w:r w:rsidRPr="005239BD">
              <w:rPr>
                <w:rFonts w:eastAsia="Times New Roman"/>
                <w:lang w:val="nl-NL"/>
              </w:rPr>
              <w:t>- C: vốn chủ sở hữu quy định tại khoản 4 Điều này.</w:t>
            </w:r>
          </w:p>
          <w:p w14:paraId="5C9E3330" w14:textId="77777777" w:rsidR="00250554" w:rsidRPr="005239BD" w:rsidRDefault="00250554" w:rsidP="005239BD">
            <w:pPr>
              <w:spacing w:before="120" w:after="120"/>
              <w:ind w:right="0"/>
              <w:rPr>
                <w:rFonts w:eastAsia="Times New Roman" w:cs="Times New Roman"/>
              </w:rPr>
            </w:pPr>
            <w:r w:rsidRPr="005239BD">
              <w:rPr>
                <w:rFonts w:eastAsia="Times New Roman"/>
                <w:lang w:val="nl-NL"/>
              </w:rPr>
              <w:t>3. Tổng mức nhận tiền gửi bao gồm: tiền gửi không kỳ hạn, có kỳ hạn, tiền gửi tiết kiệm của thành viên, tổ chức, cá nhân khác bằng đồng Việt Nam.</w:t>
            </w:r>
          </w:p>
          <w:p w14:paraId="43452066" w14:textId="0A8AA6AB" w:rsidR="00250554" w:rsidRPr="005239BD" w:rsidRDefault="00250554">
            <w:pPr>
              <w:spacing w:before="120" w:after="120" w:line="234" w:lineRule="atLeast"/>
              <w:ind w:right="33"/>
              <w:rPr>
                <w:rFonts w:eastAsiaTheme="majorEastAsia"/>
                <w:b/>
              </w:rPr>
            </w:pPr>
            <w:r w:rsidRPr="005239BD">
              <w:rPr>
                <w:rFonts w:eastAsia="Times New Roman"/>
                <w:lang w:val="nl-NL"/>
              </w:rPr>
              <w:t>4. Vốn chủ sở hữu được ghi nhận </w:t>
            </w:r>
            <w:r w:rsidRPr="005239BD">
              <w:rPr>
                <w:rFonts w:eastAsia="Times New Roman"/>
                <w:lang w:val="vi-VN"/>
              </w:rPr>
              <w:t xml:space="preserve">theo chế độ tài chính đối với </w:t>
            </w:r>
            <w:r w:rsidR="00B45675">
              <w:rPr>
                <w:rFonts w:eastAsia="Times New Roman"/>
              </w:rPr>
              <w:t>q</w:t>
            </w:r>
            <w:r w:rsidR="00B45675" w:rsidRPr="005239BD">
              <w:rPr>
                <w:rFonts w:eastAsia="Times New Roman"/>
                <w:lang w:val="vi-VN"/>
              </w:rPr>
              <w:t xml:space="preserve">uỹ </w:t>
            </w:r>
            <w:r w:rsidRPr="005239BD">
              <w:rPr>
                <w:rFonts w:eastAsia="Times New Roman"/>
                <w:lang w:val="vi-VN"/>
              </w:rPr>
              <w:t>tín dụng nhân dân</w:t>
            </w:r>
            <w:r w:rsidRPr="005239BD">
              <w:rPr>
                <w:rFonts w:eastAsia="Times New Roman"/>
                <w:lang w:val="nl-NL"/>
              </w:rPr>
              <w:t>.</w:t>
            </w:r>
          </w:p>
        </w:tc>
        <w:tc>
          <w:tcPr>
            <w:tcW w:w="3969" w:type="dxa"/>
          </w:tcPr>
          <w:p w14:paraId="2486D693" w14:textId="77777777" w:rsidR="001C0CAB" w:rsidRPr="005239BD" w:rsidRDefault="001C0CAB" w:rsidP="005239BD">
            <w:pPr>
              <w:ind w:right="0"/>
              <w:rPr>
                <w:noProof/>
                <w:lang w:val="nl-NL"/>
              </w:rPr>
            </w:pPr>
          </w:p>
          <w:p w14:paraId="63E296D9" w14:textId="77777777" w:rsidR="001C0CAB" w:rsidRPr="005239BD" w:rsidRDefault="001C0CAB" w:rsidP="005239BD">
            <w:pPr>
              <w:ind w:right="0"/>
              <w:rPr>
                <w:noProof/>
                <w:lang w:val="nl-NL"/>
              </w:rPr>
            </w:pPr>
          </w:p>
          <w:p w14:paraId="06C1EDAF" w14:textId="77777777" w:rsidR="001C0CAB" w:rsidRPr="005239BD" w:rsidRDefault="001C0CAB" w:rsidP="005239BD">
            <w:pPr>
              <w:ind w:right="0"/>
              <w:rPr>
                <w:noProof/>
                <w:lang w:val="nl-NL"/>
              </w:rPr>
            </w:pPr>
          </w:p>
          <w:p w14:paraId="4DF8C01F" w14:textId="187DEC77" w:rsidR="00250554" w:rsidRPr="005239BD" w:rsidRDefault="00A020AD" w:rsidP="005239BD">
            <w:pPr>
              <w:ind w:right="0"/>
              <w:rPr>
                <w:noProof/>
                <w:lang w:val="nl-NL"/>
              </w:rPr>
            </w:pPr>
            <w:r>
              <w:t>Chỉnh sửa kỹ thuật cho rõ ràng, chính xác hơn</w:t>
            </w:r>
            <w:r w:rsidR="00FB54BA">
              <w:rPr>
                <w:noProof/>
                <w:lang w:val="nl-NL"/>
              </w:rPr>
              <w:t>.</w:t>
            </w:r>
          </w:p>
        </w:tc>
      </w:tr>
      <w:tr w:rsidR="00070B8F" w:rsidRPr="00AC5DD8" w14:paraId="658C3D35" w14:textId="77777777" w:rsidTr="004020EA">
        <w:tc>
          <w:tcPr>
            <w:tcW w:w="680" w:type="dxa"/>
            <w:vAlign w:val="center"/>
          </w:tcPr>
          <w:p w14:paraId="09A5E852" w14:textId="31E55C62" w:rsidR="00070B8F" w:rsidRPr="005239BD" w:rsidRDefault="00070B8F" w:rsidP="005239BD">
            <w:pPr>
              <w:spacing w:before="120" w:after="120"/>
              <w:ind w:right="0"/>
              <w:jc w:val="center"/>
              <w:rPr>
                <w:b/>
                <w:iCs/>
                <w:noProof/>
              </w:rPr>
            </w:pPr>
            <w:r w:rsidRPr="005239BD">
              <w:rPr>
                <w:b/>
                <w:iCs/>
                <w:noProof/>
              </w:rPr>
              <w:lastRenderedPageBreak/>
              <w:t>1</w:t>
            </w:r>
            <w:r w:rsidR="00622FAA">
              <w:rPr>
                <w:b/>
                <w:iCs/>
                <w:noProof/>
              </w:rPr>
              <w:t>2</w:t>
            </w:r>
          </w:p>
        </w:tc>
        <w:tc>
          <w:tcPr>
            <w:tcW w:w="5416" w:type="dxa"/>
          </w:tcPr>
          <w:p w14:paraId="1CAFD0A2" w14:textId="77777777" w:rsidR="00070B8F" w:rsidRPr="005239BD" w:rsidRDefault="00070B8F" w:rsidP="005239BD">
            <w:pPr>
              <w:ind w:right="0"/>
              <w:rPr>
                <w:rFonts w:eastAsia="Times New Roman" w:cs="Times New Roman"/>
                <w:color w:val="000000"/>
              </w:rPr>
            </w:pPr>
            <w:r w:rsidRPr="005239BD">
              <w:rPr>
                <w:rFonts w:eastAsia="Times New Roman" w:cs="Times New Roman"/>
                <w:b/>
                <w:bCs/>
                <w:color w:val="000000"/>
                <w:lang w:val="nl-NL"/>
              </w:rPr>
              <w:t>Điều 8. Hạn chế, giới hạn cho vay</w:t>
            </w:r>
          </w:p>
          <w:p w14:paraId="1FE38BC1" w14:textId="77777777" w:rsidR="00070B8F" w:rsidRPr="005239BD" w:rsidRDefault="00070B8F" w:rsidP="005239BD">
            <w:pPr>
              <w:ind w:right="0"/>
              <w:rPr>
                <w:rFonts w:eastAsia="Times New Roman" w:cs="Times New Roman"/>
                <w:color w:val="000000"/>
              </w:rPr>
            </w:pPr>
            <w:r w:rsidRPr="005239BD">
              <w:rPr>
                <w:rFonts w:eastAsia="Times New Roman" w:cs="Times New Roman"/>
                <w:color w:val="000000"/>
                <w:lang w:val="nl-NL"/>
              </w:rPr>
              <w:t>1. Quỹ tín dụng nhân dân căn cứ vốn tự có được xác định theo quy định tại </w:t>
            </w:r>
            <w:r w:rsidRPr="005239BD">
              <w:rPr>
                <w:rFonts w:eastAsia="Times New Roman"/>
                <w:lang w:val="nl-NL"/>
              </w:rPr>
              <w:t>khoản 3 Điều 5 Thông tư này </w:t>
            </w:r>
            <w:r w:rsidRPr="005239BD">
              <w:rPr>
                <w:rFonts w:eastAsia="Times New Roman" w:cs="Times New Roman"/>
                <w:color w:val="000000"/>
                <w:lang w:val="nl-NL"/>
              </w:rPr>
              <w:t>tại cuối ngày làm việc gần nhất </w:t>
            </w:r>
            <w:r w:rsidRPr="005239BD">
              <w:rPr>
                <w:rFonts w:eastAsia="Times New Roman" w:cs="Times New Roman"/>
                <w:color w:val="000000"/>
                <w:lang w:val="es-ES"/>
              </w:rPr>
              <w:t>để xác định:</w:t>
            </w:r>
          </w:p>
          <w:p w14:paraId="777527BA" w14:textId="77777777" w:rsidR="00070B8F" w:rsidRPr="005239BD" w:rsidRDefault="00070B8F" w:rsidP="005239BD">
            <w:pPr>
              <w:spacing w:before="120" w:after="120"/>
              <w:ind w:right="0"/>
              <w:rPr>
                <w:rFonts w:eastAsia="Times New Roman" w:cs="Times New Roman"/>
                <w:color w:val="000000"/>
              </w:rPr>
            </w:pPr>
            <w:r w:rsidRPr="005239BD">
              <w:rPr>
                <w:rFonts w:eastAsia="Times New Roman" w:cs="Times New Roman"/>
                <w:color w:val="000000"/>
                <w:lang w:val="nl-NL"/>
              </w:rPr>
              <w:t>a) </w:t>
            </w:r>
            <w:r w:rsidRPr="005239BD">
              <w:rPr>
                <w:rFonts w:eastAsia="Times New Roman" w:cs="Times New Roman"/>
                <w:color w:val="000000"/>
                <w:lang w:val="es-ES"/>
              </w:rPr>
              <w:t>Hạn chế cho vay đối với tổ chức, cá nhân theo quy định tại Điều 135 </w:t>
            </w:r>
            <w:r w:rsidRPr="005239BD">
              <w:rPr>
                <w:rFonts w:eastAsia="Times New Roman" w:cs="Times New Roman"/>
                <w:color w:val="000000"/>
                <w:lang w:val="nl-NL"/>
              </w:rPr>
              <w:t xml:space="preserve">Luật Các tổ chức tín dụng </w:t>
            </w:r>
            <w:r w:rsidRPr="005239BD">
              <w:rPr>
                <w:rFonts w:eastAsia="Times New Roman" w:cs="Times New Roman"/>
                <w:color w:val="000000"/>
                <w:u w:val="single"/>
                <w:lang w:val="nl-NL"/>
              </w:rPr>
              <w:t>năm 2024</w:t>
            </w:r>
            <w:r w:rsidRPr="005239BD">
              <w:rPr>
                <w:rFonts w:eastAsia="Times New Roman" w:cs="Times New Roman"/>
                <w:color w:val="000000"/>
                <w:lang w:val="es-ES"/>
              </w:rPr>
              <w:t>;</w:t>
            </w:r>
          </w:p>
          <w:p w14:paraId="648208BF" w14:textId="77777777" w:rsidR="00070B8F" w:rsidRPr="005239BD" w:rsidRDefault="00070B8F" w:rsidP="005239BD">
            <w:pPr>
              <w:spacing w:before="120" w:after="120"/>
              <w:ind w:right="0"/>
              <w:rPr>
                <w:rFonts w:eastAsia="Times New Roman" w:cs="Times New Roman"/>
                <w:color w:val="000000"/>
                <w:u w:val="single"/>
              </w:rPr>
            </w:pPr>
            <w:r w:rsidRPr="005239BD">
              <w:rPr>
                <w:rFonts w:eastAsia="Times New Roman" w:cs="Times New Roman"/>
                <w:color w:val="000000"/>
                <w:lang w:val="nl-NL"/>
              </w:rPr>
              <w:t>b) </w:t>
            </w:r>
            <w:r w:rsidRPr="005239BD">
              <w:rPr>
                <w:rFonts w:eastAsia="Times New Roman" w:cs="Times New Roman"/>
                <w:color w:val="000000"/>
                <w:lang w:val="es-ES"/>
              </w:rPr>
              <w:t>Giới hạn cho vay đối với một khách hàng, một khách hàng và người có liên quan của khách hàng theo quy định tại Điều 136 </w:t>
            </w:r>
            <w:r w:rsidRPr="005239BD">
              <w:rPr>
                <w:rFonts w:eastAsia="Times New Roman" w:cs="Times New Roman"/>
                <w:color w:val="000000"/>
                <w:lang w:val="nl-NL"/>
              </w:rPr>
              <w:t xml:space="preserve">Luật Các tổ chức tín dụng </w:t>
            </w:r>
            <w:r w:rsidRPr="005239BD">
              <w:rPr>
                <w:rFonts w:eastAsia="Times New Roman" w:cs="Times New Roman"/>
                <w:color w:val="000000"/>
                <w:u w:val="single"/>
                <w:lang w:val="nl-NL"/>
              </w:rPr>
              <w:t>năm 2024.</w:t>
            </w:r>
          </w:p>
          <w:p w14:paraId="3CCE420B" w14:textId="753A4194" w:rsidR="00070B8F" w:rsidRPr="005239BD" w:rsidRDefault="00070B8F" w:rsidP="005239BD">
            <w:pPr>
              <w:spacing w:before="120" w:after="120"/>
              <w:ind w:right="0"/>
              <w:rPr>
                <w:rFonts w:eastAsia="Times New Roman"/>
                <w:b/>
                <w:bCs/>
                <w:color w:val="000000"/>
                <w:lang w:val="nl-NL"/>
              </w:rPr>
            </w:pPr>
            <w:r w:rsidRPr="005239BD">
              <w:rPr>
                <w:rFonts w:eastAsia="Times New Roman" w:cs="Times New Roman"/>
                <w:color w:val="000000"/>
                <w:lang w:val="nl-NL"/>
              </w:rPr>
              <w:t>2. Hội đồng quản trị quyết định các khoản cho vay đối với người thẩm định, người xét duyệt cho vay tại quỹ tín dụng nhân dân có giá trị từ 100 triệu đồng trở lên hoặc giá trị khác thấp hơn theo quy định nội bộ của quỹ tín dụng nhân dân. Các trường hợp còn lại thực hiện theo quy định nội bộ của quỹ tín dụng nhân dân.</w:t>
            </w:r>
          </w:p>
        </w:tc>
        <w:tc>
          <w:tcPr>
            <w:tcW w:w="5386" w:type="dxa"/>
          </w:tcPr>
          <w:p w14:paraId="33AFEB44" w14:textId="1C33E0BC" w:rsidR="00070B8F" w:rsidRPr="005239BD" w:rsidRDefault="00070B8F" w:rsidP="005239BD">
            <w:pPr>
              <w:ind w:right="0"/>
              <w:rPr>
                <w:rFonts w:eastAsia="Times New Roman" w:cs="Times New Roman"/>
                <w:b/>
                <w:bCs/>
                <w:lang w:val="nl-NL"/>
              </w:rPr>
            </w:pPr>
            <w:r w:rsidRPr="005239BD">
              <w:rPr>
                <w:rFonts w:eastAsia="Times New Roman"/>
                <w:b/>
                <w:bCs/>
                <w:lang w:val="nl-NL"/>
              </w:rPr>
              <w:t>Điều 1</w:t>
            </w:r>
            <w:r w:rsidR="00866A74" w:rsidRPr="005239BD">
              <w:rPr>
                <w:rFonts w:eastAsia="Times New Roman"/>
                <w:b/>
                <w:bCs/>
                <w:lang w:val="nl-NL"/>
              </w:rPr>
              <w:t>2</w:t>
            </w:r>
            <w:r w:rsidRPr="005239BD">
              <w:rPr>
                <w:rFonts w:eastAsia="Times New Roman"/>
                <w:b/>
                <w:bCs/>
                <w:lang w:val="nl-NL"/>
              </w:rPr>
              <w:t>. Hạn chế, giới hạn cho vay</w:t>
            </w:r>
          </w:p>
          <w:p w14:paraId="7EE14BB8" w14:textId="3FF12EAF" w:rsidR="00070B8F" w:rsidRPr="005239BD" w:rsidRDefault="00070B8F" w:rsidP="005239BD">
            <w:pPr>
              <w:ind w:right="0"/>
              <w:rPr>
                <w:rFonts w:eastAsia="Times New Roman" w:cs="Times New Roman"/>
                <w:bCs/>
                <w:lang w:val="nl-NL"/>
              </w:rPr>
            </w:pPr>
            <w:r w:rsidRPr="005239BD">
              <w:rPr>
                <w:rFonts w:eastAsia="Times New Roman"/>
                <w:bCs/>
                <w:lang w:val="nl-NL"/>
              </w:rPr>
              <w:t xml:space="preserve">1. Quỹ tín dụng nhân dân căn cứ vốn tự có được xác định theo quy định tại khoản 3 Điều </w:t>
            </w:r>
            <w:r w:rsidR="004D2DB9">
              <w:rPr>
                <w:rFonts w:eastAsia="Times New Roman"/>
                <w:bCs/>
                <w:lang w:val="nl-NL"/>
              </w:rPr>
              <w:t>8</w:t>
            </w:r>
            <w:r w:rsidR="00E379C2" w:rsidRPr="005239BD">
              <w:rPr>
                <w:rFonts w:eastAsia="Times New Roman"/>
                <w:bCs/>
                <w:lang w:val="nl-NL"/>
              </w:rPr>
              <w:t xml:space="preserve"> </w:t>
            </w:r>
            <w:r w:rsidRPr="005239BD">
              <w:rPr>
                <w:rFonts w:eastAsia="Times New Roman"/>
                <w:bCs/>
                <w:lang w:val="nl-NL"/>
              </w:rPr>
              <w:t>Thông tư này tại cuối ngày làm việc gần nhất để xác định:</w:t>
            </w:r>
          </w:p>
          <w:p w14:paraId="2422BEA4" w14:textId="77777777" w:rsidR="00070B8F" w:rsidRPr="005239BD" w:rsidRDefault="00070B8F" w:rsidP="005239BD">
            <w:pPr>
              <w:ind w:right="0"/>
              <w:rPr>
                <w:rFonts w:eastAsia="Times New Roman" w:cs="Times New Roman"/>
                <w:bCs/>
                <w:lang w:val="nl-NL"/>
              </w:rPr>
            </w:pPr>
            <w:r w:rsidRPr="005239BD">
              <w:rPr>
                <w:rFonts w:eastAsia="Times New Roman"/>
                <w:bCs/>
                <w:lang w:val="nl-NL"/>
              </w:rPr>
              <w:t>a) Hạn chế cho vay đối với tổ chức, cá nhân theo quy định tại Điều 135 Luật Các tổ chức tín dụng;</w:t>
            </w:r>
          </w:p>
          <w:p w14:paraId="63F86986" w14:textId="77777777" w:rsidR="00070B8F" w:rsidRPr="005F55B3" w:rsidRDefault="00070B8F" w:rsidP="005239BD">
            <w:pPr>
              <w:spacing w:before="120" w:after="120"/>
              <w:ind w:right="0"/>
              <w:rPr>
                <w:rFonts w:eastAsia="Times New Roman" w:cs="Times New Roman"/>
                <w:lang w:val="nl-NL"/>
              </w:rPr>
            </w:pPr>
            <w:r w:rsidRPr="005239BD">
              <w:rPr>
                <w:rFonts w:eastAsia="Times New Roman"/>
                <w:lang w:val="nl-NL"/>
              </w:rPr>
              <w:t>b) </w:t>
            </w:r>
            <w:r w:rsidRPr="005239BD">
              <w:rPr>
                <w:rFonts w:eastAsia="Times New Roman"/>
                <w:lang w:val="es-ES"/>
              </w:rPr>
              <w:t>Giới hạn cho vay đối với một khách hàng, một khách hàng và người có liên quan của khách hàng theo quy định tại Điều 136 </w:t>
            </w:r>
            <w:r w:rsidRPr="005239BD">
              <w:rPr>
                <w:rFonts w:eastAsia="Times New Roman"/>
                <w:lang w:val="nl-NL"/>
              </w:rPr>
              <w:t>Luật Các tổ chức tín dụng.</w:t>
            </w:r>
          </w:p>
          <w:p w14:paraId="4FC878EF" w14:textId="028A7FB9" w:rsidR="00070B8F" w:rsidRPr="005239BD" w:rsidRDefault="00070B8F" w:rsidP="005239BD">
            <w:pPr>
              <w:spacing w:before="120" w:after="120"/>
              <w:ind w:right="0"/>
              <w:rPr>
                <w:rFonts w:eastAsia="Times New Roman"/>
                <w:b/>
                <w:bCs/>
                <w:lang w:val="nl-NL"/>
              </w:rPr>
            </w:pPr>
            <w:r w:rsidRPr="005239BD">
              <w:rPr>
                <w:rFonts w:eastAsia="Times New Roman"/>
                <w:lang w:val="nl-NL"/>
              </w:rPr>
              <w:t>2. Hội đồng quản trị quyết định các khoản cho vay đối với người thẩm định, người xét duyệt cho vay tại quỹ tín dụng nhân dân có giá trị từ 100 triệu đồng trở lên hoặc giá trị khác thấp hơn theo quy định nội bộ của quỹ tín dụng nhân dân. Các trường hợp còn lại thực hiện theo quy định nội bộ của quỹ tín dụng nhân dân.</w:t>
            </w:r>
          </w:p>
        </w:tc>
        <w:tc>
          <w:tcPr>
            <w:tcW w:w="3969" w:type="dxa"/>
          </w:tcPr>
          <w:p w14:paraId="58D459F7" w14:textId="768EAC48" w:rsidR="00070B8F" w:rsidRPr="005239BD" w:rsidRDefault="00070B8F" w:rsidP="005239BD">
            <w:pPr>
              <w:ind w:right="0"/>
              <w:rPr>
                <w:noProof/>
                <w:lang w:val="nl-NL"/>
              </w:rPr>
            </w:pPr>
            <w:r w:rsidRPr="005239BD">
              <w:rPr>
                <w:noProof/>
                <w:lang w:val="nl-NL"/>
              </w:rPr>
              <w:t>Kế thừa nội dung</w:t>
            </w:r>
            <w:r w:rsidR="004020EA" w:rsidRPr="005239BD">
              <w:rPr>
                <w:noProof/>
                <w:lang w:val="nl-NL"/>
              </w:rPr>
              <w:t xml:space="preserve"> và chỉnh sửa cho phù hợp</w:t>
            </w:r>
            <w:r w:rsidRPr="005239BD">
              <w:rPr>
                <w:noProof/>
                <w:lang w:val="nl-NL"/>
              </w:rPr>
              <w:t>.</w:t>
            </w:r>
          </w:p>
        </w:tc>
      </w:tr>
      <w:tr w:rsidR="00250554" w:rsidRPr="00AC5DD8" w14:paraId="6DE5B1DA" w14:textId="77777777" w:rsidTr="004141EF">
        <w:tc>
          <w:tcPr>
            <w:tcW w:w="680" w:type="dxa"/>
            <w:vAlign w:val="center"/>
          </w:tcPr>
          <w:p w14:paraId="1A67E807" w14:textId="4715FC8F" w:rsidR="00250554" w:rsidRPr="005239BD" w:rsidRDefault="00250554" w:rsidP="005239BD">
            <w:pPr>
              <w:spacing w:before="120" w:after="120"/>
              <w:ind w:right="0"/>
              <w:jc w:val="center"/>
              <w:rPr>
                <w:iCs/>
                <w:noProof/>
              </w:rPr>
            </w:pPr>
            <w:r w:rsidRPr="005239BD">
              <w:rPr>
                <w:iCs/>
                <w:noProof/>
              </w:rPr>
              <w:lastRenderedPageBreak/>
              <w:t>1</w:t>
            </w:r>
            <w:r w:rsidR="00622FAA">
              <w:rPr>
                <w:iCs/>
                <w:noProof/>
              </w:rPr>
              <w:t>2</w:t>
            </w:r>
            <w:r w:rsidRPr="005239BD">
              <w:rPr>
                <w:iCs/>
                <w:noProof/>
              </w:rPr>
              <w:t>.1</w:t>
            </w:r>
          </w:p>
        </w:tc>
        <w:tc>
          <w:tcPr>
            <w:tcW w:w="5416" w:type="dxa"/>
          </w:tcPr>
          <w:p w14:paraId="1D8A7247" w14:textId="77777777" w:rsidR="00250554" w:rsidRPr="005239BD" w:rsidRDefault="00250554" w:rsidP="005239BD">
            <w:pPr>
              <w:spacing w:after="120" w:line="234" w:lineRule="atLeast"/>
              <w:ind w:right="0"/>
              <w:rPr>
                <w:rFonts w:eastAsia="Times New Roman" w:cs="Times New Roman"/>
                <w:color w:val="000000"/>
              </w:rPr>
            </w:pPr>
            <w:r w:rsidRPr="005239BD">
              <w:rPr>
                <w:rFonts w:eastAsia="Times New Roman" w:cs="Times New Roman"/>
                <w:color w:val="000000"/>
                <w:lang w:val="nl-NL"/>
              </w:rPr>
              <w:t>3. Đối với </w:t>
            </w:r>
            <w:r w:rsidRPr="005239BD">
              <w:rPr>
                <w:rFonts w:eastAsia="Times New Roman" w:cs="Times New Roman"/>
                <w:color w:val="000000"/>
                <w:shd w:val="clear" w:color="auto" w:fill="FFFFFF"/>
                <w:lang w:val="nl-NL"/>
              </w:rPr>
              <w:t>các khoản cho vay các đối tượng quy định tại điểm a khoản 1 Điều này, q</w:t>
            </w:r>
            <w:r w:rsidRPr="005239BD">
              <w:rPr>
                <w:rFonts w:eastAsia="Times New Roman" w:cs="Times New Roman"/>
                <w:color w:val="000000"/>
                <w:lang w:val="nl-NL"/>
              </w:rPr>
              <w:t>uỹ tín dụng nhân dân phải:</w:t>
            </w:r>
          </w:p>
          <w:p w14:paraId="634ECD55" w14:textId="77777777" w:rsidR="00250554" w:rsidRPr="005239BD" w:rsidRDefault="00250554" w:rsidP="005239BD">
            <w:pPr>
              <w:spacing w:after="120" w:line="234" w:lineRule="atLeast"/>
              <w:ind w:right="0"/>
              <w:rPr>
                <w:rFonts w:eastAsia="Times New Roman" w:cs="Times New Roman"/>
                <w:color w:val="000000"/>
              </w:rPr>
            </w:pPr>
            <w:r w:rsidRPr="005239BD">
              <w:rPr>
                <w:rFonts w:eastAsia="Times New Roman" w:cs="Times New Roman"/>
                <w:color w:val="000000"/>
                <w:lang w:val="nl-NL"/>
              </w:rPr>
              <w:t xml:space="preserve">a) Báo cáo </w:t>
            </w:r>
            <w:r w:rsidRPr="005239BD">
              <w:rPr>
                <w:rFonts w:eastAsia="Times New Roman"/>
                <w:color w:val="000000"/>
                <w:u w:val="single"/>
                <w:lang w:val="nl-NL"/>
              </w:rPr>
              <w:t>Ngân hàng Nhà nước chi nhánh tỉnh, thành phố</w:t>
            </w:r>
            <w:r w:rsidRPr="005239BD">
              <w:rPr>
                <w:rFonts w:eastAsia="Times New Roman" w:cs="Times New Roman"/>
                <w:color w:val="000000"/>
                <w:lang w:val="nl-NL"/>
              </w:rPr>
              <w:t xml:space="preserve"> theo quy định của Ngân hàng Nhà nước;</w:t>
            </w:r>
          </w:p>
          <w:p w14:paraId="1F3D21F2" w14:textId="30F0FBDF" w:rsidR="00250554" w:rsidRPr="005239BD" w:rsidDel="00297195" w:rsidRDefault="00250554" w:rsidP="005239BD">
            <w:pPr>
              <w:spacing w:before="120" w:after="120"/>
              <w:ind w:right="0"/>
              <w:rPr>
                <w:rFonts w:eastAsia="Times New Roman"/>
                <w:b/>
                <w:bCs/>
                <w:color w:val="000000"/>
                <w:lang w:val="nl-NL"/>
              </w:rPr>
            </w:pPr>
            <w:r w:rsidRPr="005239BD">
              <w:rPr>
                <w:rFonts w:eastAsia="Times New Roman" w:cs="Times New Roman"/>
                <w:color w:val="000000"/>
                <w:shd w:val="clear" w:color="auto" w:fill="FFFFFF"/>
                <w:lang w:val="nl-NL"/>
              </w:rPr>
              <w:t>b) Công khai trước Đại hội thành viên đối với khoản cho vay phát sinh đến thời điểm lấy số liệu để họp Đại hội thành viên.</w:t>
            </w:r>
          </w:p>
        </w:tc>
        <w:tc>
          <w:tcPr>
            <w:tcW w:w="5386" w:type="dxa"/>
          </w:tcPr>
          <w:p w14:paraId="0428C0F2" w14:textId="77777777" w:rsidR="00250554" w:rsidRPr="005F55B3" w:rsidRDefault="00250554" w:rsidP="005239BD">
            <w:pPr>
              <w:spacing w:after="120" w:line="234" w:lineRule="atLeast"/>
              <w:ind w:right="0"/>
              <w:rPr>
                <w:rFonts w:eastAsia="Times New Roman" w:cs="Times New Roman"/>
                <w:lang w:val="nl-NL"/>
              </w:rPr>
            </w:pPr>
            <w:r w:rsidRPr="005239BD">
              <w:rPr>
                <w:rFonts w:eastAsia="Times New Roman"/>
                <w:lang w:val="nl-NL"/>
              </w:rPr>
              <w:t>3. Đối với </w:t>
            </w:r>
            <w:r w:rsidRPr="005239BD">
              <w:rPr>
                <w:rFonts w:eastAsia="Times New Roman"/>
                <w:shd w:val="clear" w:color="auto" w:fill="FFFFFF"/>
                <w:lang w:val="nl-NL"/>
              </w:rPr>
              <w:t>các khoản cho vay các đối tượng quy định tại điểm a khoản 1 Điều này, q</w:t>
            </w:r>
            <w:r w:rsidRPr="005239BD">
              <w:rPr>
                <w:rFonts w:eastAsia="Times New Roman"/>
                <w:lang w:val="nl-NL"/>
              </w:rPr>
              <w:t>uỹ tín dụng nhân dân phải:</w:t>
            </w:r>
          </w:p>
          <w:p w14:paraId="2A7EAFC0" w14:textId="77777777" w:rsidR="00250554" w:rsidRPr="005F55B3" w:rsidRDefault="00250554" w:rsidP="005239BD">
            <w:pPr>
              <w:spacing w:after="120" w:line="234" w:lineRule="atLeast"/>
              <w:ind w:right="0"/>
              <w:rPr>
                <w:rFonts w:eastAsia="Times New Roman" w:cs="Times New Roman"/>
                <w:lang w:val="nl-NL"/>
              </w:rPr>
            </w:pPr>
            <w:r w:rsidRPr="005239BD">
              <w:rPr>
                <w:rFonts w:eastAsia="Times New Roman"/>
                <w:lang w:val="nl-NL"/>
              </w:rPr>
              <w:t xml:space="preserve">a) Báo cáo </w:t>
            </w:r>
            <w:r w:rsidRPr="005239BD">
              <w:rPr>
                <w:rFonts w:eastAsia="Times New Roman"/>
                <w:i/>
                <w:lang w:val="nl-NL"/>
              </w:rPr>
              <w:t xml:space="preserve">Ngân hàng Nhà nước chi nhánh Khu vực </w:t>
            </w:r>
            <w:r w:rsidRPr="005239BD">
              <w:rPr>
                <w:rFonts w:eastAsia="Times New Roman"/>
                <w:lang w:val="nl-NL"/>
              </w:rPr>
              <w:t>theo quy định của Ngân hàng Nhà nước;</w:t>
            </w:r>
          </w:p>
          <w:p w14:paraId="074C0CBF" w14:textId="18452D8B" w:rsidR="00250554" w:rsidRPr="005239BD" w:rsidDel="00297195" w:rsidRDefault="00250554" w:rsidP="005239BD">
            <w:pPr>
              <w:spacing w:before="120" w:after="120"/>
              <w:ind w:right="0"/>
              <w:rPr>
                <w:rFonts w:eastAsia="Times New Roman"/>
                <w:b/>
                <w:bCs/>
                <w:lang w:val="nl-NL"/>
              </w:rPr>
            </w:pPr>
            <w:r w:rsidRPr="005239BD">
              <w:rPr>
                <w:rFonts w:eastAsia="Times New Roman"/>
                <w:shd w:val="clear" w:color="auto" w:fill="FFFFFF"/>
                <w:lang w:val="nl-NL"/>
              </w:rPr>
              <w:t>b) Công khai trước Đại hội thành viên đối với khoản cho vay phát sinh đến thời điểm lấy số liệu để họp Đại hội thành viên</w:t>
            </w:r>
            <w:r w:rsidRPr="005239BD">
              <w:rPr>
                <w:rFonts w:eastAsia="Times New Roman" w:cs="Times New Roman"/>
                <w:shd w:val="clear" w:color="auto" w:fill="FFFFFF"/>
                <w:lang w:val="nl-NL"/>
              </w:rPr>
              <w:t>.</w:t>
            </w:r>
          </w:p>
        </w:tc>
        <w:tc>
          <w:tcPr>
            <w:tcW w:w="3969" w:type="dxa"/>
          </w:tcPr>
          <w:p w14:paraId="0B91A7F9" w14:textId="64805889" w:rsidR="00250554" w:rsidRPr="005239BD" w:rsidRDefault="00250554" w:rsidP="005239BD">
            <w:pPr>
              <w:ind w:right="0"/>
              <w:rPr>
                <w:noProof/>
                <w:lang w:val="nl-NL"/>
              </w:rPr>
            </w:pPr>
            <w:r w:rsidRPr="005239BD">
              <w:rPr>
                <w:noProof/>
                <w:lang w:val="nl-NL"/>
              </w:rPr>
              <w:t>Để p</w:t>
            </w:r>
            <w:r w:rsidRPr="005239BD">
              <w:rPr>
                <w:lang w:val="nl-NL"/>
              </w:rPr>
              <w:t>hù hợp với Nghị định số 26/2025/NĐ-CP và c</w:t>
            </w:r>
            <w:r w:rsidRPr="005239BD">
              <w:rPr>
                <w:noProof/>
                <w:lang w:val="nl-NL"/>
              </w:rPr>
              <w:t>ác Quyết định số 301-315/QĐ-NHNN của Thống đốc NHNN quy định về chức năng, nhiệm vụ, quyền hạn và cơ cấu tổ chức của các NHNN Khu vực</w:t>
            </w:r>
          </w:p>
        </w:tc>
      </w:tr>
      <w:tr w:rsidR="00070B8F" w:rsidRPr="00AC5DD8" w14:paraId="3EC92B40" w14:textId="77777777" w:rsidTr="004020EA">
        <w:tc>
          <w:tcPr>
            <w:tcW w:w="680" w:type="dxa"/>
            <w:vAlign w:val="center"/>
          </w:tcPr>
          <w:p w14:paraId="2CEA30DF" w14:textId="3186D570" w:rsidR="00070B8F" w:rsidRPr="005239BD" w:rsidRDefault="00070B8F" w:rsidP="005239BD">
            <w:pPr>
              <w:spacing w:before="120" w:after="120"/>
              <w:ind w:right="0"/>
              <w:jc w:val="center"/>
              <w:rPr>
                <w:iCs/>
                <w:noProof/>
              </w:rPr>
            </w:pPr>
            <w:r w:rsidRPr="005239BD">
              <w:rPr>
                <w:iCs/>
                <w:noProof/>
              </w:rPr>
              <w:t>1</w:t>
            </w:r>
            <w:r w:rsidR="00622FAA">
              <w:rPr>
                <w:iCs/>
                <w:noProof/>
              </w:rPr>
              <w:t>2</w:t>
            </w:r>
            <w:r w:rsidRPr="005239BD">
              <w:rPr>
                <w:iCs/>
                <w:noProof/>
              </w:rPr>
              <w:t>.2</w:t>
            </w:r>
          </w:p>
        </w:tc>
        <w:tc>
          <w:tcPr>
            <w:tcW w:w="5416" w:type="dxa"/>
          </w:tcPr>
          <w:p w14:paraId="1A538EF1" w14:textId="77777777" w:rsidR="00070B8F" w:rsidRPr="005239BD" w:rsidRDefault="00070B8F" w:rsidP="005239BD">
            <w:pPr>
              <w:spacing w:before="120" w:after="120"/>
              <w:ind w:right="0"/>
              <w:rPr>
                <w:rFonts w:eastAsia="Times New Roman" w:cs="Times New Roman"/>
                <w:color w:val="000000"/>
              </w:rPr>
            </w:pPr>
            <w:r w:rsidRPr="005239BD">
              <w:rPr>
                <w:rFonts w:eastAsia="Times New Roman" w:cs="Times New Roman"/>
                <w:color w:val="000000"/>
                <w:shd w:val="clear" w:color="auto" w:fill="FFFFFF"/>
                <w:lang w:val="nl-NL"/>
              </w:rPr>
              <w:t>4.</w:t>
            </w:r>
            <w:r w:rsidRPr="005239BD">
              <w:rPr>
                <w:rFonts w:eastAsia="Times New Roman" w:cs="Times New Roman"/>
                <w:color w:val="000000"/>
                <w:shd w:val="clear" w:color="auto" w:fill="FFFFFF"/>
                <w:lang w:val="vi-VN"/>
              </w:rPr>
              <w:t> </w:t>
            </w:r>
            <w:r w:rsidRPr="005239BD">
              <w:rPr>
                <w:rFonts w:eastAsia="Times New Roman" w:cs="Times New Roman"/>
                <w:color w:val="000000"/>
                <w:lang w:val="nl-NL"/>
              </w:rPr>
              <w:t>Tổng mức dư nợ cho vay đối với một thành viên là pháp nhân không được vượt quá tổng số vốn góp và số dư tiền gửi của pháp nhân đó tại quỹ tín dụng nhân dân tại mọi thời điểm.</w:t>
            </w:r>
          </w:p>
          <w:p w14:paraId="129F69BA" w14:textId="77777777" w:rsidR="00070B8F" w:rsidRPr="005239BD" w:rsidRDefault="00070B8F" w:rsidP="005239BD">
            <w:pPr>
              <w:spacing w:before="120" w:after="120"/>
              <w:ind w:right="0"/>
              <w:rPr>
                <w:rFonts w:eastAsia="Times New Roman" w:cs="Times New Roman"/>
                <w:color w:val="000000"/>
              </w:rPr>
            </w:pPr>
            <w:r w:rsidRPr="005239BD">
              <w:rPr>
                <w:rFonts w:eastAsia="Times New Roman" w:cs="Times New Roman"/>
                <w:color w:val="000000"/>
                <w:lang w:val="nl-NL"/>
              </w:rPr>
              <w:t>Tổng mức dư nợ cho vay đối với khách hàng là pháp nhân, cá nhân không phải là thành viên không được vượt quá số dư của hợp đồng tiền gửi, sổ tiết kiệm.</w:t>
            </w:r>
          </w:p>
          <w:p w14:paraId="58C1EBD9" w14:textId="77777777" w:rsidR="00070B8F" w:rsidRPr="005239BD" w:rsidRDefault="00070B8F" w:rsidP="005239BD">
            <w:pPr>
              <w:spacing w:after="120" w:line="234" w:lineRule="atLeast"/>
              <w:ind w:right="0"/>
              <w:rPr>
                <w:rFonts w:eastAsia="Times New Roman" w:cs="Times New Roman"/>
                <w:color w:val="000000"/>
                <w:lang w:val="vi-VN"/>
              </w:rPr>
            </w:pPr>
            <w:r w:rsidRPr="005239BD">
              <w:rPr>
                <w:rFonts w:eastAsia="Times New Roman" w:cs="Times New Roman"/>
                <w:color w:val="000000"/>
                <w:lang w:val="vi-VN"/>
              </w:rPr>
              <w:t>5. Các giới hạn quy định tại điểm b khoản 1 Điều này không áp dụng đối với:</w:t>
            </w:r>
          </w:p>
          <w:p w14:paraId="2281CD68" w14:textId="77777777" w:rsidR="00070B8F" w:rsidRPr="005239BD" w:rsidRDefault="00070B8F" w:rsidP="005239BD">
            <w:pPr>
              <w:spacing w:after="120" w:line="234" w:lineRule="atLeast"/>
              <w:ind w:right="0"/>
              <w:rPr>
                <w:rFonts w:eastAsia="Times New Roman" w:cs="Times New Roman"/>
                <w:color w:val="000000"/>
                <w:lang w:val="vi-VN"/>
              </w:rPr>
            </w:pPr>
            <w:r w:rsidRPr="005239BD">
              <w:rPr>
                <w:rFonts w:eastAsia="Times New Roman" w:cs="Times New Roman"/>
                <w:color w:val="000000"/>
                <w:lang w:val="vi-VN"/>
              </w:rPr>
              <w:t>a) Khoản cho vay từ nguồn vốn ủy thác của tổ chức, cá nhân mà quỹ tín dụng nhân dân nhận ủy thác không chịu rủi ro;</w:t>
            </w:r>
          </w:p>
          <w:p w14:paraId="2F61941C" w14:textId="14D8377F" w:rsidR="00070B8F" w:rsidRPr="005239BD" w:rsidRDefault="00070B8F" w:rsidP="005239BD">
            <w:pPr>
              <w:spacing w:after="120" w:line="234" w:lineRule="atLeast"/>
              <w:ind w:right="0"/>
              <w:rPr>
                <w:b/>
                <w:lang w:val="nb-NO"/>
              </w:rPr>
            </w:pPr>
            <w:r w:rsidRPr="005239BD">
              <w:rPr>
                <w:rFonts w:eastAsia="Times New Roman" w:cs="Times New Roman"/>
                <w:color w:val="000000"/>
                <w:lang w:val="vi-VN"/>
              </w:rPr>
              <w:t xml:space="preserve">b) Các khoản cho vay </w:t>
            </w:r>
            <w:r w:rsidRPr="001D6C23">
              <w:rPr>
                <w:rFonts w:eastAsia="Times New Roman"/>
                <w:color w:val="000000"/>
                <w:u w:val="single"/>
                <w:lang w:val="vi-VN"/>
              </w:rPr>
              <w:t>có</w:t>
            </w:r>
            <w:r w:rsidRPr="005239BD">
              <w:rPr>
                <w:rFonts w:eastAsia="Times New Roman" w:cs="Times New Roman"/>
                <w:color w:val="000000"/>
                <w:lang w:val="vi-VN"/>
              </w:rPr>
              <w:t xml:space="preserve"> bảo đảm toàn bộ bằng tiền gửi tại chính quỹ tín dụng nhân dân.</w:t>
            </w:r>
          </w:p>
        </w:tc>
        <w:tc>
          <w:tcPr>
            <w:tcW w:w="5386" w:type="dxa"/>
          </w:tcPr>
          <w:p w14:paraId="5F8022C8" w14:textId="77777777" w:rsidR="00070B8F" w:rsidRPr="00143BF7" w:rsidRDefault="00070B8F" w:rsidP="005239BD">
            <w:pPr>
              <w:spacing w:before="120" w:after="120"/>
              <w:ind w:right="0"/>
              <w:rPr>
                <w:rFonts w:eastAsia="Times New Roman" w:cs="Times New Roman"/>
                <w:lang w:val="nb-NO"/>
              </w:rPr>
            </w:pPr>
            <w:r w:rsidRPr="004D2DB9">
              <w:rPr>
                <w:rFonts w:eastAsia="Times New Roman" w:cs="Times New Roman"/>
                <w:i/>
                <w:shd w:val="clear" w:color="auto" w:fill="FFFFFF"/>
                <w:lang w:val="nl-NL"/>
              </w:rPr>
              <w:t>4</w:t>
            </w:r>
            <w:r w:rsidRPr="004D2DB9">
              <w:rPr>
                <w:rFonts w:eastAsia="Times New Roman"/>
                <w:i/>
                <w:shd w:val="clear" w:color="auto" w:fill="FFFFFF"/>
                <w:lang w:val="nl-NL"/>
              </w:rPr>
              <w:t>.</w:t>
            </w:r>
            <w:r w:rsidRPr="005239BD">
              <w:rPr>
                <w:rFonts w:eastAsia="Times New Roman"/>
                <w:shd w:val="clear" w:color="auto" w:fill="FFFFFF"/>
                <w:lang w:val="vi-VN"/>
              </w:rPr>
              <w:t> </w:t>
            </w:r>
            <w:r w:rsidRPr="005239BD">
              <w:rPr>
                <w:rFonts w:eastAsia="Times New Roman"/>
                <w:lang w:val="nl-NL"/>
              </w:rPr>
              <w:t>Tổng mức dư nợ cho vay đối với một thành viên là pháp nhân không được vượt quá tổng số vốn góp và số dư tiền gửi của pháp nhân đó tại quỹ tín dụng nhân dân tại mọi thời điểm.</w:t>
            </w:r>
          </w:p>
          <w:p w14:paraId="51C331BD" w14:textId="14978818" w:rsidR="00070B8F" w:rsidRPr="00143BF7" w:rsidRDefault="004020EA" w:rsidP="005239BD">
            <w:pPr>
              <w:spacing w:before="120" w:after="120"/>
              <w:ind w:right="0"/>
              <w:rPr>
                <w:rFonts w:eastAsia="Times New Roman" w:cs="Times New Roman"/>
                <w:lang w:val="nb-NO"/>
              </w:rPr>
            </w:pPr>
            <w:r w:rsidRPr="005239BD">
              <w:rPr>
                <w:rFonts w:eastAsia="Times New Roman"/>
                <w:i/>
                <w:lang w:val="nl-NL"/>
              </w:rPr>
              <w:t>5.</w:t>
            </w:r>
            <w:r w:rsidRPr="005239BD">
              <w:rPr>
                <w:rFonts w:eastAsia="Times New Roman"/>
                <w:lang w:val="nl-NL"/>
              </w:rPr>
              <w:t xml:space="preserve"> </w:t>
            </w:r>
            <w:r w:rsidR="00070B8F" w:rsidRPr="005239BD">
              <w:rPr>
                <w:rFonts w:eastAsia="Times New Roman"/>
                <w:lang w:val="nl-NL"/>
              </w:rPr>
              <w:t>Tổng mức dư nợ cho vay đối với khách hàng là pháp nhân, cá nhân không phải là thành viên không được vượt quá số dư của hợp đồng tiền gửi, sổ tiết kiệm</w:t>
            </w:r>
            <w:r w:rsidR="00B40460">
              <w:rPr>
                <w:rFonts w:eastAsia="Times New Roman"/>
                <w:lang w:val="nl-NL"/>
              </w:rPr>
              <w:t xml:space="preserve"> </w:t>
            </w:r>
            <w:r w:rsidR="00B40460" w:rsidRPr="001D6C23">
              <w:rPr>
                <w:rFonts w:eastAsia="Times New Roman"/>
                <w:i/>
                <w:lang w:val="nl-NL"/>
              </w:rPr>
              <w:t>tại mọi thời điểm</w:t>
            </w:r>
            <w:r w:rsidR="00070B8F" w:rsidRPr="005239BD">
              <w:rPr>
                <w:rFonts w:eastAsia="Times New Roman"/>
                <w:lang w:val="nl-NL"/>
              </w:rPr>
              <w:t>.</w:t>
            </w:r>
          </w:p>
          <w:p w14:paraId="48580CC1" w14:textId="40D1274A" w:rsidR="00070B8F" w:rsidRPr="005239BD" w:rsidRDefault="004020EA" w:rsidP="005239BD">
            <w:pPr>
              <w:spacing w:after="120" w:line="234" w:lineRule="atLeast"/>
              <w:ind w:right="0"/>
              <w:rPr>
                <w:rFonts w:eastAsia="Times New Roman" w:cs="Times New Roman"/>
                <w:lang w:val="vi-VN"/>
              </w:rPr>
            </w:pPr>
            <w:r w:rsidRPr="00143BF7">
              <w:rPr>
                <w:rFonts w:eastAsia="Times New Roman"/>
                <w:lang w:val="nb-NO"/>
              </w:rPr>
              <w:t>6</w:t>
            </w:r>
            <w:r w:rsidR="00070B8F" w:rsidRPr="005239BD">
              <w:rPr>
                <w:rFonts w:eastAsia="Times New Roman"/>
                <w:lang w:val="vi-VN"/>
              </w:rPr>
              <w:t>. Các giới hạn quy định tại điểm b khoản 1 Điều này không áp dụng đối với:</w:t>
            </w:r>
          </w:p>
          <w:p w14:paraId="74EE33EF" w14:textId="77777777" w:rsidR="00070B8F" w:rsidRPr="005239BD" w:rsidRDefault="00070B8F" w:rsidP="005239BD">
            <w:pPr>
              <w:spacing w:after="120" w:line="234" w:lineRule="atLeast"/>
              <w:ind w:right="0"/>
              <w:rPr>
                <w:rFonts w:eastAsia="Times New Roman" w:cs="Times New Roman"/>
                <w:lang w:val="vi-VN"/>
              </w:rPr>
            </w:pPr>
            <w:r w:rsidRPr="005239BD">
              <w:rPr>
                <w:rFonts w:eastAsia="Times New Roman"/>
                <w:lang w:val="vi-VN"/>
              </w:rPr>
              <w:t>a) Khoản cho vay từ nguồn vốn ủy thác của tổ chức, cá nhân mà quỹ tín dụng nhân dân nhận ủy thác không chịu rủi ro;</w:t>
            </w:r>
          </w:p>
          <w:p w14:paraId="4D7BB962" w14:textId="04289EE7" w:rsidR="00070B8F" w:rsidRPr="00143BF7" w:rsidRDefault="00070B8F">
            <w:pPr>
              <w:spacing w:after="120" w:line="234" w:lineRule="atLeast"/>
              <w:ind w:right="0"/>
              <w:rPr>
                <w:rFonts w:eastAsiaTheme="majorEastAsia"/>
                <w:b/>
                <w:lang w:val="vi-VN"/>
              </w:rPr>
            </w:pPr>
            <w:r w:rsidRPr="005239BD">
              <w:rPr>
                <w:rFonts w:eastAsia="Times New Roman"/>
                <w:lang w:val="vi-VN"/>
              </w:rPr>
              <w:t xml:space="preserve">b) Các khoản cho vay </w:t>
            </w:r>
            <w:r w:rsidR="00183AF7" w:rsidRPr="001D6C23">
              <w:rPr>
                <w:rFonts w:eastAsia="Times New Roman"/>
                <w:i/>
              </w:rPr>
              <w:t>được</w:t>
            </w:r>
            <w:r w:rsidR="00183AF7" w:rsidRPr="005239BD">
              <w:rPr>
                <w:rFonts w:eastAsia="Times New Roman"/>
                <w:lang w:val="vi-VN"/>
              </w:rPr>
              <w:t xml:space="preserve"> </w:t>
            </w:r>
            <w:r w:rsidRPr="005239BD">
              <w:rPr>
                <w:rFonts w:eastAsia="Times New Roman"/>
                <w:lang w:val="vi-VN"/>
              </w:rPr>
              <w:t>bảo đảm toàn bộ bằng tiền gửi tại chính quỹ tín dụng nhân dân.</w:t>
            </w:r>
          </w:p>
        </w:tc>
        <w:tc>
          <w:tcPr>
            <w:tcW w:w="3969" w:type="dxa"/>
          </w:tcPr>
          <w:p w14:paraId="1E83BBD2" w14:textId="605ADA94" w:rsidR="00070B8F" w:rsidRPr="005239BD" w:rsidRDefault="00070B8F" w:rsidP="005239BD">
            <w:pPr>
              <w:ind w:right="0"/>
              <w:rPr>
                <w:noProof/>
                <w:lang w:val="nl-NL"/>
              </w:rPr>
            </w:pPr>
            <w:r w:rsidRPr="005239BD">
              <w:rPr>
                <w:noProof/>
                <w:lang w:val="nl-NL"/>
              </w:rPr>
              <w:t>Kế thừa nội dung.</w:t>
            </w:r>
            <w:r w:rsidR="004020EA" w:rsidRPr="005239BD">
              <w:rPr>
                <w:noProof/>
                <w:lang w:val="nl-NL"/>
              </w:rPr>
              <w:t xml:space="preserve"> Tách thành 2 khoản 4 và 5 cho rõ ràng.</w:t>
            </w:r>
          </w:p>
        </w:tc>
      </w:tr>
      <w:tr w:rsidR="00250554" w:rsidRPr="00AC5DD8" w14:paraId="51B72723" w14:textId="77777777" w:rsidTr="004141EF">
        <w:tc>
          <w:tcPr>
            <w:tcW w:w="680" w:type="dxa"/>
            <w:vAlign w:val="center"/>
          </w:tcPr>
          <w:p w14:paraId="6AC60F31" w14:textId="1CB6FB36" w:rsidR="00250554" w:rsidRPr="005239BD" w:rsidRDefault="00250554">
            <w:pPr>
              <w:spacing w:before="120" w:after="120"/>
              <w:ind w:right="0"/>
              <w:jc w:val="center"/>
              <w:rPr>
                <w:b/>
                <w:iCs/>
                <w:noProof/>
              </w:rPr>
            </w:pPr>
            <w:r w:rsidRPr="005239BD">
              <w:rPr>
                <w:b/>
                <w:iCs/>
                <w:noProof/>
              </w:rPr>
              <w:t>1</w:t>
            </w:r>
            <w:r w:rsidR="00622FAA">
              <w:rPr>
                <w:b/>
                <w:iCs/>
                <w:noProof/>
              </w:rPr>
              <w:t>3</w:t>
            </w:r>
          </w:p>
        </w:tc>
        <w:tc>
          <w:tcPr>
            <w:tcW w:w="5416" w:type="dxa"/>
          </w:tcPr>
          <w:p w14:paraId="309D952C" w14:textId="77777777" w:rsidR="00250554" w:rsidRPr="005239BD" w:rsidRDefault="00250554" w:rsidP="005239BD">
            <w:pPr>
              <w:ind w:right="0"/>
              <w:rPr>
                <w:rFonts w:eastAsia="Times New Roman" w:cs="Times New Roman"/>
                <w:color w:val="000000"/>
              </w:rPr>
            </w:pPr>
            <w:r w:rsidRPr="005239BD">
              <w:rPr>
                <w:rFonts w:eastAsia="Times New Roman"/>
                <w:b/>
                <w:bCs/>
                <w:color w:val="000000"/>
                <w:lang w:val="nl-NL"/>
              </w:rPr>
              <w:t>Điều 8a. Quỹ tín dụng nhân dân có nguy cơ mất khả năng chi trả, mất khả năng chi trả.</w:t>
            </w:r>
          </w:p>
          <w:p w14:paraId="4B41BDE4" w14:textId="77777777" w:rsidR="00250554" w:rsidRPr="005239BD" w:rsidRDefault="00250554" w:rsidP="005239BD">
            <w:pPr>
              <w:ind w:right="0"/>
              <w:rPr>
                <w:rFonts w:eastAsia="Times New Roman"/>
                <w:b/>
                <w:bCs/>
                <w:color w:val="000000"/>
                <w:lang w:val="nl-NL"/>
              </w:rPr>
            </w:pPr>
          </w:p>
        </w:tc>
        <w:tc>
          <w:tcPr>
            <w:tcW w:w="5386" w:type="dxa"/>
          </w:tcPr>
          <w:p w14:paraId="341EADAB" w14:textId="1F20B399" w:rsidR="00250554" w:rsidRPr="00143BF7" w:rsidRDefault="00250554" w:rsidP="005239BD">
            <w:pPr>
              <w:spacing w:before="120" w:after="120" w:line="234" w:lineRule="atLeast"/>
              <w:ind w:right="33"/>
              <w:rPr>
                <w:rFonts w:eastAsiaTheme="majorEastAsia"/>
                <w:b/>
                <w:lang w:val="nl-NL"/>
              </w:rPr>
            </w:pPr>
            <w:r w:rsidRPr="00143BF7">
              <w:rPr>
                <w:rFonts w:eastAsiaTheme="majorEastAsia"/>
                <w:b/>
                <w:lang w:val="nl-NL"/>
              </w:rPr>
              <w:t>Điều 1</w:t>
            </w:r>
            <w:r w:rsidR="00866A74" w:rsidRPr="00143BF7">
              <w:rPr>
                <w:rFonts w:eastAsiaTheme="majorEastAsia"/>
                <w:b/>
                <w:lang w:val="nl-NL"/>
              </w:rPr>
              <w:t>3</w:t>
            </w:r>
            <w:r w:rsidRPr="00143BF7">
              <w:rPr>
                <w:rFonts w:eastAsiaTheme="majorEastAsia"/>
                <w:b/>
                <w:lang w:val="nl-NL"/>
              </w:rPr>
              <w:t xml:space="preserve">. </w:t>
            </w:r>
            <w:r w:rsidRPr="005239BD">
              <w:rPr>
                <w:rFonts w:eastAsia="Times New Roman"/>
                <w:b/>
                <w:bCs/>
                <w:lang w:val="nl-NL"/>
              </w:rPr>
              <w:t>Quỹ tín dụng nhân dân có nguy cơ mất khả năng chi trả, mất khả năng chi trả.</w:t>
            </w:r>
          </w:p>
        </w:tc>
        <w:tc>
          <w:tcPr>
            <w:tcW w:w="3969" w:type="dxa"/>
          </w:tcPr>
          <w:p w14:paraId="17F94ACC" w14:textId="77777777" w:rsidR="00250554" w:rsidRPr="005239BD" w:rsidRDefault="00250554" w:rsidP="005239BD">
            <w:pPr>
              <w:ind w:right="0"/>
              <w:rPr>
                <w:noProof/>
                <w:lang w:val="nl-NL"/>
              </w:rPr>
            </w:pPr>
          </w:p>
        </w:tc>
      </w:tr>
      <w:tr w:rsidR="00070B8F" w:rsidRPr="00AC5DD8" w14:paraId="5C535AD8" w14:textId="77777777" w:rsidTr="00966634">
        <w:tc>
          <w:tcPr>
            <w:tcW w:w="680" w:type="dxa"/>
            <w:vAlign w:val="center"/>
          </w:tcPr>
          <w:p w14:paraId="18869546" w14:textId="32D01212" w:rsidR="00070B8F" w:rsidRPr="005239BD" w:rsidRDefault="00070B8F" w:rsidP="005239BD">
            <w:pPr>
              <w:spacing w:before="120" w:after="120"/>
              <w:ind w:right="0"/>
              <w:jc w:val="center"/>
              <w:rPr>
                <w:iCs/>
                <w:noProof/>
              </w:rPr>
            </w:pPr>
            <w:r w:rsidRPr="005239BD">
              <w:rPr>
                <w:iCs/>
                <w:noProof/>
              </w:rPr>
              <w:t>1</w:t>
            </w:r>
            <w:r w:rsidR="00622FAA">
              <w:rPr>
                <w:iCs/>
                <w:noProof/>
              </w:rPr>
              <w:t>3</w:t>
            </w:r>
            <w:r w:rsidRPr="005239BD">
              <w:rPr>
                <w:iCs/>
                <w:noProof/>
              </w:rPr>
              <w:t>.1</w:t>
            </w:r>
          </w:p>
        </w:tc>
        <w:tc>
          <w:tcPr>
            <w:tcW w:w="5416" w:type="dxa"/>
          </w:tcPr>
          <w:p w14:paraId="74B97F1B" w14:textId="77777777" w:rsidR="00070B8F" w:rsidRPr="005239BD" w:rsidRDefault="00070B8F" w:rsidP="005239BD">
            <w:pPr>
              <w:spacing w:after="120" w:line="234" w:lineRule="atLeast"/>
              <w:ind w:right="0"/>
              <w:rPr>
                <w:rFonts w:eastAsia="Times New Roman" w:cs="Times New Roman"/>
                <w:color w:val="000000"/>
                <w:lang w:val="vi-VN"/>
              </w:rPr>
            </w:pPr>
            <w:r w:rsidRPr="005239BD">
              <w:rPr>
                <w:rFonts w:eastAsia="Times New Roman" w:cs="Times New Roman"/>
                <w:color w:val="000000"/>
                <w:lang w:val="vi-VN"/>
              </w:rPr>
              <w:t xml:space="preserve">1. Quỹ tín dụng nhân dân có nguy cơ mất khả năng chi trả </w:t>
            </w:r>
            <w:r w:rsidRPr="00143BF7">
              <w:rPr>
                <w:rFonts w:eastAsia="Times New Roman"/>
                <w:color w:val="000000"/>
                <w:lang w:val="vi-VN"/>
              </w:rPr>
              <w:t xml:space="preserve">khi thiếu hụt Tài sản “Có” có thể thanh toán </w:t>
            </w:r>
            <w:r w:rsidRPr="00450C5A">
              <w:rPr>
                <w:rFonts w:eastAsia="Times New Roman"/>
                <w:color w:val="000000"/>
                <w:u w:val="single"/>
                <w:lang w:val="vi-VN"/>
              </w:rPr>
              <w:t>ngay ở mức 20% trở lên</w:t>
            </w:r>
            <w:r w:rsidRPr="00143BF7">
              <w:rPr>
                <w:rFonts w:eastAsia="Times New Roman"/>
                <w:color w:val="000000"/>
                <w:lang w:val="vi-VN"/>
              </w:rPr>
              <w:t xml:space="preserve"> tại thời điểm tính toán tỷ lệ khả năng </w:t>
            </w:r>
            <w:r w:rsidRPr="00143BF7">
              <w:rPr>
                <w:rFonts w:eastAsia="Times New Roman"/>
                <w:color w:val="000000"/>
                <w:lang w:val="vi-VN"/>
              </w:rPr>
              <w:lastRenderedPageBreak/>
              <w:t xml:space="preserve">chi trả </w:t>
            </w:r>
            <w:r w:rsidRPr="0044479E">
              <w:rPr>
                <w:rFonts w:eastAsia="Times New Roman"/>
                <w:color w:val="000000"/>
                <w:u w:val="single"/>
                <w:lang w:val="vi-VN"/>
              </w:rPr>
              <w:t>dẫn đến không duy trì được</w:t>
            </w:r>
            <w:r w:rsidRPr="00143BF7">
              <w:rPr>
                <w:rFonts w:eastAsia="Times New Roman"/>
                <w:color w:val="000000"/>
                <w:lang w:val="vi-VN"/>
              </w:rPr>
              <w:t xml:space="preserve"> tỷ lệ khả năng chi trả theo quy định tại Thông tư này </w:t>
            </w:r>
            <w:r w:rsidRPr="005239BD">
              <w:rPr>
                <w:rFonts w:eastAsia="Times New Roman" w:cs="Times New Roman"/>
                <w:color w:val="000000"/>
                <w:lang w:val="vi-VN"/>
              </w:rPr>
              <w:t>trong thời gian 30 ngày liên tục.</w:t>
            </w:r>
          </w:p>
          <w:p w14:paraId="7E195FD7" w14:textId="0B4E2247" w:rsidR="00070B8F" w:rsidRPr="005239BD" w:rsidDel="003D0C38" w:rsidRDefault="00070B8F" w:rsidP="005239BD">
            <w:pPr>
              <w:spacing w:after="120" w:line="234" w:lineRule="atLeast"/>
              <w:ind w:right="0"/>
              <w:rPr>
                <w:rFonts w:eastAsia="Times New Roman"/>
                <w:b/>
                <w:bCs/>
                <w:color w:val="000000"/>
                <w:lang w:val="nl-NL"/>
              </w:rPr>
            </w:pPr>
            <w:r w:rsidRPr="005239BD">
              <w:rPr>
                <w:rFonts w:eastAsia="Times New Roman" w:cs="Times New Roman"/>
                <w:color w:val="000000"/>
                <w:lang w:val="vi-VN"/>
              </w:rPr>
              <w:t xml:space="preserve">2. Quỹ tín dụng nhân dân mất khả năng chi trả khi </w:t>
            </w:r>
            <w:r w:rsidRPr="00143BF7">
              <w:rPr>
                <w:rFonts w:eastAsia="Times New Roman"/>
                <w:color w:val="000000"/>
                <w:lang w:val="vi-VN"/>
              </w:rPr>
              <w:t xml:space="preserve">không </w:t>
            </w:r>
            <w:r w:rsidRPr="005A502B">
              <w:rPr>
                <w:rFonts w:eastAsia="Times New Roman"/>
                <w:color w:val="000000"/>
                <w:u w:val="single"/>
                <w:lang w:val="vi-VN"/>
              </w:rPr>
              <w:t>có khả năng</w:t>
            </w:r>
            <w:r w:rsidRPr="009167DE">
              <w:rPr>
                <w:rFonts w:eastAsia="Times New Roman" w:cs="Times New Roman"/>
                <w:color w:val="000000"/>
                <w:lang w:val="vi-VN"/>
              </w:rPr>
              <w:t xml:space="preserve"> thực hiện</w:t>
            </w:r>
            <w:r w:rsidRPr="005239BD">
              <w:rPr>
                <w:rFonts w:eastAsia="Times New Roman" w:cs="Times New Roman"/>
                <w:color w:val="000000"/>
                <w:lang w:val="vi-VN"/>
              </w:rPr>
              <w:t xml:space="preserve"> thanh toán nghĩa vụ nợ trong thời gian 01 tháng kể từ ngày đến hạn thanh toán.</w:t>
            </w:r>
          </w:p>
        </w:tc>
        <w:tc>
          <w:tcPr>
            <w:tcW w:w="5386" w:type="dxa"/>
          </w:tcPr>
          <w:p w14:paraId="60DF1D7F" w14:textId="13CF31A4" w:rsidR="00070B8F" w:rsidRPr="00143BF7" w:rsidRDefault="00070B8F" w:rsidP="005239BD">
            <w:pPr>
              <w:spacing w:after="120" w:line="234" w:lineRule="atLeast"/>
              <w:ind w:right="0"/>
              <w:rPr>
                <w:rFonts w:eastAsia="Times New Roman" w:cs="Times New Roman"/>
                <w:lang w:val="nl-NL"/>
              </w:rPr>
            </w:pPr>
            <w:r w:rsidRPr="005239BD">
              <w:rPr>
                <w:rFonts w:eastAsia="Times New Roman"/>
                <w:lang w:val="vi-VN"/>
              </w:rPr>
              <w:lastRenderedPageBreak/>
              <w:t xml:space="preserve">1. Quỹ tín dụng nhân dân có nguy cơ mất khả năng chi trả </w:t>
            </w:r>
            <w:r w:rsidRPr="00143BF7">
              <w:rPr>
                <w:rFonts w:eastAsia="Times New Roman"/>
                <w:lang w:val="vi-VN"/>
              </w:rPr>
              <w:t xml:space="preserve">khi </w:t>
            </w:r>
            <w:r w:rsidR="007A00D0" w:rsidRPr="00143BF7">
              <w:rPr>
                <w:rFonts w:eastAsia="Times New Roman"/>
                <w:lang w:val="nl-NL"/>
              </w:rPr>
              <w:t xml:space="preserve">thiếu hụt </w:t>
            </w:r>
            <w:r w:rsidR="00450C5A" w:rsidRPr="00143BF7">
              <w:rPr>
                <w:rFonts w:eastAsia="Times New Roman"/>
                <w:i/>
                <w:lang w:val="nl-NL"/>
              </w:rPr>
              <w:t>20% trở lên</w:t>
            </w:r>
            <w:r w:rsidR="00450C5A" w:rsidRPr="00143BF7">
              <w:rPr>
                <w:rFonts w:eastAsia="Times New Roman"/>
                <w:lang w:val="nl-NL"/>
              </w:rPr>
              <w:t xml:space="preserve"> </w:t>
            </w:r>
            <w:r w:rsidR="007A00D0" w:rsidRPr="00143BF7">
              <w:rPr>
                <w:rFonts w:eastAsia="Times New Roman"/>
                <w:lang w:val="nl-NL"/>
              </w:rPr>
              <w:t xml:space="preserve">Tài sản “Có” có thể thanh toán ngay </w:t>
            </w:r>
            <w:r w:rsidR="0044479E" w:rsidRPr="00143BF7">
              <w:rPr>
                <w:rFonts w:eastAsia="Times New Roman"/>
                <w:lang w:val="nl-NL"/>
              </w:rPr>
              <w:t>tại thời điểm tính toán tỷ lệ khả năng chi trả</w:t>
            </w:r>
            <w:r w:rsidR="007A00D0" w:rsidRPr="00143BF7">
              <w:rPr>
                <w:rFonts w:eastAsia="Times New Roman"/>
                <w:i/>
                <w:lang w:val="nl-NL"/>
              </w:rPr>
              <w:t xml:space="preserve"> </w:t>
            </w:r>
            <w:r w:rsidR="007A00D0" w:rsidRPr="00143BF7">
              <w:rPr>
                <w:rFonts w:eastAsia="Times New Roman"/>
                <w:i/>
                <w:lang w:val="nl-NL"/>
              </w:rPr>
              <w:lastRenderedPageBreak/>
              <w:t>so với</w:t>
            </w:r>
            <w:r w:rsidR="00CF12C6" w:rsidRPr="00143BF7">
              <w:rPr>
                <w:rFonts w:eastAsia="Times New Roman"/>
                <w:i/>
                <w:lang w:val="nl-NL"/>
              </w:rPr>
              <w:t xml:space="preserve"> mức tối thiểu của</w:t>
            </w:r>
            <w:r w:rsidR="007A00D0" w:rsidRPr="00143BF7">
              <w:rPr>
                <w:rFonts w:eastAsia="Times New Roman"/>
                <w:i/>
                <w:lang w:val="nl-NL"/>
              </w:rPr>
              <w:t xml:space="preserve"> Tài sản “Có” có thể thanh toán</w:t>
            </w:r>
            <w:r w:rsidR="0044479E" w:rsidRPr="00143BF7">
              <w:rPr>
                <w:rFonts w:eastAsia="Times New Roman"/>
                <w:i/>
                <w:lang w:val="nl-NL"/>
              </w:rPr>
              <w:t xml:space="preserve"> ngay</w:t>
            </w:r>
            <w:r w:rsidR="007A00D0" w:rsidRPr="00143BF7">
              <w:rPr>
                <w:rFonts w:eastAsia="Times New Roman"/>
                <w:i/>
                <w:lang w:val="nl-NL"/>
              </w:rPr>
              <w:t xml:space="preserve"> để tuân thủ </w:t>
            </w:r>
            <w:r w:rsidR="007A00D0" w:rsidRPr="00143BF7">
              <w:rPr>
                <w:rFonts w:eastAsia="Times New Roman"/>
                <w:lang w:val="nl-NL"/>
              </w:rPr>
              <w:t>tỷ lệ khả năng chi trả theo quy định tại Thông tư này trong thời gian 30 ngày liên tục.</w:t>
            </w:r>
          </w:p>
          <w:p w14:paraId="2E7EAAE6" w14:textId="7B31950C" w:rsidR="00070B8F" w:rsidRPr="00143BF7" w:rsidDel="003D0C38" w:rsidRDefault="00070B8F" w:rsidP="005239BD">
            <w:pPr>
              <w:spacing w:after="120" w:line="234" w:lineRule="atLeast"/>
              <w:ind w:right="0"/>
              <w:rPr>
                <w:rFonts w:eastAsiaTheme="majorEastAsia"/>
                <w:b/>
                <w:lang w:val="vi-VN"/>
              </w:rPr>
            </w:pPr>
            <w:r w:rsidRPr="005239BD">
              <w:rPr>
                <w:rFonts w:eastAsia="Times New Roman"/>
                <w:lang w:val="vi-VN"/>
              </w:rPr>
              <w:t xml:space="preserve">2. Quỹ tín dụng nhân dân mất khả năng chi trả khi </w:t>
            </w:r>
            <w:r w:rsidRPr="00143BF7">
              <w:rPr>
                <w:rFonts w:eastAsia="Times New Roman"/>
                <w:lang w:val="vi-VN"/>
              </w:rPr>
              <w:t>không thực hiện</w:t>
            </w:r>
            <w:r w:rsidRPr="005239BD">
              <w:rPr>
                <w:rFonts w:eastAsia="Times New Roman"/>
                <w:lang w:val="vi-VN"/>
              </w:rPr>
              <w:t xml:space="preserve"> thanh toán nghĩa vụ nợ trong thời gian 01 tháng kể từ ngày đến hạn thanh toán.</w:t>
            </w:r>
          </w:p>
        </w:tc>
        <w:tc>
          <w:tcPr>
            <w:tcW w:w="3969" w:type="dxa"/>
          </w:tcPr>
          <w:p w14:paraId="4A2ED254" w14:textId="00327673" w:rsidR="00070B8F" w:rsidRDefault="000840BE" w:rsidP="005239BD">
            <w:pPr>
              <w:ind w:right="0"/>
              <w:rPr>
                <w:noProof/>
                <w:lang w:val="nl-NL"/>
              </w:rPr>
            </w:pPr>
            <w:r>
              <w:rPr>
                <w:noProof/>
                <w:lang w:val="nl-NL"/>
              </w:rPr>
              <w:lastRenderedPageBreak/>
              <w:t xml:space="preserve">1. </w:t>
            </w:r>
            <w:r w:rsidR="00966634" w:rsidRPr="005239BD">
              <w:rPr>
                <w:noProof/>
                <w:lang w:val="nl-NL"/>
              </w:rPr>
              <w:t xml:space="preserve">Chỉnh sửa để </w:t>
            </w:r>
            <w:r w:rsidR="00392C59">
              <w:rPr>
                <w:noProof/>
                <w:lang w:val="nl-NL"/>
              </w:rPr>
              <w:t xml:space="preserve">quy định rõ việc thiếu hụt 20% trở lên so với </w:t>
            </w:r>
            <w:r w:rsidR="00392C59" w:rsidRPr="00392C59">
              <w:rPr>
                <w:noProof/>
                <w:lang w:val="nl-NL"/>
              </w:rPr>
              <w:t xml:space="preserve">Tài sản “Có” có </w:t>
            </w:r>
            <w:r w:rsidR="00392C59" w:rsidRPr="00392C59">
              <w:rPr>
                <w:noProof/>
                <w:lang w:val="nl-NL"/>
              </w:rPr>
              <w:lastRenderedPageBreak/>
              <w:t>thể thanh toán ngay tối thiểu để tuân thủ tỷ lệ khả năng chi trả</w:t>
            </w:r>
            <w:r w:rsidR="00392C59">
              <w:rPr>
                <w:noProof/>
                <w:lang w:val="nl-NL"/>
              </w:rPr>
              <w:t>.</w:t>
            </w:r>
          </w:p>
          <w:p w14:paraId="2AF6D280" w14:textId="77777777" w:rsidR="000840BE" w:rsidRDefault="000840BE" w:rsidP="005239BD">
            <w:pPr>
              <w:ind w:right="0"/>
              <w:rPr>
                <w:noProof/>
                <w:lang w:val="nl-NL"/>
              </w:rPr>
            </w:pPr>
          </w:p>
          <w:p w14:paraId="59F63F3C" w14:textId="77777777" w:rsidR="000840BE" w:rsidRDefault="000840BE" w:rsidP="005239BD">
            <w:pPr>
              <w:ind w:right="0"/>
              <w:rPr>
                <w:noProof/>
                <w:lang w:val="nl-NL"/>
              </w:rPr>
            </w:pPr>
          </w:p>
          <w:p w14:paraId="4C6F13B1" w14:textId="2EAFFEBB" w:rsidR="00F87236" w:rsidRPr="005239BD" w:rsidRDefault="000840BE" w:rsidP="005239BD">
            <w:pPr>
              <w:ind w:right="0"/>
              <w:rPr>
                <w:noProof/>
                <w:lang w:val="nl-NL"/>
              </w:rPr>
            </w:pPr>
            <w:r>
              <w:rPr>
                <w:noProof/>
                <w:lang w:val="nl-NL"/>
              </w:rPr>
              <w:t xml:space="preserve">2. </w:t>
            </w:r>
            <w:r w:rsidR="00D24CF7">
              <w:rPr>
                <w:noProof/>
                <w:lang w:val="nl-NL"/>
              </w:rPr>
              <w:t xml:space="preserve">Bỏ cụm từ “có khả năng”. Việc xem xét </w:t>
            </w:r>
            <w:r w:rsidR="00D24CF7" w:rsidRPr="005A502B">
              <w:rPr>
                <w:i/>
                <w:noProof/>
                <w:lang w:val="nl-NL"/>
              </w:rPr>
              <w:t>“khả năng”</w:t>
            </w:r>
            <w:r w:rsidR="00D24CF7">
              <w:rPr>
                <w:noProof/>
                <w:lang w:val="nl-NL"/>
              </w:rPr>
              <w:t xml:space="preserve"> chi trả phải được </w:t>
            </w:r>
            <w:r w:rsidR="00D005E1">
              <w:rPr>
                <w:noProof/>
                <w:lang w:val="nl-NL"/>
              </w:rPr>
              <w:t>đánh giá</w:t>
            </w:r>
            <w:r w:rsidR="00D24CF7">
              <w:rPr>
                <w:noProof/>
                <w:lang w:val="nl-NL"/>
              </w:rPr>
              <w:t xml:space="preserve"> trước thời điểm mất khả năng chi trả.</w:t>
            </w:r>
            <w:r w:rsidR="00D005E1">
              <w:rPr>
                <w:noProof/>
                <w:lang w:val="nl-NL"/>
              </w:rPr>
              <w:t xml:space="preserve"> Do đó, sau thời gian 01 tháng kể từ ngày đến hạn thanh toán, việc QTDND </w:t>
            </w:r>
            <w:r w:rsidR="00D005E1" w:rsidRPr="005A502B">
              <w:rPr>
                <w:i/>
                <w:noProof/>
                <w:lang w:val="nl-NL"/>
              </w:rPr>
              <w:t>không thực hiện</w:t>
            </w:r>
            <w:r w:rsidR="00D005E1">
              <w:rPr>
                <w:noProof/>
                <w:lang w:val="nl-NL"/>
              </w:rPr>
              <w:t xml:space="preserve"> thanh toán đồng nghĩa với mất khả năng chi trả.</w:t>
            </w:r>
          </w:p>
        </w:tc>
      </w:tr>
      <w:tr w:rsidR="00250554" w:rsidRPr="00AC5DD8" w14:paraId="5A4B2BE0" w14:textId="77777777" w:rsidTr="004141EF">
        <w:tc>
          <w:tcPr>
            <w:tcW w:w="680" w:type="dxa"/>
            <w:vAlign w:val="center"/>
          </w:tcPr>
          <w:p w14:paraId="468D066C" w14:textId="30CC1F08" w:rsidR="00250554" w:rsidRPr="005239BD" w:rsidRDefault="00250554" w:rsidP="005239BD">
            <w:pPr>
              <w:spacing w:before="120" w:after="120"/>
              <w:ind w:right="0"/>
              <w:jc w:val="center"/>
              <w:rPr>
                <w:iCs/>
                <w:noProof/>
              </w:rPr>
            </w:pPr>
            <w:r w:rsidRPr="005239BD">
              <w:rPr>
                <w:iCs/>
                <w:noProof/>
              </w:rPr>
              <w:lastRenderedPageBreak/>
              <w:t>1</w:t>
            </w:r>
            <w:r w:rsidR="00622FAA">
              <w:rPr>
                <w:iCs/>
                <w:noProof/>
              </w:rPr>
              <w:t>3</w:t>
            </w:r>
            <w:r w:rsidRPr="005239BD">
              <w:rPr>
                <w:iCs/>
                <w:noProof/>
              </w:rPr>
              <w:t>.2</w:t>
            </w:r>
          </w:p>
        </w:tc>
        <w:tc>
          <w:tcPr>
            <w:tcW w:w="5416" w:type="dxa"/>
          </w:tcPr>
          <w:p w14:paraId="2B3C44B6" w14:textId="7BB3FE37" w:rsidR="00250554" w:rsidRPr="005239BD" w:rsidRDefault="00250554" w:rsidP="005239BD">
            <w:pPr>
              <w:spacing w:after="120" w:line="234" w:lineRule="atLeast"/>
              <w:ind w:right="0"/>
              <w:rPr>
                <w:b/>
                <w:lang w:val="nb-NO"/>
              </w:rPr>
            </w:pPr>
            <w:r w:rsidRPr="005239BD">
              <w:rPr>
                <w:rFonts w:eastAsia="Times New Roman" w:cs="Times New Roman"/>
                <w:color w:val="000000"/>
                <w:lang w:val="vi-VN"/>
              </w:rPr>
              <w:t xml:space="preserve">3. Khi có nguy cơ mất khả năng chi trả, mất khả năng chi trả, Quỹ tín dụng nhân dân phải kịp thời báo cáo với </w:t>
            </w:r>
            <w:r w:rsidRPr="005239BD">
              <w:rPr>
                <w:rFonts w:eastAsia="Times New Roman"/>
                <w:color w:val="000000"/>
                <w:u w:val="single"/>
                <w:lang w:val="vi-VN"/>
              </w:rPr>
              <w:t>Ngân hàng Nhà nước chi nhánh tỉnh, thành phố</w:t>
            </w:r>
            <w:r w:rsidRPr="005239BD">
              <w:rPr>
                <w:rFonts w:eastAsia="Times New Roman" w:cs="Times New Roman"/>
                <w:color w:val="000000"/>
                <w:lang w:val="vi-VN"/>
              </w:rPr>
              <w:t xml:space="preserve"> và thông báo cho Ngân hàng Hợp tác xã chi nhánh về thực trạng, nguyên nhân, các biện pháp đã áp dụng, các biện pháp dự kiến áp dụng để khắc phục và các đề xuất, kiến nghị với </w:t>
            </w:r>
            <w:r w:rsidRPr="005239BD">
              <w:rPr>
                <w:rFonts w:eastAsia="Times New Roman"/>
                <w:color w:val="000000"/>
                <w:u w:val="single"/>
                <w:lang w:val="vi-VN"/>
              </w:rPr>
              <w:t>Ngân hàng Nhà nước chi nhánh tỉnh, thành phố</w:t>
            </w:r>
            <w:r w:rsidRPr="005239BD">
              <w:rPr>
                <w:rFonts w:eastAsia="Times New Roman" w:cs="Times New Roman"/>
                <w:color w:val="000000"/>
                <w:lang w:val="vi-VN"/>
              </w:rPr>
              <w:t xml:space="preserve"> (nếu có).</w:t>
            </w:r>
          </w:p>
        </w:tc>
        <w:tc>
          <w:tcPr>
            <w:tcW w:w="5386" w:type="dxa"/>
          </w:tcPr>
          <w:p w14:paraId="4224CE09" w14:textId="25497EF1" w:rsidR="00250554" w:rsidRPr="00143BF7" w:rsidRDefault="00250554">
            <w:pPr>
              <w:spacing w:after="120" w:line="234" w:lineRule="atLeast"/>
              <w:ind w:right="0"/>
              <w:rPr>
                <w:rFonts w:eastAsiaTheme="majorEastAsia"/>
                <w:b/>
                <w:lang w:val="nb-NO"/>
              </w:rPr>
            </w:pPr>
            <w:r w:rsidRPr="005239BD">
              <w:rPr>
                <w:rFonts w:eastAsia="Times New Roman"/>
                <w:lang w:val="vi-VN"/>
              </w:rPr>
              <w:t xml:space="preserve">3. Khi có nguy cơ mất khả năng chi trả, mất khả năng chi trả, </w:t>
            </w:r>
            <w:r w:rsidR="00436E9C">
              <w:rPr>
                <w:rFonts w:eastAsia="Times New Roman"/>
              </w:rPr>
              <w:t>q</w:t>
            </w:r>
            <w:r w:rsidR="00436E9C" w:rsidRPr="005239BD">
              <w:rPr>
                <w:rFonts w:eastAsia="Times New Roman"/>
                <w:lang w:val="vi-VN"/>
              </w:rPr>
              <w:t xml:space="preserve">uỹ </w:t>
            </w:r>
            <w:r w:rsidRPr="005239BD">
              <w:rPr>
                <w:rFonts w:eastAsia="Times New Roman"/>
                <w:lang w:val="vi-VN"/>
              </w:rPr>
              <w:t xml:space="preserve">tín dụng nhân dân phải kịp thời báo cáo với </w:t>
            </w:r>
            <w:r w:rsidRPr="005239BD">
              <w:rPr>
                <w:rFonts w:eastAsia="Times New Roman"/>
                <w:i/>
                <w:lang w:val="vi-VN"/>
              </w:rPr>
              <w:t xml:space="preserve">Ngân hàng Nhà nước chi nhánh </w:t>
            </w:r>
            <w:r w:rsidRPr="00143BF7">
              <w:rPr>
                <w:rFonts w:eastAsia="Times New Roman"/>
                <w:i/>
                <w:lang w:val="nb-NO"/>
              </w:rPr>
              <w:t>Khu vực</w:t>
            </w:r>
            <w:r w:rsidRPr="005239BD">
              <w:rPr>
                <w:rFonts w:eastAsia="Times New Roman"/>
                <w:lang w:val="vi-VN"/>
              </w:rPr>
              <w:t xml:space="preserve"> và thông báo cho Ngân hàng Hợp tác xã chi nhánh</w:t>
            </w:r>
            <w:r w:rsidR="00FE01A5">
              <w:rPr>
                <w:rFonts w:eastAsia="Times New Roman"/>
              </w:rPr>
              <w:t xml:space="preserve"> </w:t>
            </w:r>
            <w:r w:rsidRPr="005239BD">
              <w:rPr>
                <w:rFonts w:eastAsia="Times New Roman"/>
                <w:lang w:val="vi-VN"/>
              </w:rPr>
              <w:t xml:space="preserve">về thực trạng, nguyên nhân, các biện pháp đã áp dụng, các biện pháp dự kiến áp dụng để khắc phục và các đề xuất, kiến nghị với </w:t>
            </w:r>
            <w:r w:rsidRPr="005239BD">
              <w:rPr>
                <w:rFonts w:eastAsia="Times New Roman"/>
                <w:i/>
                <w:lang w:val="vi-VN"/>
              </w:rPr>
              <w:t xml:space="preserve">Ngân hàng Nhà nước chi nhánh </w:t>
            </w:r>
            <w:r w:rsidRPr="00143BF7">
              <w:rPr>
                <w:rFonts w:eastAsia="Times New Roman"/>
                <w:i/>
                <w:lang w:val="nb-NO"/>
              </w:rPr>
              <w:t>Khu vực</w:t>
            </w:r>
            <w:r w:rsidRPr="005239BD">
              <w:rPr>
                <w:rFonts w:eastAsia="Times New Roman"/>
                <w:lang w:val="vi-VN"/>
              </w:rPr>
              <w:t xml:space="preserve"> (nếu có).</w:t>
            </w:r>
          </w:p>
        </w:tc>
        <w:tc>
          <w:tcPr>
            <w:tcW w:w="3969" w:type="dxa"/>
          </w:tcPr>
          <w:p w14:paraId="190119E5" w14:textId="7EEA1262" w:rsidR="00250554" w:rsidRPr="005239BD" w:rsidRDefault="00250554" w:rsidP="005239BD">
            <w:pPr>
              <w:ind w:right="0"/>
              <w:rPr>
                <w:noProof/>
                <w:lang w:val="nl-NL"/>
              </w:rPr>
            </w:pPr>
            <w:r w:rsidRPr="005239BD">
              <w:rPr>
                <w:noProof/>
                <w:lang w:val="nl-NL"/>
              </w:rPr>
              <w:t>Để p</w:t>
            </w:r>
            <w:r w:rsidRPr="005239BD">
              <w:rPr>
                <w:lang w:val="nl-NL"/>
              </w:rPr>
              <w:t>hù hợp với Nghị định số 26/2025/NĐ-CP và c</w:t>
            </w:r>
            <w:r w:rsidRPr="005239BD">
              <w:rPr>
                <w:noProof/>
                <w:lang w:val="nl-NL"/>
              </w:rPr>
              <w:t>ác Quyết định số 301-315/QĐ-NHNN của Thống đốc NHNN quy định về chức năng, nhiệm vụ, quyền hạn và cơ cấu tổ chức của các NHNN Khu vực</w:t>
            </w:r>
          </w:p>
        </w:tc>
      </w:tr>
      <w:tr w:rsidR="00250554" w:rsidRPr="00AC5DD8" w14:paraId="6CB0F290" w14:textId="77777777" w:rsidTr="004141EF">
        <w:tc>
          <w:tcPr>
            <w:tcW w:w="680" w:type="dxa"/>
            <w:vAlign w:val="center"/>
          </w:tcPr>
          <w:p w14:paraId="3A30ECAC" w14:textId="51CE38E7" w:rsidR="00250554" w:rsidRPr="00143BF7" w:rsidRDefault="00622FAA" w:rsidP="005239BD">
            <w:pPr>
              <w:spacing w:before="120" w:after="120"/>
              <w:ind w:right="0"/>
              <w:jc w:val="center"/>
              <w:rPr>
                <w:iCs/>
                <w:noProof/>
                <w:lang w:val="nb-NO"/>
              </w:rPr>
            </w:pPr>
            <w:r>
              <w:rPr>
                <w:iCs/>
                <w:noProof/>
                <w:lang w:val="nb-NO"/>
              </w:rPr>
              <w:t>13.3</w:t>
            </w:r>
          </w:p>
        </w:tc>
        <w:tc>
          <w:tcPr>
            <w:tcW w:w="5416" w:type="dxa"/>
          </w:tcPr>
          <w:p w14:paraId="4BDFC5A6" w14:textId="63CA5181" w:rsidR="00250554" w:rsidRPr="00143BF7" w:rsidRDefault="00250554" w:rsidP="005239BD">
            <w:pPr>
              <w:pStyle w:val="NormalWeb"/>
              <w:spacing w:before="0" w:beforeAutospacing="0" w:after="0" w:afterAutospacing="0" w:line="234" w:lineRule="atLeast"/>
              <w:rPr>
                <w:rFonts w:cs="Times New Roman"/>
                <w:color w:val="000000"/>
                <w:lang w:val="nb-NO"/>
              </w:rPr>
            </w:pPr>
            <w:bookmarkStart w:id="8" w:name="dieu_9"/>
            <w:r w:rsidRPr="00147C66">
              <w:rPr>
                <w:rFonts w:eastAsiaTheme="majorEastAsia"/>
                <w:b/>
                <w:bCs/>
                <w:lang w:val="vi-VN"/>
              </w:rPr>
              <w:t>Điều 9. Báo cáo</w:t>
            </w:r>
            <w:bookmarkEnd w:id="8"/>
          </w:p>
          <w:p w14:paraId="01F46026" w14:textId="3A26075A" w:rsidR="00250554" w:rsidRPr="005239BD" w:rsidRDefault="00250554" w:rsidP="005239BD">
            <w:pPr>
              <w:pStyle w:val="NormalWeb"/>
              <w:spacing w:before="120" w:beforeAutospacing="0" w:after="120" w:afterAutospacing="0" w:line="234" w:lineRule="atLeast"/>
              <w:rPr>
                <w:b/>
                <w:lang w:val="nb-NO"/>
              </w:rPr>
            </w:pPr>
            <w:r w:rsidRPr="005239BD">
              <w:rPr>
                <w:rFonts w:cs="Times New Roman"/>
                <w:color w:val="000000"/>
                <w:lang w:val="vi-VN"/>
              </w:rPr>
              <w:t>Quỹ tín dụng nhân dân báo cáo việc thực hiện các quy định về giới hạn, tỷ lệ bảo đảm an toàn trong hoạt động theo quy định của Ngân hàng Nhà nước.</w:t>
            </w:r>
          </w:p>
        </w:tc>
        <w:tc>
          <w:tcPr>
            <w:tcW w:w="5386" w:type="dxa"/>
          </w:tcPr>
          <w:p w14:paraId="1719473B" w14:textId="63263D38" w:rsidR="00250554" w:rsidRPr="00143BF7" w:rsidRDefault="00250554" w:rsidP="005239BD">
            <w:pPr>
              <w:spacing w:before="120" w:after="120" w:line="234" w:lineRule="atLeast"/>
              <w:ind w:right="33"/>
              <w:rPr>
                <w:rFonts w:eastAsiaTheme="majorEastAsia"/>
                <w:lang w:val="nb-NO"/>
              </w:rPr>
            </w:pPr>
          </w:p>
        </w:tc>
        <w:tc>
          <w:tcPr>
            <w:tcW w:w="3969" w:type="dxa"/>
          </w:tcPr>
          <w:p w14:paraId="3FCE6978" w14:textId="60356ABD" w:rsidR="00250554" w:rsidRPr="005239BD" w:rsidRDefault="00070B8F" w:rsidP="005239BD">
            <w:pPr>
              <w:ind w:right="0"/>
              <w:rPr>
                <w:noProof/>
                <w:lang w:val="nl-NL"/>
              </w:rPr>
            </w:pPr>
            <w:r w:rsidRPr="005239BD">
              <w:rPr>
                <w:noProof/>
                <w:lang w:val="nl-NL"/>
              </w:rPr>
              <w:t>Đã được bãi bỏ bởi Thông tư</w:t>
            </w:r>
            <w:r w:rsidR="003C59E4" w:rsidRPr="005239BD">
              <w:rPr>
                <w:noProof/>
                <w:lang w:val="nl-NL"/>
              </w:rPr>
              <w:t xml:space="preserve"> số 13/2024/TT-NHNN</w:t>
            </w:r>
          </w:p>
        </w:tc>
      </w:tr>
      <w:tr w:rsidR="00070B8F" w:rsidRPr="00AC5DD8" w14:paraId="55848A91" w14:textId="77777777" w:rsidTr="004141EF">
        <w:tc>
          <w:tcPr>
            <w:tcW w:w="680" w:type="dxa"/>
            <w:vAlign w:val="center"/>
          </w:tcPr>
          <w:p w14:paraId="0BC4D07B" w14:textId="6F69E0D7" w:rsidR="00070B8F" w:rsidRPr="00143BF7" w:rsidDel="00FF3058" w:rsidRDefault="00622FAA" w:rsidP="005239BD">
            <w:pPr>
              <w:spacing w:before="120" w:after="120"/>
              <w:ind w:right="0"/>
              <w:jc w:val="center"/>
              <w:rPr>
                <w:iCs/>
                <w:noProof/>
                <w:lang w:val="nb-NO"/>
              </w:rPr>
            </w:pPr>
            <w:r>
              <w:rPr>
                <w:iCs/>
                <w:noProof/>
                <w:lang w:val="nb-NO"/>
              </w:rPr>
              <w:t>13.4</w:t>
            </w:r>
          </w:p>
        </w:tc>
        <w:tc>
          <w:tcPr>
            <w:tcW w:w="5416" w:type="dxa"/>
          </w:tcPr>
          <w:p w14:paraId="3E66D0C3" w14:textId="42B92789" w:rsidR="00070B8F" w:rsidRPr="00147C66" w:rsidRDefault="00070B8F" w:rsidP="00147C66">
            <w:pPr>
              <w:keepNext/>
              <w:widowControl w:val="0"/>
              <w:ind w:right="0"/>
              <w:outlineLvl w:val="2"/>
              <w:rPr>
                <w:rFonts w:eastAsiaTheme="majorEastAsia"/>
                <w:b/>
                <w:bCs/>
                <w:lang w:val="vi-VN"/>
              </w:rPr>
            </w:pPr>
            <w:bookmarkStart w:id="9" w:name="dieu_10"/>
            <w:r w:rsidRPr="00147C66">
              <w:rPr>
                <w:rFonts w:eastAsiaTheme="majorEastAsia"/>
                <w:b/>
                <w:bCs/>
                <w:lang w:val="vi-VN"/>
              </w:rPr>
              <w:t>Điều 10. Xử lý vi phạm</w:t>
            </w:r>
            <w:bookmarkEnd w:id="9"/>
          </w:p>
          <w:p w14:paraId="187EB6A8" w14:textId="405D40BC" w:rsidR="00070B8F" w:rsidRPr="005239BD" w:rsidRDefault="00070B8F" w:rsidP="005239BD">
            <w:pPr>
              <w:pStyle w:val="NormalWeb"/>
              <w:spacing w:before="120" w:beforeAutospacing="0" w:after="120" w:afterAutospacing="0" w:line="234" w:lineRule="atLeast"/>
              <w:rPr>
                <w:lang w:val="nb-NO"/>
              </w:rPr>
            </w:pPr>
            <w:r w:rsidRPr="005239BD">
              <w:rPr>
                <w:rFonts w:cs="Times New Roman"/>
                <w:color w:val="000000"/>
                <w:lang w:val="vi-VN"/>
              </w:rPr>
              <w:t>Quỹ tín dụng nhân dân, cá nhân có liên quan vi phạm các quy định tại Thông tư này sẽ bị xử lý theo quy định của pháp luật tùy theo tính chất, mức độ vi phạm.</w:t>
            </w:r>
          </w:p>
        </w:tc>
        <w:tc>
          <w:tcPr>
            <w:tcW w:w="5386" w:type="dxa"/>
          </w:tcPr>
          <w:p w14:paraId="503218CE" w14:textId="4D078AEC" w:rsidR="00070B8F" w:rsidRPr="00143BF7" w:rsidRDefault="00070B8F" w:rsidP="005239BD">
            <w:pPr>
              <w:ind w:right="34"/>
              <w:rPr>
                <w:rFonts w:eastAsiaTheme="majorEastAsia"/>
                <w:lang w:val="nb-NO"/>
              </w:rPr>
            </w:pPr>
          </w:p>
        </w:tc>
        <w:tc>
          <w:tcPr>
            <w:tcW w:w="3969" w:type="dxa"/>
          </w:tcPr>
          <w:p w14:paraId="2CEE8582" w14:textId="254A392A" w:rsidR="00070B8F" w:rsidRPr="005239BD" w:rsidRDefault="00070B8F" w:rsidP="005239BD">
            <w:pPr>
              <w:ind w:right="0"/>
              <w:rPr>
                <w:lang w:val="nl-NL"/>
              </w:rPr>
            </w:pPr>
            <w:r w:rsidRPr="005239BD">
              <w:rPr>
                <w:noProof/>
                <w:lang w:val="nl-NL"/>
              </w:rPr>
              <w:t>Đã được bãi bỏ bởi</w:t>
            </w:r>
            <w:r w:rsidR="003C59E4" w:rsidRPr="005239BD">
              <w:rPr>
                <w:noProof/>
                <w:lang w:val="nl-NL"/>
              </w:rPr>
              <w:t xml:space="preserve"> </w:t>
            </w:r>
            <w:r w:rsidRPr="005239BD">
              <w:rPr>
                <w:noProof/>
                <w:lang w:val="nl-NL"/>
              </w:rPr>
              <w:t>Thông tư</w:t>
            </w:r>
            <w:r w:rsidR="003C59E4" w:rsidRPr="005239BD">
              <w:rPr>
                <w:noProof/>
                <w:lang w:val="nl-NL"/>
              </w:rPr>
              <w:t xml:space="preserve"> số 13/2024/TT-NHNN</w:t>
            </w:r>
            <w:r w:rsidR="00072465" w:rsidRPr="005239BD">
              <w:rPr>
                <w:noProof/>
                <w:lang w:val="nl-NL"/>
              </w:rPr>
              <w:t xml:space="preserve"> số 13/2024/TT-NHNN</w:t>
            </w:r>
          </w:p>
        </w:tc>
      </w:tr>
      <w:tr w:rsidR="00070B8F" w:rsidRPr="005239BD" w14:paraId="405E94E3" w14:textId="77777777" w:rsidTr="004141EF">
        <w:tc>
          <w:tcPr>
            <w:tcW w:w="680" w:type="dxa"/>
            <w:vAlign w:val="center"/>
          </w:tcPr>
          <w:p w14:paraId="75E7C4E4" w14:textId="5DF8FF57" w:rsidR="00070B8F" w:rsidRPr="00143BF7" w:rsidDel="00FF3058" w:rsidRDefault="00070B8F" w:rsidP="005239BD">
            <w:pPr>
              <w:spacing w:before="120" w:after="120"/>
              <w:ind w:right="0"/>
              <w:jc w:val="center"/>
              <w:rPr>
                <w:iCs/>
                <w:noProof/>
                <w:lang w:val="nb-NO"/>
              </w:rPr>
            </w:pPr>
          </w:p>
        </w:tc>
        <w:tc>
          <w:tcPr>
            <w:tcW w:w="5416" w:type="dxa"/>
          </w:tcPr>
          <w:p w14:paraId="29344005" w14:textId="64325438" w:rsidR="00070B8F" w:rsidRPr="00147C66" w:rsidRDefault="00070B8F" w:rsidP="00147C66">
            <w:pPr>
              <w:keepNext/>
              <w:widowControl w:val="0"/>
              <w:ind w:right="0"/>
              <w:outlineLvl w:val="2"/>
              <w:rPr>
                <w:rFonts w:eastAsiaTheme="majorEastAsia"/>
                <w:b/>
                <w:bCs/>
                <w:lang w:val="vi-VN"/>
              </w:rPr>
            </w:pPr>
            <w:bookmarkStart w:id="10" w:name="chuong_3"/>
            <w:r w:rsidRPr="00147C66">
              <w:rPr>
                <w:rFonts w:eastAsiaTheme="majorEastAsia"/>
                <w:b/>
                <w:bCs/>
                <w:lang w:val="vi-VN"/>
              </w:rPr>
              <w:t>Chương III</w:t>
            </w:r>
            <w:bookmarkEnd w:id="10"/>
          </w:p>
          <w:p w14:paraId="57795AAF" w14:textId="19F225A9" w:rsidR="00070B8F" w:rsidRPr="0006687E" w:rsidRDefault="00070B8F" w:rsidP="0076093B">
            <w:pPr>
              <w:pStyle w:val="NormalWeb"/>
              <w:spacing w:before="0" w:beforeAutospacing="0" w:after="0" w:afterAutospacing="0" w:line="234" w:lineRule="atLeast"/>
              <w:jc w:val="center"/>
              <w:rPr>
                <w:rFonts w:cs="Times New Roman"/>
                <w:color w:val="000000"/>
                <w:lang w:val="nb-NO"/>
              </w:rPr>
            </w:pPr>
            <w:bookmarkStart w:id="11" w:name="chuong_3_name"/>
            <w:r w:rsidRPr="0006687E">
              <w:rPr>
                <w:b/>
                <w:bCs/>
                <w:color w:val="000000"/>
                <w:lang w:val="nb-NO"/>
              </w:rPr>
              <w:t>QUY ĐỊNH CHUYỂN TIẾP</w:t>
            </w:r>
            <w:bookmarkEnd w:id="11"/>
          </w:p>
        </w:tc>
        <w:tc>
          <w:tcPr>
            <w:tcW w:w="5386" w:type="dxa"/>
          </w:tcPr>
          <w:p w14:paraId="1EDA48FD" w14:textId="77777777" w:rsidR="00FA2FA5" w:rsidRPr="00147C66" w:rsidRDefault="00FA2FA5" w:rsidP="00FA2FA5">
            <w:pPr>
              <w:keepNext/>
              <w:widowControl w:val="0"/>
              <w:ind w:right="0"/>
              <w:outlineLvl w:val="2"/>
              <w:rPr>
                <w:rFonts w:eastAsiaTheme="majorEastAsia"/>
                <w:b/>
                <w:bCs/>
                <w:lang w:val="vi-VN"/>
              </w:rPr>
            </w:pPr>
            <w:r w:rsidRPr="00147C66">
              <w:rPr>
                <w:rFonts w:eastAsiaTheme="majorEastAsia"/>
                <w:b/>
                <w:bCs/>
                <w:lang w:val="vi-VN"/>
              </w:rPr>
              <w:t>Chương III</w:t>
            </w:r>
          </w:p>
          <w:p w14:paraId="6598CF27" w14:textId="0FB521D4" w:rsidR="00070B8F" w:rsidRPr="0076093B" w:rsidRDefault="00FA2FA5" w:rsidP="0076093B">
            <w:pPr>
              <w:pStyle w:val="NormalWeb"/>
              <w:spacing w:before="0" w:beforeAutospacing="0" w:after="0" w:afterAutospacing="0" w:line="234" w:lineRule="atLeast"/>
              <w:jc w:val="center"/>
              <w:rPr>
                <w:rFonts w:cs="Times New Roman"/>
                <w:color w:val="000000"/>
                <w:lang w:val="nb-NO"/>
              </w:rPr>
            </w:pPr>
            <w:r>
              <w:rPr>
                <w:b/>
                <w:bCs/>
                <w:color w:val="000000"/>
                <w:lang w:val="nb-NO"/>
              </w:rPr>
              <w:t>TRÁCH NHIỆM CỦA ĐƠN VỊ CÓ LIÊN QUAN</w:t>
            </w:r>
          </w:p>
        </w:tc>
        <w:tc>
          <w:tcPr>
            <w:tcW w:w="3969" w:type="dxa"/>
          </w:tcPr>
          <w:p w14:paraId="119DCAB8" w14:textId="77777777" w:rsidR="00FA2FA5" w:rsidRDefault="00FA2FA5" w:rsidP="005239BD">
            <w:pPr>
              <w:ind w:right="0"/>
              <w:rPr>
                <w:noProof/>
                <w:lang w:val="nl-NL"/>
              </w:rPr>
            </w:pPr>
          </w:p>
          <w:p w14:paraId="324FF45E" w14:textId="4F06B6AF" w:rsidR="00070B8F" w:rsidRPr="005239BD" w:rsidRDefault="00070B8F" w:rsidP="005239BD">
            <w:pPr>
              <w:ind w:right="0"/>
              <w:rPr>
                <w:lang w:val="nl-NL"/>
              </w:rPr>
            </w:pPr>
          </w:p>
        </w:tc>
      </w:tr>
      <w:tr w:rsidR="0076093B" w:rsidRPr="005239BD" w14:paraId="213E7391" w14:textId="77777777" w:rsidTr="004141EF">
        <w:tc>
          <w:tcPr>
            <w:tcW w:w="680" w:type="dxa"/>
            <w:vAlign w:val="center"/>
          </w:tcPr>
          <w:p w14:paraId="3B54F9DA" w14:textId="77777777" w:rsidR="0076093B" w:rsidRPr="00143BF7" w:rsidDel="00FF3058" w:rsidRDefault="0076093B" w:rsidP="005239BD">
            <w:pPr>
              <w:spacing w:before="120" w:after="120"/>
              <w:ind w:right="0"/>
              <w:jc w:val="center"/>
              <w:rPr>
                <w:iCs/>
                <w:noProof/>
                <w:lang w:val="nb-NO"/>
              </w:rPr>
            </w:pPr>
          </w:p>
        </w:tc>
        <w:tc>
          <w:tcPr>
            <w:tcW w:w="5416" w:type="dxa"/>
          </w:tcPr>
          <w:p w14:paraId="4601FF21" w14:textId="615BCDC7" w:rsidR="0076093B" w:rsidRPr="00147C66" w:rsidRDefault="0076093B" w:rsidP="00147C66">
            <w:pPr>
              <w:keepNext/>
              <w:widowControl w:val="0"/>
              <w:ind w:right="0"/>
              <w:outlineLvl w:val="2"/>
              <w:rPr>
                <w:rFonts w:eastAsiaTheme="majorEastAsia"/>
                <w:b/>
                <w:bCs/>
                <w:lang w:val="vi-VN"/>
              </w:rPr>
            </w:pPr>
            <w:bookmarkStart w:id="12" w:name="dieu_11"/>
            <w:r w:rsidRPr="00147C66">
              <w:rPr>
                <w:rFonts w:eastAsiaTheme="majorEastAsia"/>
                <w:b/>
                <w:bCs/>
                <w:lang w:val="vi-VN"/>
              </w:rPr>
              <w:t>Từ Điều 11 đến Điều 14</w:t>
            </w:r>
            <w:bookmarkEnd w:id="12"/>
          </w:p>
        </w:tc>
        <w:tc>
          <w:tcPr>
            <w:tcW w:w="5386" w:type="dxa"/>
          </w:tcPr>
          <w:p w14:paraId="55A57425" w14:textId="77777777" w:rsidR="0076093B" w:rsidRPr="00147C66" w:rsidRDefault="0076093B" w:rsidP="00FA2FA5">
            <w:pPr>
              <w:keepNext/>
              <w:widowControl w:val="0"/>
              <w:ind w:right="0"/>
              <w:outlineLvl w:val="2"/>
              <w:rPr>
                <w:rFonts w:eastAsiaTheme="majorEastAsia"/>
                <w:b/>
                <w:bCs/>
                <w:lang w:val="vi-VN"/>
              </w:rPr>
            </w:pPr>
          </w:p>
        </w:tc>
        <w:tc>
          <w:tcPr>
            <w:tcW w:w="3969" w:type="dxa"/>
          </w:tcPr>
          <w:p w14:paraId="4765A381" w14:textId="4F9B310A" w:rsidR="0076093B" w:rsidRDefault="0076093B" w:rsidP="005239BD">
            <w:pPr>
              <w:ind w:right="0"/>
              <w:rPr>
                <w:noProof/>
                <w:lang w:val="nl-NL"/>
              </w:rPr>
            </w:pPr>
            <w:r w:rsidRPr="005239BD">
              <w:rPr>
                <w:noProof/>
                <w:lang w:val="nl-NL"/>
              </w:rPr>
              <w:t>Đã được bãi bỏ bởi Thông tư số 13/2024/TT-NHNN</w:t>
            </w:r>
          </w:p>
        </w:tc>
      </w:tr>
      <w:tr w:rsidR="00250554" w:rsidRPr="00AC5DD8" w14:paraId="2159E52F" w14:textId="77777777" w:rsidTr="004141EF">
        <w:tc>
          <w:tcPr>
            <w:tcW w:w="680" w:type="dxa"/>
            <w:vAlign w:val="center"/>
          </w:tcPr>
          <w:p w14:paraId="0782A109" w14:textId="21CF3A3E" w:rsidR="00250554" w:rsidRPr="005239BD" w:rsidDel="00FF3058" w:rsidRDefault="00250554">
            <w:pPr>
              <w:spacing w:before="120" w:after="120"/>
              <w:ind w:right="0"/>
              <w:jc w:val="center"/>
              <w:rPr>
                <w:b/>
                <w:iCs/>
                <w:noProof/>
              </w:rPr>
            </w:pPr>
            <w:r w:rsidRPr="005239BD">
              <w:rPr>
                <w:b/>
                <w:iCs/>
                <w:noProof/>
              </w:rPr>
              <w:t>1</w:t>
            </w:r>
            <w:r w:rsidR="00622FAA">
              <w:rPr>
                <w:b/>
                <w:iCs/>
                <w:noProof/>
              </w:rPr>
              <w:t>4</w:t>
            </w:r>
          </w:p>
        </w:tc>
        <w:tc>
          <w:tcPr>
            <w:tcW w:w="5416" w:type="dxa"/>
          </w:tcPr>
          <w:p w14:paraId="0CA7D8FA" w14:textId="54844C2C" w:rsidR="00250554" w:rsidRPr="005239BD" w:rsidRDefault="00250554" w:rsidP="005239BD">
            <w:pPr>
              <w:keepNext/>
              <w:widowControl w:val="0"/>
              <w:ind w:right="0"/>
              <w:jc w:val="left"/>
              <w:outlineLvl w:val="2"/>
              <w:rPr>
                <w:rFonts w:eastAsiaTheme="majorEastAsia" w:cs="Times New Roman"/>
                <w:b/>
                <w:bCs/>
                <w:lang w:val="vi-VN"/>
              </w:rPr>
            </w:pPr>
            <w:r w:rsidRPr="005239BD">
              <w:rPr>
                <w:rFonts w:eastAsiaTheme="majorEastAsia"/>
                <w:b/>
                <w:bCs/>
                <w:lang w:val="vi-VN"/>
              </w:rPr>
              <w:t>Điều 15. Trách nhiệm của các đơn vị thuộc Ngân hàng Nhà nước</w:t>
            </w:r>
          </w:p>
          <w:p w14:paraId="70B2E8ED" w14:textId="77777777" w:rsidR="00250554" w:rsidRPr="005239BD" w:rsidRDefault="00250554" w:rsidP="005239BD">
            <w:pPr>
              <w:keepNext/>
              <w:widowControl w:val="0"/>
              <w:ind w:right="0"/>
              <w:outlineLvl w:val="2"/>
              <w:rPr>
                <w:rFonts w:eastAsiaTheme="majorEastAsia" w:cs="Times New Roman"/>
                <w:bCs/>
                <w:lang w:val="vi-VN"/>
              </w:rPr>
            </w:pPr>
            <w:r w:rsidRPr="005239BD">
              <w:rPr>
                <w:rFonts w:eastAsiaTheme="majorEastAsia"/>
                <w:bCs/>
                <w:lang w:val="vi-VN"/>
              </w:rPr>
              <w:t xml:space="preserve">1. </w:t>
            </w:r>
            <w:r w:rsidRPr="005239BD">
              <w:rPr>
                <w:rFonts w:eastAsiaTheme="majorEastAsia"/>
                <w:bCs/>
                <w:u w:val="single"/>
                <w:lang w:val="vi-VN"/>
              </w:rPr>
              <w:t>Cơ quan Thanh tra, giám sát ngân hàng</w:t>
            </w:r>
            <w:r w:rsidRPr="005239BD">
              <w:rPr>
                <w:rFonts w:eastAsiaTheme="majorEastAsia"/>
                <w:bCs/>
                <w:lang w:val="vi-VN"/>
              </w:rPr>
              <w:t xml:space="preserve"> có trách nhiệm chủ trì, phối hợp với các Vụ, Cục thuộc Ngân hàng Nhà nước trình Thống đốc Ngân hàng Nhà nước xử lý khó khăn, vướng mắc trong quá trình thực hiện Thông tư này. </w:t>
            </w:r>
          </w:p>
          <w:p w14:paraId="1E3BA286" w14:textId="77777777" w:rsidR="00250554" w:rsidRPr="005239BD" w:rsidRDefault="00250554" w:rsidP="005239BD">
            <w:pPr>
              <w:keepNext/>
              <w:widowControl w:val="0"/>
              <w:ind w:right="0"/>
              <w:jc w:val="left"/>
              <w:outlineLvl w:val="2"/>
              <w:rPr>
                <w:rFonts w:eastAsiaTheme="majorEastAsia" w:cs="Times New Roman"/>
                <w:bCs/>
                <w:lang w:val="vi-VN"/>
              </w:rPr>
            </w:pPr>
            <w:r w:rsidRPr="005239BD">
              <w:rPr>
                <w:rFonts w:eastAsiaTheme="majorEastAsia"/>
                <w:bCs/>
                <w:lang w:val="vi-VN"/>
              </w:rPr>
              <w:t xml:space="preserve">2. </w:t>
            </w:r>
            <w:r w:rsidRPr="005239BD">
              <w:rPr>
                <w:rFonts w:eastAsiaTheme="majorEastAsia"/>
                <w:bCs/>
                <w:u w:val="single"/>
                <w:lang w:val="vi-VN"/>
              </w:rPr>
              <w:t>Ngân hàng Nhà nước chi nhánh tỉnh, thành phố</w:t>
            </w:r>
            <w:r w:rsidRPr="005239BD">
              <w:rPr>
                <w:rFonts w:eastAsiaTheme="majorEastAsia"/>
                <w:bCs/>
                <w:lang w:val="vi-VN"/>
              </w:rPr>
              <w:t xml:space="preserve"> có trách nhiệm:</w:t>
            </w:r>
          </w:p>
          <w:p w14:paraId="70D6AEE4" w14:textId="77777777" w:rsidR="00250554" w:rsidRPr="005239BD" w:rsidRDefault="00250554" w:rsidP="005239BD">
            <w:pPr>
              <w:keepNext/>
              <w:widowControl w:val="0"/>
              <w:ind w:right="0"/>
              <w:jc w:val="left"/>
              <w:outlineLvl w:val="2"/>
              <w:rPr>
                <w:rFonts w:eastAsiaTheme="majorEastAsia"/>
                <w:bCs/>
                <w:lang w:val="vi-VN"/>
              </w:rPr>
            </w:pPr>
            <w:r w:rsidRPr="005239BD">
              <w:rPr>
                <w:rFonts w:eastAsiaTheme="majorEastAsia"/>
                <w:bCs/>
                <w:lang w:val="vi-VN"/>
              </w:rPr>
              <w:t xml:space="preserve">a) Quyết định việc quỹ tín dụng nhân dân phải duy trì các giới hạn, tỷ lệ đảm bảo an toàn theo quy định tại </w:t>
            </w:r>
            <w:r w:rsidRPr="009311F2">
              <w:rPr>
                <w:rFonts w:eastAsiaTheme="majorEastAsia"/>
                <w:bCs/>
                <w:u w:val="single"/>
                <w:lang w:val="vi-VN"/>
              </w:rPr>
              <w:t>khoản 2</w:t>
            </w:r>
            <w:r w:rsidRPr="005239BD">
              <w:rPr>
                <w:rFonts w:eastAsiaTheme="majorEastAsia"/>
                <w:bCs/>
                <w:lang w:val="vi-VN"/>
              </w:rPr>
              <w:t xml:space="preserve"> Điều 1 Thông tư này;</w:t>
            </w:r>
          </w:p>
          <w:p w14:paraId="2566DB7B" w14:textId="77777777" w:rsidR="00250554" w:rsidRPr="005239BD" w:rsidRDefault="00250554" w:rsidP="005239BD">
            <w:pPr>
              <w:keepNext/>
              <w:widowControl w:val="0"/>
              <w:ind w:right="0"/>
              <w:outlineLvl w:val="2"/>
              <w:rPr>
                <w:rFonts w:eastAsiaTheme="majorEastAsia"/>
                <w:bCs/>
                <w:lang w:val="vi-VN"/>
              </w:rPr>
            </w:pPr>
            <w:r w:rsidRPr="005239BD">
              <w:rPr>
                <w:rFonts w:eastAsiaTheme="majorEastAsia" w:cs="Times New Roman"/>
                <w:bCs/>
                <w:lang w:val="vi-VN"/>
              </w:rPr>
              <w:t>b) Thanh tra, giám sát, xử lý đối với các hành vi vi phạm của quỹ tín dụng nhân dân trên địa bàn trong việc thực hiện các quy định tại Thông tư này;</w:t>
            </w:r>
          </w:p>
          <w:p w14:paraId="75FEB14E" w14:textId="77777777" w:rsidR="00250554" w:rsidRPr="005239BD" w:rsidRDefault="00250554" w:rsidP="005239BD">
            <w:pPr>
              <w:keepNext/>
              <w:widowControl w:val="0"/>
              <w:ind w:right="0"/>
              <w:outlineLvl w:val="2"/>
              <w:rPr>
                <w:rFonts w:eastAsiaTheme="majorEastAsia"/>
                <w:bCs/>
                <w:lang w:val="vi-VN"/>
              </w:rPr>
            </w:pPr>
            <w:r w:rsidRPr="005239BD">
              <w:rPr>
                <w:rFonts w:eastAsiaTheme="majorEastAsia" w:cs="Times New Roman"/>
                <w:bCs/>
                <w:lang w:val="vi-VN"/>
              </w:rPr>
              <w:t>c) Hướng dẫn các quỹ tín dụng nhân dân trên địa bàn trong việc thực hiện các quy định tại Thông tư này;</w:t>
            </w:r>
          </w:p>
          <w:p w14:paraId="46E5034F" w14:textId="77777777" w:rsidR="00250554" w:rsidRPr="005239BD" w:rsidRDefault="00250554" w:rsidP="005239BD">
            <w:pPr>
              <w:keepNext/>
              <w:widowControl w:val="0"/>
              <w:ind w:right="0"/>
              <w:outlineLvl w:val="2"/>
              <w:rPr>
                <w:rFonts w:eastAsiaTheme="majorEastAsia"/>
                <w:bCs/>
                <w:lang w:val="vi-VN"/>
              </w:rPr>
            </w:pPr>
            <w:r w:rsidRPr="005239BD">
              <w:rPr>
                <w:rFonts w:eastAsiaTheme="majorEastAsia" w:cs="Times New Roman"/>
                <w:bCs/>
                <w:lang w:val="vi-VN"/>
              </w:rPr>
              <w:t>d) Tiếp nhận quy định nội bộ của quỹ tín dụng nhân dân theo quy định tại Thông tư này.</w:t>
            </w:r>
          </w:p>
          <w:p w14:paraId="39687E35" w14:textId="22074116" w:rsidR="00250554" w:rsidRPr="005239BD" w:rsidRDefault="00250554" w:rsidP="005239BD">
            <w:pPr>
              <w:pBdr>
                <w:top w:val="nil"/>
                <w:left w:val="nil"/>
                <w:bottom w:val="nil"/>
                <w:right w:val="nil"/>
                <w:between w:val="nil"/>
              </w:pBdr>
              <w:ind w:right="0"/>
              <w:rPr>
                <w:b/>
                <w:lang w:val="nb-NO"/>
              </w:rPr>
            </w:pPr>
          </w:p>
        </w:tc>
        <w:tc>
          <w:tcPr>
            <w:tcW w:w="5386" w:type="dxa"/>
          </w:tcPr>
          <w:p w14:paraId="4F0872CE" w14:textId="25FA292D" w:rsidR="00E71684" w:rsidRPr="00143BF7" w:rsidRDefault="00250554" w:rsidP="00E71684">
            <w:pPr>
              <w:ind w:right="34"/>
              <w:rPr>
                <w:rFonts w:eastAsiaTheme="majorEastAsia"/>
                <w:b/>
                <w:lang w:val="nb-NO"/>
              </w:rPr>
            </w:pPr>
            <w:r w:rsidRPr="00143BF7">
              <w:rPr>
                <w:rFonts w:eastAsiaTheme="majorEastAsia"/>
                <w:b/>
                <w:lang w:val="nb-NO"/>
              </w:rPr>
              <w:t>Điều 1</w:t>
            </w:r>
            <w:r w:rsidR="00E23458" w:rsidRPr="00143BF7">
              <w:rPr>
                <w:rFonts w:eastAsiaTheme="majorEastAsia"/>
                <w:b/>
                <w:lang w:val="nb-NO"/>
              </w:rPr>
              <w:t>4</w:t>
            </w:r>
            <w:r w:rsidRPr="00143BF7">
              <w:rPr>
                <w:rFonts w:eastAsiaTheme="majorEastAsia"/>
                <w:b/>
                <w:lang w:val="nb-NO"/>
              </w:rPr>
              <w:t xml:space="preserve">. Trách nhiệm của Ngân hàng </w:t>
            </w:r>
            <w:r w:rsidR="00D221E7">
              <w:rPr>
                <w:rFonts w:eastAsiaTheme="majorEastAsia"/>
                <w:b/>
                <w:lang w:val="nb-NO"/>
              </w:rPr>
              <w:t>N</w:t>
            </w:r>
            <w:r w:rsidR="00D221E7" w:rsidRPr="00143BF7">
              <w:rPr>
                <w:rFonts w:eastAsiaTheme="majorEastAsia"/>
                <w:b/>
                <w:lang w:val="nb-NO"/>
              </w:rPr>
              <w:t xml:space="preserve">hà </w:t>
            </w:r>
            <w:r w:rsidRPr="00143BF7">
              <w:rPr>
                <w:rFonts w:eastAsiaTheme="majorEastAsia"/>
                <w:b/>
                <w:lang w:val="nb-NO"/>
              </w:rPr>
              <w:t>nước chi nhánh Khu vự</w:t>
            </w:r>
            <w:r w:rsidR="00E71684" w:rsidRPr="00143BF7">
              <w:rPr>
                <w:rFonts w:eastAsiaTheme="majorEastAsia"/>
                <w:b/>
                <w:lang w:val="nb-NO"/>
              </w:rPr>
              <w:t>c</w:t>
            </w:r>
          </w:p>
          <w:p w14:paraId="1268EFD7" w14:textId="77777777" w:rsidR="00E71684" w:rsidRPr="00143BF7" w:rsidRDefault="00E71684" w:rsidP="00E71684">
            <w:pPr>
              <w:ind w:right="34"/>
              <w:rPr>
                <w:rFonts w:eastAsiaTheme="majorEastAsia"/>
                <w:lang w:val="nb-NO"/>
              </w:rPr>
            </w:pPr>
          </w:p>
          <w:p w14:paraId="5EC5C985" w14:textId="77777777" w:rsidR="00E71684" w:rsidRPr="00143BF7" w:rsidRDefault="00E71684" w:rsidP="00E71684">
            <w:pPr>
              <w:ind w:right="34"/>
              <w:rPr>
                <w:rFonts w:eastAsiaTheme="majorEastAsia"/>
                <w:lang w:val="nb-NO"/>
              </w:rPr>
            </w:pPr>
          </w:p>
          <w:p w14:paraId="64D0D8EB" w14:textId="77777777" w:rsidR="00E71684" w:rsidRPr="00143BF7" w:rsidRDefault="00E71684" w:rsidP="00E71684">
            <w:pPr>
              <w:ind w:right="34"/>
              <w:rPr>
                <w:rFonts w:eastAsiaTheme="majorEastAsia"/>
                <w:lang w:val="nb-NO"/>
              </w:rPr>
            </w:pPr>
          </w:p>
          <w:p w14:paraId="3B1E94E6" w14:textId="77777777" w:rsidR="00E71684" w:rsidRPr="00143BF7" w:rsidRDefault="00E71684" w:rsidP="00E71684">
            <w:pPr>
              <w:ind w:right="34"/>
              <w:rPr>
                <w:rFonts w:eastAsiaTheme="majorEastAsia"/>
                <w:lang w:val="nb-NO"/>
              </w:rPr>
            </w:pPr>
          </w:p>
          <w:p w14:paraId="1F431A1E" w14:textId="77777777" w:rsidR="00E71684" w:rsidRPr="00143BF7" w:rsidRDefault="00E71684" w:rsidP="00E71684">
            <w:pPr>
              <w:ind w:right="34"/>
              <w:rPr>
                <w:rFonts w:eastAsiaTheme="majorEastAsia"/>
                <w:lang w:val="nb-NO"/>
              </w:rPr>
            </w:pPr>
          </w:p>
          <w:p w14:paraId="6C4DAD37" w14:textId="77777777" w:rsidR="00E71684" w:rsidRPr="00143BF7" w:rsidRDefault="00E71684" w:rsidP="00E71684">
            <w:pPr>
              <w:ind w:right="34"/>
              <w:rPr>
                <w:rFonts w:eastAsiaTheme="majorEastAsia"/>
                <w:lang w:val="nb-NO"/>
              </w:rPr>
            </w:pPr>
          </w:p>
          <w:p w14:paraId="3264260B" w14:textId="2CBB21EA" w:rsidR="00E71684" w:rsidRPr="00143BF7" w:rsidRDefault="00250554" w:rsidP="00E71684">
            <w:pPr>
              <w:ind w:right="34"/>
              <w:rPr>
                <w:rFonts w:eastAsiaTheme="majorEastAsia"/>
                <w:b/>
                <w:lang w:val="nb-NO"/>
              </w:rPr>
            </w:pPr>
            <w:r w:rsidRPr="00143BF7">
              <w:rPr>
                <w:rFonts w:eastAsiaTheme="majorEastAsia"/>
                <w:lang w:val="nb-NO"/>
              </w:rPr>
              <w:t xml:space="preserve">1. </w:t>
            </w:r>
            <w:r w:rsidRPr="005239BD">
              <w:rPr>
                <w:rFonts w:eastAsiaTheme="majorEastAsia"/>
                <w:bCs/>
                <w:lang w:val="vi-VN"/>
              </w:rPr>
              <w:t xml:space="preserve">Quyết định việc quỹ tín dụng nhân dân phải duy trì các </w:t>
            </w:r>
            <w:r w:rsidR="00E71684" w:rsidRPr="00143BF7">
              <w:rPr>
                <w:rFonts w:eastAsiaTheme="majorEastAsia"/>
                <w:bCs/>
                <w:i/>
                <w:lang w:val="nb-NO"/>
              </w:rPr>
              <w:t xml:space="preserve">hạn chế, </w:t>
            </w:r>
            <w:r w:rsidRPr="005239BD">
              <w:rPr>
                <w:rFonts w:eastAsiaTheme="majorEastAsia"/>
                <w:bCs/>
                <w:lang w:val="vi-VN"/>
              </w:rPr>
              <w:t xml:space="preserve">giới hạn, tỷ lệ bảo </w:t>
            </w:r>
            <w:r w:rsidR="002C28F6">
              <w:rPr>
                <w:rFonts w:eastAsiaTheme="majorEastAsia"/>
                <w:bCs/>
              </w:rPr>
              <w:t xml:space="preserve">đảm </w:t>
            </w:r>
            <w:r w:rsidRPr="005239BD">
              <w:rPr>
                <w:rFonts w:eastAsiaTheme="majorEastAsia"/>
                <w:bCs/>
                <w:lang w:val="vi-VN"/>
              </w:rPr>
              <w:t xml:space="preserve">an toàn theo quy định tại </w:t>
            </w:r>
            <w:r w:rsidRPr="009311F2">
              <w:rPr>
                <w:rFonts w:eastAsiaTheme="majorEastAsia"/>
                <w:bCs/>
                <w:i/>
                <w:lang w:val="vi-VN"/>
              </w:rPr>
              <w:t xml:space="preserve">khoản </w:t>
            </w:r>
            <w:r w:rsidR="009311F2" w:rsidRPr="00143BF7">
              <w:rPr>
                <w:rFonts w:eastAsiaTheme="majorEastAsia"/>
                <w:bCs/>
                <w:i/>
                <w:lang w:val="nb-NO"/>
              </w:rPr>
              <w:t>3</w:t>
            </w:r>
            <w:r w:rsidRPr="005239BD">
              <w:rPr>
                <w:rFonts w:eastAsiaTheme="majorEastAsia"/>
                <w:bCs/>
                <w:lang w:val="vi-VN"/>
              </w:rPr>
              <w:t xml:space="preserve"> Điều 1 Thông tư này.</w:t>
            </w:r>
          </w:p>
          <w:p w14:paraId="5C1FB69D" w14:textId="47145447" w:rsidR="00250554" w:rsidRPr="00143BF7" w:rsidRDefault="00250554" w:rsidP="00E71684">
            <w:pPr>
              <w:ind w:right="34"/>
              <w:rPr>
                <w:rFonts w:eastAsiaTheme="majorEastAsia"/>
                <w:b/>
                <w:lang w:val="nb-NO"/>
              </w:rPr>
            </w:pPr>
            <w:r w:rsidRPr="00143BF7">
              <w:rPr>
                <w:rFonts w:eastAsiaTheme="majorEastAsia"/>
                <w:bCs/>
                <w:lang w:val="nb-NO"/>
              </w:rPr>
              <w:t>2.</w:t>
            </w:r>
            <w:r w:rsidRPr="005239BD">
              <w:rPr>
                <w:rFonts w:eastAsiaTheme="majorEastAsia"/>
                <w:bCs/>
                <w:lang w:val="vi-VN"/>
              </w:rPr>
              <w:t xml:space="preserve"> Thanh tra,</w:t>
            </w:r>
            <w:r w:rsidRPr="00143BF7">
              <w:rPr>
                <w:rFonts w:eastAsiaTheme="majorEastAsia"/>
                <w:bCs/>
                <w:lang w:val="nb-NO"/>
              </w:rPr>
              <w:t xml:space="preserve"> </w:t>
            </w:r>
            <w:r w:rsidRPr="00143BF7">
              <w:rPr>
                <w:rFonts w:eastAsiaTheme="majorEastAsia"/>
                <w:bCs/>
                <w:i/>
                <w:lang w:val="nb-NO"/>
              </w:rPr>
              <w:t>kiểm tra</w:t>
            </w:r>
            <w:r w:rsidRPr="00143BF7">
              <w:rPr>
                <w:rFonts w:eastAsiaTheme="majorEastAsia"/>
                <w:bCs/>
                <w:lang w:val="nb-NO"/>
              </w:rPr>
              <w:t xml:space="preserve">, </w:t>
            </w:r>
            <w:r w:rsidRPr="005239BD">
              <w:rPr>
                <w:rFonts w:eastAsiaTheme="majorEastAsia"/>
                <w:bCs/>
                <w:lang w:val="vi-VN"/>
              </w:rPr>
              <w:t>giám sát, xử lý đối với các hành vi vi phạm của quỹ tín dụng nhân dân trên địa bàn trong việc thực hiện các quy định tại Thông tư này.</w:t>
            </w:r>
          </w:p>
          <w:p w14:paraId="2394B760" w14:textId="3F2B8424" w:rsidR="00250554" w:rsidRPr="00143BF7" w:rsidRDefault="00250554" w:rsidP="005239BD">
            <w:pPr>
              <w:keepNext/>
              <w:widowControl w:val="0"/>
              <w:ind w:right="0"/>
              <w:outlineLvl w:val="2"/>
              <w:rPr>
                <w:rFonts w:eastAsiaTheme="majorEastAsia"/>
                <w:bCs/>
                <w:lang w:val="nb-NO"/>
              </w:rPr>
            </w:pPr>
            <w:r w:rsidRPr="00143BF7">
              <w:rPr>
                <w:rFonts w:eastAsiaTheme="majorEastAsia"/>
                <w:bCs/>
                <w:lang w:val="nb-NO"/>
              </w:rPr>
              <w:t xml:space="preserve">3. </w:t>
            </w:r>
            <w:r w:rsidRPr="005239BD">
              <w:rPr>
                <w:rFonts w:eastAsiaTheme="majorEastAsia"/>
                <w:bCs/>
                <w:lang w:val="vi-VN"/>
              </w:rPr>
              <w:t>Hướng dẫn các quỹ tín dụng nhân dân trên địa bàn trong việc thực hiện các quy định tại Thông tư này.</w:t>
            </w:r>
          </w:p>
          <w:p w14:paraId="78017D12" w14:textId="7A0C0A7F" w:rsidR="00250554" w:rsidRPr="00143BF7" w:rsidRDefault="00250554" w:rsidP="005239BD">
            <w:pPr>
              <w:ind w:right="34"/>
              <w:rPr>
                <w:rFonts w:eastAsiaTheme="majorEastAsia"/>
                <w:lang w:val="nb-NO"/>
              </w:rPr>
            </w:pPr>
            <w:r w:rsidRPr="00143BF7">
              <w:rPr>
                <w:rFonts w:eastAsiaTheme="majorEastAsia"/>
                <w:lang w:val="nb-NO"/>
              </w:rPr>
              <w:t xml:space="preserve">4. </w:t>
            </w:r>
            <w:r w:rsidRPr="00143BF7">
              <w:rPr>
                <w:rFonts w:eastAsiaTheme="majorEastAsia"/>
                <w:i/>
                <w:lang w:val="nb-NO"/>
              </w:rPr>
              <w:t xml:space="preserve">Thực hiện các biện pháp xử lý quỹ tín dụng nhân dân theo chức năng, nhiệm vụ được giao trong trường hợp giá trị thực của vốn điều lệ của quỹ tín dụng nhân dân thấp hơn mức vốn pháp định quy định tại điểm a, b, c khoản 2 Điều </w:t>
            </w:r>
            <w:r w:rsidR="002C28F6">
              <w:rPr>
                <w:rFonts w:eastAsiaTheme="majorEastAsia"/>
                <w:i/>
                <w:lang w:val="nb-NO"/>
              </w:rPr>
              <w:t>7</w:t>
            </w:r>
            <w:r w:rsidR="00225B94" w:rsidRPr="00143BF7">
              <w:rPr>
                <w:rFonts w:eastAsiaTheme="majorEastAsia"/>
                <w:i/>
                <w:lang w:val="nb-NO"/>
              </w:rPr>
              <w:t xml:space="preserve"> </w:t>
            </w:r>
            <w:r w:rsidRPr="00143BF7">
              <w:rPr>
                <w:rFonts w:eastAsiaTheme="majorEastAsia"/>
                <w:i/>
                <w:lang w:val="nb-NO"/>
              </w:rPr>
              <w:t>Thông tư này.</w:t>
            </w:r>
          </w:p>
          <w:p w14:paraId="413E4596" w14:textId="63FEFA8F" w:rsidR="00250554" w:rsidRPr="004D5055" w:rsidRDefault="00250554" w:rsidP="005239BD">
            <w:pPr>
              <w:ind w:right="34"/>
              <w:rPr>
                <w:shd w:val="clear" w:color="auto" w:fill="FFFFFF"/>
                <w:lang w:val="vi-VN"/>
              </w:rPr>
            </w:pPr>
            <w:r w:rsidRPr="00143BF7">
              <w:rPr>
                <w:rFonts w:eastAsiaTheme="majorEastAsia"/>
                <w:lang w:val="nb-NO"/>
              </w:rPr>
              <w:t xml:space="preserve">5. </w:t>
            </w:r>
            <w:r w:rsidRPr="00143BF7">
              <w:rPr>
                <w:i/>
                <w:lang w:val="pt-BR"/>
              </w:rPr>
              <w:t>Đầu mối trình Thống đốc</w:t>
            </w:r>
            <w:r w:rsidR="00AE351C">
              <w:rPr>
                <w:i/>
                <w:lang w:val="pt-BR"/>
              </w:rPr>
              <w:t xml:space="preserve"> Ngân hàng Nhà nước</w:t>
            </w:r>
            <w:r w:rsidRPr="00143BF7">
              <w:rPr>
                <w:i/>
                <w:lang w:val="pt-BR"/>
              </w:rPr>
              <w:t xml:space="preserve"> quyết định xử lý trường hợp </w:t>
            </w:r>
            <w:r w:rsidRPr="00143BF7">
              <w:rPr>
                <w:bCs/>
                <w:i/>
                <w:lang w:val="pt-BR"/>
              </w:rPr>
              <w:t xml:space="preserve">giá trị thực của vốn điều lệ của </w:t>
            </w:r>
            <w:r w:rsidR="00CE3E22" w:rsidRPr="00143BF7">
              <w:rPr>
                <w:bCs/>
                <w:i/>
                <w:lang w:val="pt-BR"/>
              </w:rPr>
              <w:t>quỹ tín dụng nhân dân</w:t>
            </w:r>
            <w:r w:rsidRPr="00143BF7">
              <w:rPr>
                <w:bCs/>
                <w:i/>
                <w:lang w:val="pt-BR"/>
              </w:rPr>
              <w:t xml:space="preserve"> giảm thấp hơn mức vốn pháp định theo quy định tại điểm d khoản 2 Điều </w:t>
            </w:r>
            <w:r w:rsidR="002C28F6">
              <w:rPr>
                <w:bCs/>
                <w:i/>
                <w:lang w:val="pt-BR"/>
              </w:rPr>
              <w:t>7</w:t>
            </w:r>
            <w:r w:rsidRPr="00143BF7">
              <w:rPr>
                <w:bCs/>
                <w:i/>
                <w:lang w:val="pt-BR"/>
              </w:rPr>
              <w:t xml:space="preserve"> Thông tư này</w:t>
            </w:r>
            <w:r w:rsidRPr="00143BF7">
              <w:rPr>
                <w:i/>
                <w:shd w:val="clear" w:color="auto" w:fill="FFFFFF"/>
                <w:lang w:val="vi-VN"/>
              </w:rPr>
              <w:t>.</w:t>
            </w:r>
          </w:p>
          <w:p w14:paraId="78BE89F9" w14:textId="5E4E0B9D" w:rsidR="00250554" w:rsidRPr="00143BF7" w:rsidRDefault="00250554" w:rsidP="005239BD">
            <w:pPr>
              <w:keepNext/>
              <w:widowControl w:val="0"/>
              <w:ind w:right="0"/>
              <w:outlineLvl w:val="2"/>
              <w:rPr>
                <w:rFonts w:eastAsiaTheme="majorEastAsia"/>
                <w:lang w:val="vi-VN"/>
              </w:rPr>
            </w:pPr>
            <w:r w:rsidRPr="00143BF7">
              <w:rPr>
                <w:shd w:val="clear" w:color="auto" w:fill="FFFFFF"/>
                <w:lang w:val="vi-VN"/>
              </w:rPr>
              <w:t>6.</w:t>
            </w:r>
            <w:r w:rsidRPr="005239BD">
              <w:rPr>
                <w:rFonts w:eastAsiaTheme="majorEastAsia" w:cs="Times New Roman"/>
                <w:bCs/>
                <w:lang w:val="vi-VN"/>
              </w:rPr>
              <w:t xml:space="preserve"> Tiếp nhận quy định nội bộ của quỹ tín dụng nhân dân theo quy định tại Thông tư này.</w:t>
            </w:r>
          </w:p>
        </w:tc>
        <w:tc>
          <w:tcPr>
            <w:tcW w:w="3969" w:type="dxa"/>
          </w:tcPr>
          <w:p w14:paraId="40C003AD" w14:textId="256B16D3" w:rsidR="00250554" w:rsidRPr="005239BD" w:rsidRDefault="00250554" w:rsidP="005239BD">
            <w:pPr>
              <w:ind w:right="0"/>
              <w:rPr>
                <w:noProof/>
                <w:lang w:val="nl-NL"/>
              </w:rPr>
            </w:pPr>
            <w:r w:rsidRPr="005239BD">
              <w:rPr>
                <w:lang w:val="nl-NL"/>
              </w:rPr>
              <w:t xml:space="preserve">Sửa đổi để phù hợp với cơ cấu tổ chức bộ máy NHNN quy định tại Nghị định số 26/2025/NĐ-CP; </w:t>
            </w:r>
            <w:r w:rsidRPr="005239BD">
              <w:rPr>
                <w:noProof/>
                <w:lang w:val="vi-VN"/>
              </w:rPr>
              <w:t>Quyết định số 276/QĐ-NHNN ngày 24/02/2025 quy định chức năng, nhiệm vụ, quyền hạn</w:t>
            </w:r>
            <w:r w:rsidRPr="00143BF7">
              <w:rPr>
                <w:noProof/>
                <w:lang w:val="vi-VN"/>
              </w:rPr>
              <w:t>;</w:t>
            </w:r>
            <w:r w:rsidRPr="005239BD">
              <w:rPr>
                <w:noProof/>
                <w:lang w:val="vi-VN"/>
              </w:rPr>
              <w:t xml:space="preserve"> cơ cấu tổ chức của Cục Quản lý, giám sát TCTD và</w:t>
            </w:r>
            <w:r w:rsidRPr="00143BF7">
              <w:rPr>
                <w:noProof/>
                <w:lang w:val="vi-VN"/>
              </w:rPr>
              <w:t xml:space="preserve"> </w:t>
            </w:r>
            <w:r w:rsidRPr="005239BD">
              <w:rPr>
                <w:lang w:val="nl-NL"/>
              </w:rPr>
              <w:t>c</w:t>
            </w:r>
            <w:r w:rsidRPr="005239BD">
              <w:rPr>
                <w:noProof/>
                <w:lang w:val="nl-NL"/>
              </w:rPr>
              <w:t xml:space="preserve">ác Quyết định số 301-315/QĐ-NHNN của Thống đốc NHNN quy định về chức năng, nhiệm vụ, quyền hạn và cơ cấu tổ chức của các NHNN Khu vực </w:t>
            </w:r>
            <w:r w:rsidRPr="005239BD">
              <w:rPr>
                <w:noProof/>
                <w:lang w:val="vi-VN"/>
              </w:rPr>
              <w:t xml:space="preserve">và phù hợp với việc bổ sung tương ứng quy định theo </w:t>
            </w:r>
            <w:r w:rsidRPr="00143BF7">
              <w:rPr>
                <w:noProof/>
                <w:lang w:val="vi-VN"/>
              </w:rPr>
              <w:t>khoản 4 Điều 28 Luật Các TCTD năm 2024 về giá trị thực vốn điều lệ.</w:t>
            </w:r>
          </w:p>
        </w:tc>
      </w:tr>
      <w:tr w:rsidR="00250554" w:rsidRPr="00AC5DD8" w14:paraId="131DC1BB" w14:textId="77777777" w:rsidTr="004141EF">
        <w:tc>
          <w:tcPr>
            <w:tcW w:w="680" w:type="dxa"/>
            <w:vAlign w:val="center"/>
          </w:tcPr>
          <w:p w14:paraId="156EAAAD" w14:textId="090A7639" w:rsidR="00250554" w:rsidRPr="005239BD" w:rsidRDefault="00250554" w:rsidP="005239BD">
            <w:pPr>
              <w:spacing w:before="120" w:after="120"/>
              <w:ind w:right="0"/>
              <w:jc w:val="center"/>
              <w:rPr>
                <w:b/>
                <w:iCs/>
                <w:noProof/>
              </w:rPr>
            </w:pPr>
            <w:r w:rsidRPr="005239BD">
              <w:rPr>
                <w:b/>
                <w:iCs/>
                <w:noProof/>
              </w:rPr>
              <w:t>1</w:t>
            </w:r>
            <w:r w:rsidR="00622FAA">
              <w:rPr>
                <w:b/>
                <w:iCs/>
                <w:noProof/>
              </w:rPr>
              <w:t>5</w:t>
            </w:r>
          </w:p>
        </w:tc>
        <w:tc>
          <w:tcPr>
            <w:tcW w:w="5416" w:type="dxa"/>
          </w:tcPr>
          <w:p w14:paraId="775C9D47" w14:textId="4E70EDDB" w:rsidR="00250554" w:rsidRPr="005239BD" w:rsidRDefault="00250554" w:rsidP="005239BD">
            <w:pPr>
              <w:pStyle w:val="NormalWeb"/>
              <w:spacing w:before="0" w:beforeAutospacing="0" w:after="0" w:afterAutospacing="0" w:line="234" w:lineRule="atLeast"/>
              <w:rPr>
                <w:rFonts w:cs="Times New Roman"/>
                <w:color w:val="000000"/>
              </w:rPr>
            </w:pPr>
            <w:bookmarkStart w:id="13" w:name="dieu_16"/>
            <w:r w:rsidRPr="005239BD">
              <w:rPr>
                <w:rFonts w:cs="Times New Roman"/>
                <w:b/>
                <w:bCs/>
                <w:color w:val="000000"/>
              </w:rPr>
              <w:t>Điều 16. Hiệu lực thi hành</w:t>
            </w:r>
            <w:bookmarkEnd w:id="13"/>
          </w:p>
          <w:p w14:paraId="370AB4A4" w14:textId="77777777" w:rsidR="00250554" w:rsidRPr="005239BD" w:rsidRDefault="00250554" w:rsidP="005239BD">
            <w:pPr>
              <w:pStyle w:val="NormalWeb"/>
              <w:spacing w:before="120" w:beforeAutospacing="0" w:after="120" w:afterAutospacing="0" w:line="234" w:lineRule="atLeast"/>
              <w:rPr>
                <w:rFonts w:cs="Times New Roman"/>
                <w:color w:val="000000"/>
              </w:rPr>
            </w:pPr>
            <w:r w:rsidRPr="005239BD">
              <w:rPr>
                <w:rFonts w:cs="Times New Roman"/>
                <w:color w:val="000000"/>
              </w:rPr>
              <w:lastRenderedPageBreak/>
              <w:t>1. Thông tư này có hiệu lực thi hành kể từ ngày 01 tháng 03 năm 2016.</w:t>
            </w:r>
          </w:p>
          <w:p w14:paraId="30C0B732" w14:textId="77777777" w:rsidR="00250554" w:rsidRPr="005239BD" w:rsidRDefault="00250554" w:rsidP="005239BD">
            <w:pPr>
              <w:pStyle w:val="NormalWeb"/>
              <w:spacing w:before="120" w:beforeAutospacing="0" w:after="120" w:afterAutospacing="0" w:line="234" w:lineRule="atLeast"/>
              <w:rPr>
                <w:rFonts w:cs="Times New Roman"/>
                <w:color w:val="000000"/>
              </w:rPr>
            </w:pPr>
            <w:r w:rsidRPr="005239BD">
              <w:rPr>
                <w:rFonts w:cs="Times New Roman"/>
                <w:color w:val="000000"/>
              </w:rPr>
              <w:t>2. Các quy định sau đây hết hiệu lực thi hành:</w:t>
            </w:r>
          </w:p>
          <w:p w14:paraId="6C40B4CE" w14:textId="77777777" w:rsidR="00250554" w:rsidRPr="005239BD" w:rsidRDefault="00250554" w:rsidP="005239BD">
            <w:pPr>
              <w:pStyle w:val="NormalWeb"/>
              <w:spacing w:before="0" w:beforeAutospacing="0" w:after="0" w:afterAutospacing="0" w:line="234" w:lineRule="atLeast"/>
              <w:rPr>
                <w:rFonts w:cs="Times New Roman"/>
                <w:color w:val="000000"/>
              </w:rPr>
            </w:pPr>
            <w:r w:rsidRPr="005239BD">
              <w:rPr>
                <w:rFonts w:cs="Times New Roman"/>
                <w:color w:val="000000"/>
              </w:rPr>
              <w:t>a) Quyết định số </w:t>
            </w:r>
            <w:bookmarkStart w:id="14" w:name="tvpllink_djfzfflhwl"/>
            <w:r w:rsidRPr="005239BD">
              <w:rPr>
                <w:color w:val="000000"/>
              </w:rPr>
              <w:fldChar w:fldCharType="begin"/>
            </w:r>
            <w:r w:rsidRPr="005239BD">
              <w:rPr>
                <w:rFonts w:cs="Times New Roman"/>
                <w:color w:val="000000"/>
              </w:rPr>
              <w:instrText xml:space="preserve"> HYPERLINK "https://thuvienphapluat.vn/van-ban/Tien-te-Ngan-hang/Quyet-dinh-1328-2005-QD-NHNN-ty-le-bao-dam-an-toan-hoat-dong-quy-tin-dung-nhan-dan-co-so-3709.aspx" \t "_blank" </w:instrText>
            </w:r>
            <w:r w:rsidRPr="005239BD">
              <w:rPr>
                <w:color w:val="000000"/>
              </w:rPr>
              <w:fldChar w:fldCharType="separate"/>
            </w:r>
            <w:r w:rsidRPr="005239BD">
              <w:rPr>
                <w:rStyle w:val="Hyperlink"/>
                <w:rFonts w:cs="Times New Roman"/>
                <w:color w:val="0E70C3"/>
              </w:rPr>
              <w:t>1328/2005/QĐ-NHNN</w:t>
            </w:r>
            <w:r w:rsidRPr="005239BD">
              <w:rPr>
                <w:color w:val="000000"/>
              </w:rPr>
              <w:fldChar w:fldCharType="end"/>
            </w:r>
            <w:bookmarkEnd w:id="14"/>
            <w:r w:rsidRPr="005239BD">
              <w:rPr>
                <w:rFonts w:cs="Times New Roman"/>
                <w:color w:val="000000"/>
              </w:rPr>
              <w:t> ngày 06 tháng 9 năm 2005 về việc ban hành “Quy định về các tỷ lệ bảo đảm an toàn trong hoạt động của quỹ tín dụng nhân dân cơ sở”;</w:t>
            </w:r>
          </w:p>
          <w:p w14:paraId="09653328" w14:textId="77777777" w:rsidR="00250554" w:rsidRPr="005239BD" w:rsidRDefault="00250554" w:rsidP="005239BD">
            <w:pPr>
              <w:pStyle w:val="NormalWeb"/>
              <w:spacing w:before="0" w:beforeAutospacing="0" w:after="0" w:afterAutospacing="0" w:line="234" w:lineRule="atLeast"/>
              <w:rPr>
                <w:rFonts w:cs="Times New Roman"/>
                <w:color w:val="000000"/>
              </w:rPr>
            </w:pPr>
            <w:r w:rsidRPr="005239BD">
              <w:rPr>
                <w:rFonts w:cs="Times New Roman"/>
                <w:color w:val="000000"/>
              </w:rPr>
              <w:t>b) </w:t>
            </w:r>
            <w:bookmarkStart w:id="15" w:name="dc_10"/>
            <w:r w:rsidRPr="005239BD">
              <w:rPr>
                <w:rFonts w:cs="Times New Roman"/>
                <w:color w:val="000000"/>
              </w:rPr>
              <w:t>Khoản 3 Điều 37 Thông tư số 04/2015/TT-NHNN</w:t>
            </w:r>
            <w:bookmarkEnd w:id="15"/>
            <w:r w:rsidRPr="005239BD">
              <w:rPr>
                <w:rFonts w:cs="Times New Roman"/>
                <w:color w:val="000000"/>
              </w:rPr>
              <w:t> ngày 31 tháng 3 năm 2015 quy định về quỹ tín dụng nhân dân.</w:t>
            </w:r>
          </w:p>
          <w:p w14:paraId="51967AE6" w14:textId="143929BD" w:rsidR="00250554" w:rsidRPr="005239BD" w:rsidRDefault="00250554" w:rsidP="005239BD">
            <w:pPr>
              <w:pBdr>
                <w:top w:val="nil"/>
                <w:left w:val="nil"/>
                <w:bottom w:val="nil"/>
                <w:right w:val="nil"/>
                <w:between w:val="nil"/>
              </w:pBdr>
              <w:spacing w:before="40"/>
              <w:ind w:right="0"/>
              <w:rPr>
                <w:b/>
                <w:lang w:val="nb-NO"/>
              </w:rPr>
            </w:pPr>
          </w:p>
        </w:tc>
        <w:tc>
          <w:tcPr>
            <w:tcW w:w="5386" w:type="dxa"/>
          </w:tcPr>
          <w:p w14:paraId="08093451" w14:textId="1479A9E4" w:rsidR="00250554" w:rsidRPr="00143BF7" w:rsidRDefault="00250554" w:rsidP="005239BD">
            <w:pPr>
              <w:pStyle w:val="NormalWeb"/>
              <w:spacing w:before="0" w:beforeAutospacing="0" w:after="0" w:afterAutospacing="0" w:line="234" w:lineRule="atLeast"/>
              <w:rPr>
                <w:rFonts w:cs="Times New Roman"/>
                <w:lang w:val="nb-NO"/>
              </w:rPr>
            </w:pPr>
            <w:r w:rsidRPr="00143BF7">
              <w:rPr>
                <w:b/>
                <w:bCs/>
                <w:lang w:val="nb-NO"/>
              </w:rPr>
              <w:lastRenderedPageBreak/>
              <w:t>Điều 1</w:t>
            </w:r>
            <w:r w:rsidR="00E23458" w:rsidRPr="00143BF7">
              <w:rPr>
                <w:b/>
                <w:bCs/>
                <w:lang w:val="nb-NO"/>
              </w:rPr>
              <w:t>5</w:t>
            </w:r>
            <w:r w:rsidRPr="00143BF7">
              <w:rPr>
                <w:b/>
                <w:bCs/>
                <w:lang w:val="nb-NO"/>
              </w:rPr>
              <w:t>. Hiệu lực thi hành</w:t>
            </w:r>
          </w:p>
          <w:p w14:paraId="6428B49B" w14:textId="66EB0714" w:rsidR="00250554" w:rsidRPr="00143BF7" w:rsidRDefault="00250554" w:rsidP="005239BD">
            <w:pPr>
              <w:pStyle w:val="NormalWeb"/>
              <w:spacing w:before="120" w:beforeAutospacing="0" w:after="120" w:afterAutospacing="0" w:line="234" w:lineRule="atLeast"/>
              <w:rPr>
                <w:rFonts w:cs="Times New Roman"/>
                <w:lang w:val="nb-NO"/>
              </w:rPr>
            </w:pPr>
            <w:r w:rsidRPr="00143BF7">
              <w:rPr>
                <w:lang w:val="nb-NO"/>
              </w:rPr>
              <w:lastRenderedPageBreak/>
              <w:t>1. Thông tư này có hiệu lực thi hành kể từ ngày … tháng … năm …</w:t>
            </w:r>
          </w:p>
          <w:p w14:paraId="47D79530" w14:textId="13205274" w:rsidR="00070B8F" w:rsidRPr="00143BF7" w:rsidRDefault="00250554" w:rsidP="005239BD">
            <w:pPr>
              <w:pStyle w:val="NormalWeb"/>
              <w:spacing w:before="120" w:beforeAutospacing="0" w:after="120" w:afterAutospacing="0" w:line="234" w:lineRule="atLeast"/>
              <w:rPr>
                <w:lang w:val="nb-NO"/>
              </w:rPr>
            </w:pPr>
            <w:r w:rsidRPr="00143BF7">
              <w:rPr>
                <w:lang w:val="nb-NO"/>
              </w:rPr>
              <w:t>2. Thông tư này bãi bỏ</w:t>
            </w:r>
            <w:r w:rsidR="00070B8F" w:rsidRPr="00143BF7">
              <w:rPr>
                <w:lang w:val="nb-NO"/>
              </w:rPr>
              <w:t>:</w:t>
            </w:r>
          </w:p>
          <w:p w14:paraId="167BFDB0" w14:textId="77777777" w:rsidR="00070B8F" w:rsidRPr="00143BF7" w:rsidRDefault="00070B8F" w:rsidP="005239BD">
            <w:pPr>
              <w:pStyle w:val="NormalWeb"/>
              <w:spacing w:before="120" w:beforeAutospacing="0" w:after="120" w:afterAutospacing="0" w:line="234" w:lineRule="atLeast"/>
              <w:rPr>
                <w:noProof/>
                <w:lang w:val="nb-NO"/>
              </w:rPr>
            </w:pPr>
            <w:r w:rsidRPr="00143BF7">
              <w:rPr>
                <w:lang w:val="nb-NO"/>
              </w:rPr>
              <w:t xml:space="preserve">a) </w:t>
            </w:r>
            <w:r w:rsidR="00250554" w:rsidRPr="00143BF7">
              <w:rPr>
                <w:lang w:val="nb-NO"/>
              </w:rPr>
              <w:t xml:space="preserve">Thông tư số 32/2015/TT-NHNN ngày 31 tháng 12 năm 2015 của Thống đốc Ngân hàng Nhà nước Việt Nam quy định </w:t>
            </w:r>
            <w:r w:rsidR="00250554" w:rsidRPr="00143BF7">
              <w:rPr>
                <w:noProof/>
                <w:lang w:val="nb-NO"/>
              </w:rPr>
              <w:t>về các giới hạn, tỷ lệ bảo đảm an toàn trong hoạt động của quỹ tín dụng nhân dân</w:t>
            </w:r>
            <w:r w:rsidRPr="00143BF7">
              <w:rPr>
                <w:noProof/>
                <w:lang w:val="nb-NO"/>
              </w:rPr>
              <w:t>;</w:t>
            </w:r>
          </w:p>
          <w:p w14:paraId="14F5B169" w14:textId="5ADF6EE0" w:rsidR="00250554" w:rsidRPr="00143BF7" w:rsidRDefault="00070B8F" w:rsidP="005239BD">
            <w:pPr>
              <w:pStyle w:val="NormalWeb"/>
              <w:spacing w:before="120" w:beforeAutospacing="0" w:after="120" w:afterAutospacing="0" w:line="234" w:lineRule="atLeast"/>
              <w:rPr>
                <w:b/>
                <w:noProof/>
                <w:lang w:val="nb-NO"/>
              </w:rPr>
            </w:pPr>
            <w:r w:rsidRPr="00143BF7">
              <w:rPr>
                <w:noProof/>
                <w:lang w:val="nb-NO"/>
              </w:rPr>
              <w:t>b) Thông tư số 13/2024/TT-NHNN ngày 28 tháng 6 năm 2024 của Thống đốc Ngân hàng Nhà nước</w:t>
            </w:r>
            <w:r w:rsidR="005025CF">
              <w:rPr>
                <w:noProof/>
                <w:lang w:val="nb-NO"/>
              </w:rPr>
              <w:t xml:space="preserve"> Việt Nam</w:t>
            </w:r>
            <w:r w:rsidRPr="00143BF7">
              <w:rPr>
                <w:noProof/>
                <w:lang w:val="nb-NO"/>
              </w:rPr>
              <w:t xml:space="preserve"> 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w:t>
            </w:r>
          </w:p>
        </w:tc>
        <w:tc>
          <w:tcPr>
            <w:tcW w:w="3969" w:type="dxa"/>
          </w:tcPr>
          <w:p w14:paraId="30A3B32E" w14:textId="77777777" w:rsidR="00250554" w:rsidRPr="00143BF7" w:rsidRDefault="00250554" w:rsidP="005239BD">
            <w:pPr>
              <w:ind w:right="0"/>
              <w:rPr>
                <w:shd w:val="clear" w:color="auto" w:fill="FFFFFF"/>
                <w:lang w:val="nb-NO"/>
              </w:rPr>
            </w:pPr>
          </w:p>
        </w:tc>
      </w:tr>
      <w:tr w:rsidR="00250554" w:rsidRPr="00AC5DD8" w14:paraId="3FC65CA5" w14:textId="77777777" w:rsidTr="004141EF">
        <w:tc>
          <w:tcPr>
            <w:tcW w:w="680" w:type="dxa"/>
            <w:vAlign w:val="center"/>
          </w:tcPr>
          <w:p w14:paraId="6032C474" w14:textId="71661822" w:rsidR="00250554" w:rsidRPr="005239BD" w:rsidRDefault="00250554" w:rsidP="005239BD">
            <w:pPr>
              <w:spacing w:before="120" w:after="120"/>
              <w:ind w:right="0"/>
              <w:jc w:val="center"/>
              <w:rPr>
                <w:b/>
                <w:iCs/>
                <w:noProof/>
              </w:rPr>
            </w:pPr>
            <w:r w:rsidRPr="005239BD">
              <w:rPr>
                <w:b/>
                <w:iCs/>
                <w:noProof/>
              </w:rPr>
              <w:lastRenderedPageBreak/>
              <w:t>1</w:t>
            </w:r>
            <w:r w:rsidR="00622FAA">
              <w:rPr>
                <w:b/>
                <w:iCs/>
                <w:noProof/>
              </w:rPr>
              <w:t>6</w:t>
            </w:r>
          </w:p>
        </w:tc>
        <w:tc>
          <w:tcPr>
            <w:tcW w:w="5416" w:type="dxa"/>
          </w:tcPr>
          <w:p w14:paraId="794F3A57" w14:textId="77777777" w:rsidR="00250554" w:rsidRPr="005239BD" w:rsidRDefault="00250554" w:rsidP="005239BD">
            <w:pPr>
              <w:pBdr>
                <w:top w:val="nil"/>
                <w:left w:val="nil"/>
                <w:bottom w:val="nil"/>
                <w:right w:val="nil"/>
                <w:between w:val="nil"/>
              </w:pBdr>
              <w:spacing w:before="40"/>
              <w:ind w:right="0"/>
              <w:rPr>
                <w:rFonts w:cs="Times New Roman"/>
                <w:b/>
                <w:lang w:val="nb-NO"/>
              </w:rPr>
            </w:pPr>
            <w:r w:rsidRPr="005239BD">
              <w:rPr>
                <w:b/>
                <w:lang w:val="nb-NO"/>
              </w:rPr>
              <w:t>Điều 17. Tổ chức thực hiện</w:t>
            </w:r>
          </w:p>
          <w:p w14:paraId="16A77946" w14:textId="22B843CA" w:rsidR="00250554" w:rsidRPr="005239BD" w:rsidRDefault="00250554" w:rsidP="005239BD">
            <w:pPr>
              <w:pBdr>
                <w:top w:val="nil"/>
                <w:left w:val="nil"/>
                <w:bottom w:val="nil"/>
                <w:right w:val="nil"/>
                <w:between w:val="nil"/>
              </w:pBdr>
              <w:ind w:right="0"/>
              <w:rPr>
                <w:b/>
                <w:lang w:val="nb-NO"/>
              </w:rPr>
            </w:pPr>
            <w:r w:rsidRPr="005239BD">
              <w:rPr>
                <w:rFonts w:eastAsia="Arial"/>
                <w:noProof/>
                <w:lang w:val="nl-NL"/>
              </w:rPr>
              <w:t xml:space="preserve">Chánh Văn phòng, Chánh Thanh tra, giám sát ngân hàng, Thủ trưởng các đơn vị thuộc Ngân hàng Nhà nước, Giám đốc </w:t>
            </w:r>
            <w:r w:rsidRPr="005239BD">
              <w:rPr>
                <w:rFonts w:eastAsia="Arial"/>
                <w:noProof/>
                <w:u w:val="single"/>
                <w:lang w:val="nl-NL"/>
              </w:rPr>
              <w:t>Ngân hàng Nhà nước chi nhánh tỉnh, thành phố trực thuộc Trung ương</w:t>
            </w:r>
            <w:r w:rsidRPr="005239BD">
              <w:rPr>
                <w:rFonts w:eastAsia="Arial"/>
                <w:noProof/>
                <w:lang w:val="nl-NL"/>
              </w:rPr>
              <w:t>, Chủ tịch Hội đồng quản trị, Tổng giám đốc Ngân hàng Hợp tác xã, Chủ tịch Hội đồng quản trị, Giám đốc quỹ tín dụng nhân dân chịu trách nhiệm tổ chức thực hiện Thông tư này./.</w:t>
            </w:r>
          </w:p>
        </w:tc>
        <w:tc>
          <w:tcPr>
            <w:tcW w:w="5386" w:type="dxa"/>
          </w:tcPr>
          <w:p w14:paraId="2270CE55" w14:textId="6F185994" w:rsidR="00250554" w:rsidRPr="005239BD" w:rsidRDefault="00250554" w:rsidP="005239BD">
            <w:pPr>
              <w:pStyle w:val="NormalWeb"/>
              <w:spacing w:before="0" w:beforeAutospacing="0" w:after="0" w:afterAutospacing="0" w:line="234" w:lineRule="atLeast"/>
              <w:rPr>
                <w:b/>
                <w:lang w:val="nb-NO"/>
              </w:rPr>
            </w:pPr>
            <w:r w:rsidRPr="00143BF7">
              <w:rPr>
                <w:b/>
                <w:bCs/>
                <w:lang w:val="nb-NO"/>
              </w:rPr>
              <w:t>Điều 1</w:t>
            </w:r>
            <w:r w:rsidR="00E23458" w:rsidRPr="00143BF7">
              <w:rPr>
                <w:b/>
                <w:bCs/>
                <w:lang w:val="nb-NO"/>
              </w:rPr>
              <w:t>6</w:t>
            </w:r>
            <w:r w:rsidRPr="00143BF7">
              <w:rPr>
                <w:b/>
                <w:bCs/>
                <w:lang w:val="nb-NO"/>
              </w:rPr>
              <w:t xml:space="preserve">. </w:t>
            </w:r>
            <w:r w:rsidRPr="005239BD">
              <w:rPr>
                <w:b/>
                <w:lang w:val="nb-NO"/>
              </w:rPr>
              <w:t>Tổ chức thực hiện</w:t>
            </w:r>
          </w:p>
          <w:p w14:paraId="31E431D2" w14:textId="13823869" w:rsidR="00250554" w:rsidRPr="00143BF7" w:rsidRDefault="00250554" w:rsidP="005239BD">
            <w:pPr>
              <w:pStyle w:val="NormalWeb"/>
              <w:spacing w:before="0" w:beforeAutospacing="0" w:after="0" w:afterAutospacing="0" w:line="234" w:lineRule="atLeast"/>
              <w:rPr>
                <w:rFonts w:eastAsiaTheme="majorEastAsia"/>
                <w:lang w:val="nb-NO"/>
              </w:rPr>
            </w:pPr>
            <w:r w:rsidRPr="005239BD">
              <w:rPr>
                <w:rFonts w:eastAsia="Arial"/>
                <w:noProof/>
                <w:lang w:val="nl-NL"/>
              </w:rPr>
              <w:t>Thủ trưởng các đơn vị thuộc Ngân hàng Nhà nước, quỹ tín dụng nhân dân chịu trách nhiệm tổ chức thực hiện Thông tư này./.</w:t>
            </w:r>
          </w:p>
        </w:tc>
        <w:tc>
          <w:tcPr>
            <w:tcW w:w="3969" w:type="dxa"/>
          </w:tcPr>
          <w:p w14:paraId="1A581265" w14:textId="492DDFB0" w:rsidR="00250554" w:rsidRPr="00864CA1" w:rsidRDefault="00250554" w:rsidP="005239BD">
            <w:pPr>
              <w:ind w:right="0"/>
              <w:rPr>
                <w:lang w:val="nl-NL"/>
              </w:rPr>
            </w:pPr>
            <w:r w:rsidRPr="00143BF7">
              <w:rPr>
                <w:shd w:val="clear" w:color="auto" w:fill="FFFFFF"/>
                <w:lang w:val="nb-NO"/>
              </w:rPr>
              <w:t>Để phù hợp với Nghị định số 26/2025/NĐ-CP quy định chức năng, nhiệm vụ, quyền hạn và cơ cấu tổ chức của NHNN.</w:t>
            </w:r>
          </w:p>
        </w:tc>
      </w:tr>
      <w:tr w:rsidR="00462A74" w:rsidRPr="00AC5DD8" w14:paraId="563B9728" w14:textId="77777777" w:rsidTr="004141EF">
        <w:tc>
          <w:tcPr>
            <w:tcW w:w="680" w:type="dxa"/>
            <w:vAlign w:val="center"/>
          </w:tcPr>
          <w:p w14:paraId="2CD5E895" w14:textId="74B8CFBA" w:rsidR="00462A74" w:rsidRPr="005239BD" w:rsidRDefault="006C7241" w:rsidP="00462A74">
            <w:pPr>
              <w:spacing w:before="120" w:after="120"/>
              <w:ind w:right="0"/>
              <w:jc w:val="center"/>
              <w:rPr>
                <w:b/>
                <w:iCs/>
                <w:noProof/>
              </w:rPr>
            </w:pPr>
            <w:r>
              <w:rPr>
                <w:b/>
                <w:iCs/>
                <w:noProof/>
              </w:rPr>
              <w:t>1</w:t>
            </w:r>
            <w:r w:rsidR="00622FAA">
              <w:rPr>
                <w:b/>
                <w:iCs/>
                <w:noProof/>
              </w:rPr>
              <w:t>7</w:t>
            </w:r>
          </w:p>
        </w:tc>
        <w:tc>
          <w:tcPr>
            <w:tcW w:w="5416" w:type="dxa"/>
          </w:tcPr>
          <w:p w14:paraId="25486363" w14:textId="1421B37F" w:rsidR="00462A74" w:rsidRPr="005239BD" w:rsidRDefault="00462A74">
            <w:pPr>
              <w:pBdr>
                <w:top w:val="nil"/>
                <w:left w:val="nil"/>
                <w:bottom w:val="nil"/>
                <w:right w:val="nil"/>
                <w:between w:val="nil"/>
              </w:pBdr>
              <w:spacing w:before="40"/>
              <w:ind w:right="0"/>
              <w:rPr>
                <w:b/>
                <w:lang w:val="nb-NO"/>
              </w:rPr>
            </w:pPr>
            <w:r>
              <w:rPr>
                <w:b/>
                <w:lang w:val="nb-NO"/>
              </w:rPr>
              <w:t xml:space="preserve">Phụ lục I: </w:t>
            </w:r>
            <w:r w:rsidRPr="00143BF7">
              <w:rPr>
                <w:b/>
                <w:u w:val="single"/>
                <w:lang w:val="nb-NO"/>
              </w:rPr>
              <w:t xml:space="preserve">Việc </w:t>
            </w:r>
            <w:r>
              <w:rPr>
                <w:b/>
                <w:lang w:val="nb-NO"/>
              </w:rPr>
              <w:t xml:space="preserve">xác định </w:t>
            </w:r>
            <w:r w:rsidR="00F43F02">
              <w:rPr>
                <w:b/>
                <w:lang w:val="nb-NO"/>
              </w:rPr>
              <w:t>V</w:t>
            </w:r>
            <w:r>
              <w:rPr>
                <w:b/>
                <w:lang w:val="nb-NO"/>
              </w:rPr>
              <w:t>ốn tự có</w:t>
            </w:r>
          </w:p>
        </w:tc>
        <w:tc>
          <w:tcPr>
            <w:tcW w:w="5386" w:type="dxa"/>
          </w:tcPr>
          <w:p w14:paraId="65199CD6" w14:textId="6C0C0489" w:rsidR="00462A74" w:rsidRPr="006C7241" w:rsidRDefault="00462A74">
            <w:pPr>
              <w:pStyle w:val="NormalWeb"/>
              <w:spacing w:before="0" w:beforeAutospacing="0" w:after="0" w:afterAutospacing="0" w:line="234" w:lineRule="atLeast"/>
              <w:rPr>
                <w:b/>
                <w:bCs/>
                <w:lang w:val="nb-NO"/>
              </w:rPr>
            </w:pPr>
            <w:r>
              <w:rPr>
                <w:b/>
                <w:bCs/>
              </w:rPr>
              <w:t>Phụ lục I</w:t>
            </w:r>
            <w:r w:rsidR="006C7241">
              <w:rPr>
                <w:b/>
                <w:bCs/>
              </w:rPr>
              <w:t xml:space="preserve">: </w:t>
            </w:r>
            <w:r w:rsidR="00F43F02" w:rsidRPr="00143BF7">
              <w:rPr>
                <w:b/>
                <w:bCs/>
                <w:i/>
              </w:rPr>
              <w:t>Cấu phần và cách</w:t>
            </w:r>
            <w:r w:rsidR="00F43F02" w:rsidRPr="00F43F02">
              <w:rPr>
                <w:b/>
                <w:bCs/>
              </w:rPr>
              <w:t xml:space="preserve"> xác định </w:t>
            </w:r>
            <w:r w:rsidR="00F43F02">
              <w:rPr>
                <w:b/>
                <w:bCs/>
              </w:rPr>
              <w:t>V</w:t>
            </w:r>
            <w:r w:rsidR="00F43F02" w:rsidRPr="00F43F02">
              <w:rPr>
                <w:b/>
                <w:bCs/>
              </w:rPr>
              <w:t>ốn tự có</w:t>
            </w:r>
          </w:p>
        </w:tc>
        <w:tc>
          <w:tcPr>
            <w:tcW w:w="3969" w:type="dxa"/>
          </w:tcPr>
          <w:p w14:paraId="22A2AFB6" w14:textId="277E2BAF" w:rsidR="00462A74" w:rsidRPr="00AC5DD8" w:rsidRDefault="00E96379" w:rsidP="00462A74">
            <w:pPr>
              <w:ind w:right="0"/>
              <w:rPr>
                <w:shd w:val="clear" w:color="auto" w:fill="FFFFFF"/>
                <w:lang w:val="nb-NO"/>
              </w:rPr>
            </w:pPr>
            <w:r>
              <w:rPr>
                <w:shd w:val="clear" w:color="auto" w:fill="FFFFFF"/>
                <w:lang w:val="nb-NO"/>
              </w:rPr>
              <w:t>Sửa tên Phụ lục và trình bày lại các khoản mục tại Phụ lục</w:t>
            </w:r>
            <w:r w:rsidR="00D02643">
              <w:rPr>
                <w:shd w:val="clear" w:color="auto" w:fill="FFFFFF"/>
                <w:lang w:val="nb-NO"/>
              </w:rPr>
              <w:t xml:space="preserve"> cho rõ ràng.</w:t>
            </w:r>
          </w:p>
        </w:tc>
      </w:tr>
      <w:tr w:rsidR="00462A74" w:rsidRPr="00AC5DD8" w14:paraId="15D38D95" w14:textId="77777777" w:rsidTr="004141EF">
        <w:tc>
          <w:tcPr>
            <w:tcW w:w="680" w:type="dxa"/>
            <w:vAlign w:val="center"/>
          </w:tcPr>
          <w:p w14:paraId="755F9787" w14:textId="71060AAD" w:rsidR="00462A74" w:rsidRPr="00143BF7" w:rsidRDefault="006C7241" w:rsidP="00462A74">
            <w:pPr>
              <w:spacing w:before="120" w:after="120"/>
              <w:ind w:right="0"/>
              <w:jc w:val="center"/>
              <w:rPr>
                <w:iCs/>
                <w:noProof/>
              </w:rPr>
            </w:pPr>
            <w:r w:rsidRPr="00143BF7">
              <w:rPr>
                <w:iCs/>
                <w:noProof/>
              </w:rPr>
              <w:t>1</w:t>
            </w:r>
            <w:r w:rsidR="00622FAA">
              <w:rPr>
                <w:iCs/>
                <w:noProof/>
              </w:rPr>
              <w:t>7</w:t>
            </w:r>
            <w:r w:rsidRPr="00143BF7">
              <w:rPr>
                <w:iCs/>
                <w:noProof/>
              </w:rPr>
              <w:t>.1</w:t>
            </w:r>
          </w:p>
        </w:tc>
        <w:tc>
          <w:tcPr>
            <w:tcW w:w="5416" w:type="dxa"/>
          </w:tcPr>
          <w:p w14:paraId="6F4518DD" w14:textId="35C92A83" w:rsidR="00462A74" w:rsidRPr="005239BD" w:rsidRDefault="00462A74" w:rsidP="00462A74">
            <w:pPr>
              <w:pBdr>
                <w:top w:val="nil"/>
                <w:left w:val="nil"/>
                <w:bottom w:val="nil"/>
                <w:right w:val="nil"/>
                <w:between w:val="nil"/>
              </w:pBdr>
              <w:spacing w:before="40"/>
              <w:ind w:right="0"/>
              <w:rPr>
                <w:b/>
                <w:lang w:val="nb-NO"/>
              </w:rPr>
            </w:pPr>
            <w:r w:rsidRPr="00462A74">
              <w:rPr>
                <w:lang w:val="nb-NO"/>
              </w:rPr>
              <w:t xml:space="preserve">Quỹ đầu tư phát triển </w:t>
            </w:r>
            <w:r w:rsidRPr="00143BF7">
              <w:rPr>
                <w:u w:val="single"/>
                <w:lang w:val="nb-NO"/>
              </w:rPr>
              <w:t>nghiệp vụ</w:t>
            </w:r>
          </w:p>
        </w:tc>
        <w:tc>
          <w:tcPr>
            <w:tcW w:w="5386" w:type="dxa"/>
          </w:tcPr>
          <w:p w14:paraId="48D7DC2F" w14:textId="093FB28F" w:rsidR="00462A74" w:rsidRPr="006C7241" w:rsidRDefault="00462A74" w:rsidP="00462A74">
            <w:pPr>
              <w:pStyle w:val="NormalWeb"/>
              <w:spacing w:before="0" w:beforeAutospacing="0" w:after="0" w:afterAutospacing="0" w:line="234" w:lineRule="atLeast"/>
              <w:rPr>
                <w:b/>
                <w:bCs/>
                <w:lang w:val="nb-NO"/>
              </w:rPr>
            </w:pPr>
            <w:r w:rsidRPr="00462A74">
              <w:rPr>
                <w:lang w:val="nb-NO"/>
              </w:rPr>
              <w:t>Quỹ đầu tư phát triển</w:t>
            </w:r>
          </w:p>
        </w:tc>
        <w:tc>
          <w:tcPr>
            <w:tcW w:w="3969" w:type="dxa"/>
          </w:tcPr>
          <w:p w14:paraId="1C26C155" w14:textId="72A97E98" w:rsidR="00462A74" w:rsidRPr="006C7241" w:rsidRDefault="00462A74" w:rsidP="00462A74">
            <w:pPr>
              <w:ind w:right="0"/>
              <w:rPr>
                <w:shd w:val="clear" w:color="auto" w:fill="FFFFFF"/>
                <w:lang w:val="nb-NO"/>
              </w:rPr>
            </w:pPr>
            <w:r>
              <w:rPr>
                <w:lang w:val="nb-NO"/>
              </w:rPr>
              <w:t xml:space="preserve">Sửa đổi cho phù hợp với quy định tại </w:t>
            </w:r>
            <w:r w:rsidR="00111E1C">
              <w:rPr>
                <w:lang w:val="nb-NO"/>
              </w:rPr>
              <w:t>điểm a(iv) khoản 3 Điều 8 DTTT</w:t>
            </w:r>
          </w:p>
        </w:tc>
      </w:tr>
      <w:tr w:rsidR="00462A74" w:rsidRPr="00AC5DD8" w14:paraId="5AF8498A" w14:textId="77777777" w:rsidTr="004141EF">
        <w:tc>
          <w:tcPr>
            <w:tcW w:w="680" w:type="dxa"/>
            <w:vAlign w:val="center"/>
          </w:tcPr>
          <w:p w14:paraId="0EB7A14C" w14:textId="0FD495A6" w:rsidR="00462A74" w:rsidRPr="005239BD" w:rsidRDefault="006C7241" w:rsidP="00462A74">
            <w:pPr>
              <w:spacing w:before="120" w:after="120"/>
              <w:ind w:right="0"/>
              <w:jc w:val="center"/>
              <w:rPr>
                <w:b/>
                <w:iCs/>
                <w:noProof/>
              </w:rPr>
            </w:pPr>
            <w:r>
              <w:rPr>
                <w:iCs/>
                <w:noProof/>
              </w:rPr>
              <w:t>1</w:t>
            </w:r>
            <w:r w:rsidR="00622FAA">
              <w:rPr>
                <w:iCs/>
                <w:noProof/>
              </w:rPr>
              <w:t>7</w:t>
            </w:r>
            <w:r>
              <w:rPr>
                <w:iCs/>
                <w:noProof/>
              </w:rPr>
              <w:t>.2</w:t>
            </w:r>
          </w:p>
        </w:tc>
        <w:tc>
          <w:tcPr>
            <w:tcW w:w="5416" w:type="dxa"/>
          </w:tcPr>
          <w:p w14:paraId="35B391B0" w14:textId="78880843" w:rsidR="00462A74" w:rsidRPr="00143BF7" w:rsidRDefault="00462A74" w:rsidP="00462A74">
            <w:pPr>
              <w:pBdr>
                <w:top w:val="nil"/>
                <w:left w:val="nil"/>
                <w:bottom w:val="nil"/>
                <w:right w:val="nil"/>
                <w:between w:val="nil"/>
              </w:pBdr>
              <w:spacing w:before="40"/>
              <w:ind w:right="0"/>
              <w:rPr>
                <w:u w:val="single"/>
                <w:lang w:val="nb-NO"/>
              </w:rPr>
            </w:pPr>
            <w:r w:rsidRPr="00143BF7">
              <w:rPr>
                <w:u w:val="single"/>
                <w:lang w:val="nb-NO"/>
              </w:rPr>
              <w:t>Lợi nhuận không chia</w:t>
            </w:r>
          </w:p>
        </w:tc>
        <w:tc>
          <w:tcPr>
            <w:tcW w:w="5386" w:type="dxa"/>
          </w:tcPr>
          <w:p w14:paraId="44E8E5CD" w14:textId="251D16F3" w:rsidR="00462A74" w:rsidRPr="00143BF7" w:rsidRDefault="00462A74" w:rsidP="00462A74">
            <w:pPr>
              <w:pStyle w:val="NormalWeb"/>
              <w:spacing w:before="0" w:beforeAutospacing="0" w:after="0" w:afterAutospacing="0" w:line="234" w:lineRule="atLeast"/>
              <w:rPr>
                <w:i/>
                <w:lang w:val="nb-NO"/>
              </w:rPr>
            </w:pPr>
            <w:r w:rsidRPr="00143BF7">
              <w:rPr>
                <w:i/>
                <w:lang w:val="nb-NO"/>
              </w:rPr>
              <w:t xml:space="preserve">Lợi nhuận lũy kế chưa phân phối: </w:t>
            </w:r>
            <w:r w:rsidR="006C7241" w:rsidRPr="00143BF7">
              <w:rPr>
                <w:i/>
                <w:lang w:val="nb-NO"/>
              </w:rPr>
              <w:t>Lấy số liệu Lợi nhuận chưa phân phối trên Báo cáo tình hình tài chính được lập theo số liệu Bảng cân đối tài khoản kế toán tại thời điểm tính tỷ lệ an toàn vốn.</w:t>
            </w:r>
          </w:p>
        </w:tc>
        <w:tc>
          <w:tcPr>
            <w:tcW w:w="3969" w:type="dxa"/>
          </w:tcPr>
          <w:p w14:paraId="35C4D3A6" w14:textId="036EDE8D" w:rsidR="00462A74" w:rsidRDefault="00111E1C">
            <w:pPr>
              <w:ind w:right="0"/>
              <w:rPr>
                <w:lang w:val="nb-NO"/>
              </w:rPr>
            </w:pPr>
            <w:r>
              <w:rPr>
                <w:lang w:val="nb-NO"/>
              </w:rPr>
              <w:t>Sửa đổi cho phù hợp với quy định tại điểm a(vii) khoản 3 Điều 8 DTTT</w:t>
            </w:r>
          </w:p>
        </w:tc>
      </w:tr>
      <w:tr w:rsidR="00462A74" w:rsidRPr="00AC5DD8" w14:paraId="061B6AE6" w14:textId="77777777" w:rsidTr="004141EF">
        <w:tc>
          <w:tcPr>
            <w:tcW w:w="680" w:type="dxa"/>
            <w:vAlign w:val="center"/>
          </w:tcPr>
          <w:p w14:paraId="4CAE9043" w14:textId="697DAC16" w:rsidR="00462A74" w:rsidRPr="005239BD" w:rsidRDefault="00AA296A">
            <w:pPr>
              <w:spacing w:before="120" w:after="120"/>
              <w:ind w:right="0"/>
              <w:jc w:val="center"/>
              <w:rPr>
                <w:b/>
                <w:iCs/>
                <w:noProof/>
              </w:rPr>
            </w:pPr>
            <w:r>
              <w:rPr>
                <w:b/>
                <w:iCs/>
                <w:noProof/>
              </w:rPr>
              <w:lastRenderedPageBreak/>
              <w:t>1</w:t>
            </w:r>
            <w:r w:rsidR="00622FAA">
              <w:rPr>
                <w:b/>
                <w:iCs/>
                <w:noProof/>
              </w:rPr>
              <w:t>8</w:t>
            </w:r>
          </w:p>
        </w:tc>
        <w:tc>
          <w:tcPr>
            <w:tcW w:w="5416" w:type="dxa"/>
          </w:tcPr>
          <w:p w14:paraId="5FE149C2" w14:textId="735D132E" w:rsidR="00462A74" w:rsidRPr="005239BD" w:rsidRDefault="00462A74" w:rsidP="006C7241">
            <w:pPr>
              <w:pBdr>
                <w:top w:val="nil"/>
                <w:left w:val="nil"/>
                <w:bottom w:val="nil"/>
                <w:right w:val="nil"/>
                <w:between w:val="nil"/>
              </w:pBdr>
              <w:spacing w:before="40"/>
              <w:ind w:right="0"/>
              <w:rPr>
                <w:b/>
                <w:lang w:val="nb-NO"/>
              </w:rPr>
            </w:pPr>
            <w:r>
              <w:rPr>
                <w:b/>
                <w:lang w:val="nb-NO"/>
              </w:rPr>
              <w:t xml:space="preserve">Phụ lục II: </w:t>
            </w:r>
            <w:r w:rsidRPr="00143BF7">
              <w:rPr>
                <w:b/>
                <w:u w:val="single"/>
                <w:lang w:val="nb-NO"/>
              </w:rPr>
              <w:t>Giá trị</w:t>
            </w:r>
            <w:r>
              <w:rPr>
                <w:b/>
                <w:lang w:val="nb-NO"/>
              </w:rPr>
              <w:t xml:space="preserve"> Tài sản "Có" rủi ro</w:t>
            </w:r>
          </w:p>
        </w:tc>
        <w:tc>
          <w:tcPr>
            <w:tcW w:w="5386" w:type="dxa"/>
          </w:tcPr>
          <w:p w14:paraId="60D77523" w14:textId="341EAAC9" w:rsidR="00462A74" w:rsidRPr="006C7241" w:rsidRDefault="00462A74">
            <w:pPr>
              <w:pStyle w:val="NormalWeb"/>
              <w:spacing w:before="0" w:beforeAutospacing="0" w:after="0" w:afterAutospacing="0" w:line="234" w:lineRule="atLeast"/>
              <w:rPr>
                <w:b/>
                <w:bCs/>
                <w:lang w:val="nb-NO"/>
              </w:rPr>
            </w:pPr>
            <w:r>
              <w:rPr>
                <w:b/>
                <w:bCs/>
              </w:rPr>
              <w:t>Phụ lục II</w:t>
            </w:r>
            <w:r w:rsidR="006C7241">
              <w:rPr>
                <w:b/>
                <w:bCs/>
              </w:rPr>
              <w:t xml:space="preserve">: </w:t>
            </w:r>
            <w:r w:rsidR="00946106" w:rsidRPr="00143BF7">
              <w:rPr>
                <w:b/>
                <w:bCs/>
                <w:i/>
              </w:rPr>
              <w:t>Phân nhóm và cách xác định tổng</w:t>
            </w:r>
            <w:r w:rsidR="00946106" w:rsidRPr="00946106">
              <w:rPr>
                <w:b/>
                <w:bCs/>
              </w:rPr>
              <w:t xml:space="preserve"> </w:t>
            </w:r>
            <w:r w:rsidR="00946106">
              <w:rPr>
                <w:b/>
                <w:bCs/>
              </w:rPr>
              <w:t>T</w:t>
            </w:r>
            <w:r w:rsidR="00946106" w:rsidRPr="00946106">
              <w:rPr>
                <w:b/>
                <w:bCs/>
              </w:rPr>
              <w:t>ài sản “</w:t>
            </w:r>
            <w:r w:rsidR="00946106">
              <w:rPr>
                <w:b/>
                <w:bCs/>
              </w:rPr>
              <w:t>C</w:t>
            </w:r>
            <w:r w:rsidR="00946106" w:rsidRPr="00946106">
              <w:rPr>
                <w:b/>
                <w:bCs/>
              </w:rPr>
              <w:t>ó” rủi ro</w:t>
            </w:r>
          </w:p>
        </w:tc>
        <w:tc>
          <w:tcPr>
            <w:tcW w:w="3969" w:type="dxa"/>
          </w:tcPr>
          <w:p w14:paraId="44B59B81" w14:textId="00C5760E" w:rsidR="00462A74" w:rsidRPr="006C7241" w:rsidRDefault="00946106" w:rsidP="00462A74">
            <w:pPr>
              <w:ind w:right="0"/>
              <w:rPr>
                <w:shd w:val="clear" w:color="auto" w:fill="FFFFFF"/>
                <w:lang w:val="nb-NO"/>
              </w:rPr>
            </w:pPr>
            <w:r>
              <w:rPr>
                <w:shd w:val="clear" w:color="auto" w:fill="FFFFFF"/>
                <w:lang w:val="nb-NO"/>
              </w:rPr>
              <w:t xml:space="preserve">Sửa tên Phụ lục </w:t>
            </w:r>
          </w:p>
        </w:tc>
      </w:tr>
      <w:tr w:rsidR="00F11CC7" w:rsidRPr="00AC5DD8" w14:paraId="7F82068E" w14:textId="77777777" w:rsidTr="004141EF">
        <w:tc>
          <w:tcPr>
            <w:tcW w:w="680" w:type="dxa"/>
            <w:vAlign w:val="center"/>
          </w:tcPr>
          <w:p w14:paraId="2716B80D" w14:textId="153FBD55" w:rsidR="00F11CC7" w:rsidRPr="00F11CC7" w:rsidRDefault="00F11CC7" w:rsidP="00F11CC7">
            <w:pPr>
              <w:spacing w:before="120" w:after="120"/>
              <w:ind w:right="0"/>
              <w:jc w:val="center"/>
              <w:rPr>
                <w:iCs/>
                <w:noProof/>
              </w:rPr>
            </w:pPr>
            <w:r>
              <w:rPr>
                <w:iCs/>
                <w:noProof/>
              </w:rPr>
              <w:t>1</w:t>
            </w:r>
            <w:r w:rsidR="00622FAA">
              <w:rPr>
                <w:iCs/>
                <w:noProof/>
              </w:rPr>
              <w:t>8</w:t>
            </w:r>
            <w:r>
              <w:rPr>
                <w:iCs/>
                <w:noProof/>
              </w:rPr>
              <w:t>.1</w:t>
            </w:r>
          </w:p>
        </w:tc>
        <w:tc>
          <w:tcPr>
            <w:tcW w:w="5416" w:type="dxa"/>
          </w:tcPr>
          <w:p w14:paraId="2D9F829F" w14:textId="51CACBE6" w:rsidR="00F11CC7" w:rsidRPr="00F11CC7" w:rsidRDefault="00F11CC7" w:rsidP="00F11CC7">
            <w:pPr>
              <w:pBdr>
                <w:top w:val="nil"/>
                <w:left w:val="nil"/>
                <w:bottom w:val="nil"/>
                <w:right w:val="nil"/>
                <w:between w:val="nil"/>
              </w:pBdr>
              <w:spacing w:before="40"/>
              <w:ind w:right="0"/>
              <w:rPr>
                <w:lang w:val="nb-NO"/>
              </w:rPr>
            </w:pPr>
            <w:r w:rsidRPr="006D2FE9">
              <w:t>Vốn góp vào ngân hàng hợp tác xã</w:t>
            </w:r>
            <w:r>
              <w:t xml:space="preserve"> (</w:t>
            </w:r>
            <w:r w:rsidRPr="00BB305C">
              <w:t>Nhóm tài sả</w:t>
            </w:r>
            <w:r>
              <w:t xml:space="preserve">n “Có” </w:t>
            </w:r>
            <w:r w:rsidRPr="00BB305C">
              <w:t xml:space="preserve">có hệ số rủi ro </w:t>
            </w:r>
            <w:r w:rsidRPr="00BB305C">
              <w:rPr>
                <w:u w:val="single"/>
              </w:rPr>
              <w:t>100%</w:t>
            </w:r>
            <w:r>
              <w:t>)</w:t>
            </w:r>
          </w:p>
        </w:tc>
        <w:tc>
          <w:tcPr>
            <w:tcW w:w="5386" w:type="dxa"/>
          </w:tcPr>
          <w:p w14:paraId="5B62D491" w14:textId="787819A0" w:rsidR="00F11CC7" w:rsidRPr="00F11CC7" w:rsidRDefault="00F11CC7" w:rsidP="00F11CC7">
            <w:pPr>
              <w:pStyle w:val="NormalWeb"/>
              <w:spacing w:before="0" w:beforeAutospacing="0" w:after="0" w:afterAutospacing="0" w:line="234" w:lineRule="atLeast"/>
              <w:rPr>
                <w:bCs/>
              </w:rPr>
            </w:pPr>
            <w:r w:rsidRPr="006D2FE9">
              <w:t>Vốn góp vào ngân hàng hợp tác xã</w:t>
            </w:r>
            <w:r>
              <w:t xml:space="preserve"> (</w:t>
            </w:r>
            <w:r w:rsidRPr="00BB305C">
              <w:t xml:space="preserve">Nhóm tài sản “Có” có hệ số rủi ro </w:t>
            </w:r>
            <w:r w:rsidRPr="00387E65">
              <w:rPr>
                <w:i/>
              </w:rPr>
              <w:t>0%</w:t>
            </w:r>
            <w:r>
              <w:t>)</w:t>
            </w:r>
          </w:p>
        </w:tc>
        <w:tc>
          <w:tcPr>
            <w:tcW w:w="3969" w:type="dxa"/>
          </w:tcPr>
          <w:p w14:paraId="7981B176" w14:textId="195A0AC2" w:rsidR="00F11CC7" w:rsidRPr="00F11CC7" w:rsidRDefault="00F11CC7" w:rsidP="00F11CC7">
            <w:pPr>
              <w:ind w:right="0"/>
              <w:rPr>
                <w:shd w:val="clear" w:color="auto" w:fill="FFFFFF"/>
                <w:lang w:val="nb-NO"/>
              </w:rPr>
            </w:pPr>
            <w:r>
              <w:rPr>
                <w:lang w:val="nb-NO"/>
              </w:rPr>
              <w:t>Sửa đổi cho phù hợp với quy định tại điểm a(vi) khoản 4 Điều 8 DTTT</w:t>
            </w:r>
          </w:p>
        </w:tc>
      </w:tr>
      <w:tr w:rsidR="00D53516" w:rsidRPr="00AC5DD8" w14:paraId="5704D634" w14:textId="77777777" w:rsidTr="004141EF">
        <w:tc>
          <w:tcPr>
            <w:tcW w:w="680" w:type="dxa"/>
            <w:vAlign w:val="center"/>
          </w:tcPr>
          <w:p w14:paraId="3C11425E" w14:textId="6F9A7276" w:rsidR="00D53516" w:rsidRDefault="00D53516" w:rsidP="00F11CC7">
            <w:pPr>
              <w:spacing w:before="120" w:after="120"/>
              <w:ind w:right="0"/>
              <w:jc w:val="center"/>
              <w:rPr>
                <w:iCs/>
                <w:noProof/>
              </w:rPr>
            </w:pPr>
            <w:r>
              <w:rPr>
                <w:iCs/>
                <w:noProof/>
              </w:rPr>
              <w:t>18.2</w:t>
            </w:r>
          </w:p>
        </w:tc>
        <w:tc>
          <w:tcPr>
            <w:tcW w:w="5416" w:type="dxa"/>
          </w:tcPr>
          <w:p w14:paraId="7D2BE45D" w14:textId="2E45B656" w:rsidR="00D53516" w:rsidRPr="006D2FE9" w:rsidRDefault="00D53516">
            <w:pPr>
              <w:pBdr>
                <w:top w:val="nil"/>
                <w:left w:val="nil"/>
                <w:bottom w:val="nil"/>
                <w:right w:val="nil"/>
                <w:between w:val="nil"/>
              </w:pBdr>
              <w:spacing w:before="40"/>
              <w:ind w:right="0"/>
            </w:pPr>
            <w:r w:rsidRPr="00D53516">
              <w:t xml:space="preserve">Dư nợ cho vay </w:t>
            </w:r>
            <w:r w:rsidRPr="001D6C23">
              <w:rPr>
                <w:u w:val="single"/>
              </w:rPr>
              <w:t>có</w:t>
            </w:r>
            <w:r w:rsidRPr="00D53516">
              <w:t xml:space="preserve"> bảo đảm toàn bộ bằng tiền, tiền gửi tại chính quỹ tín dụng nhân dân đó</w:t>
            </w:r>
          </w:p>
        </w:tc>
        <w:tc>
          <w:tcPr>
            <w:tcW w:w="5386" w:type="dxa"/>
          </w:tcPr>
          <w:p w14:paraId="17E4CA49" w14:textId="0E6B4AC2" w:rsidR="00D53516" w:rsidRPr="006D2FE9" w:rsidRDefault="00D53516" w:rsidP="00F11CC7">
            <w:pPr>
              <w:pStyle w:val="NormalWeb"/>
              <w:spacing w:before="0" w:beforeAutospacing="0" w:after="0" w:afterAutospacing="0" w:line="234" w:lineRule="atLeast"/>
            </w:pPr>
            <w:r w:rsidRPr="00D53516">
              <w:t xml:space="preserve">Dư nợ cho vay </w:t>
            </w:r>
            <w:r w:rsidRPr="001D6C23">
              <w:rPr>
                <w:i/>
              </w:rPr>
              <w:t>được</w:t>
            </w:r>
            <w:r w:rsidRPr="00D53516">
              <w:t xml:space="preserve"> bảo đảm toàn bộ bằng tiền, tiền gửi tại chính quỹ tín dụng nhân dân đó</w:t>
            </w:r>
          </w:p>
        </w:tc>
        <w:tc>
          <w:tcPr>
            <w:tcW w:w="3969" w:type="dxa"/>
          </w:tcPr>
          <w:p w14:paraId="3F3107CB" w14:textId="1943414A" w:rsidR="00D53516" w:rsidRDefault="000C6F40" w:rsidP="00F11CC7">
            <w:pPr>
              <w:ind w:right="0"/>
              <w:rPr>
                <w:lang w:val="nb-NO"/>
              </w:rPr>
            </w:pPr>
            <w:r w:rsidRPr="000C6F40">
              <w:rPr>
                <w:lang w:val="nb-NO"/>
              </w:rPr>
              <w:t>Chỉnh sửa kỹ thuật cho rõ ràng, chính xác hơn.</w:t>
            </w:r>
          </w:p>
        </w:tc>
      </w:tr>
      <w:tr w:rsidR="00462A74" w:rsidRPr="00AC5DD8" w14:paraId="600386FD" w14:textId="77777777" w:rsidTr="004141EF">
        <w:tc>
          <w:tcPr>
            <w:tcW w:w="680" w:type="dxa"/>
            <w:vAlign w:val="center"/>
          </w:tcPr>
          <w:p w14:paraId="45D22BB0" w14:textId="0F97A44B" w:rsidR="00462A74" w:rsidRPr="00143BF7" w:rsidRDefault="00F11CC7" w:rsidP="00462A74">
            <w:pPr>
              <w:spacing w:before="120" w:after="120"/>
              <w:ind w:right="0"/>
              <w:jc w:val="center"/>
              <w:rPr>
                <w:iCs/>
                <w:noProof/>
              </w:rPr>
            </w:pPr>
            <w:r>
              <w:rPr>
                <w:iCs/>
                <w:noProof/>
              </w:rPr>
              <w:t>1</w:t>
            </w:r>
            <w:r w:rsidR="00622FAA">
              <w:rPr>
                <w:iCs/>
                <w:noProof/>
              </w:rPr>
              <w:t>8</w:t>
            </w:r>
            <w:r>
              <w:rPr>
                <w:iCs/>
                <w:noProof/>
              </w:rPr>
              <w:t>.</w:t>
            </w:r>
            <w:r w:rsidR="000C6F40">
              <w:rPr>
                <w:iCs/>
                <w:noProof/>
              </w:rPr>
              <w:t>3</w:t>
            </w:r>
          </w:p>
        </w:tc>
        <w:tc>
          <w:tcPr>
            <w:tcW w:w="5416" w:type="dxa"/>
          </w:tcPr>
          <w:p w14:paraId="2AE2DB8D" w14:textId="6C689026" w:rsidR="00462A74" w:rsidRPr="00143BF7" w:rsidRDefault="00C35982" w:rsidP="00462A74">
            <w:pPr>
              <w:pBdr>
                <w:top w:val="nil"/>
                <w:left w:val="nil"/>
                <w:bottom w:val="nil"/>
                <w:right w:val="nil"/>
                <w:between w:val="nil"/>
              </w:pBdr>
              <w:spacing w:before="40"/>
              <w:ind w:right="0"/>
              <w:rPr>
                <w:lang w:val="nb-NO"/>
              </w:rPr>
            </w:pPr>
            <w:r w:rsidRPr="00C35982">
              <w:rPr>
                <w:lang w:val="nb-NO"/>
              </w:rPr>
              <w:t xml:space="preserve">Tiền gửi </w:t>
            </w:r>
            <w:r w:rsidRPr="00F11CC7">
              <w:rPr>
                <w:lang w:val="nb-NO"/>
              </w:rPr>
              <w:t>thanh toán</w:t>
            </w:r>
            <w:r w:rsidRPr="00C35982">
              <w:rPr>
                <w:lang w:val="nb-NO"/>
              </w:rPr>
              <w:t xml:space="preserve"> tại ngân hàng thương mại, chi nhánh ngân hàng nước ngoài</w:t>
            </w:r>
          </w:p>
        </w:tc>
        <w:tc>
          <w:tcPr>
            <w:tcW w:w="5386" w:type="dxa"/>
          </w:tcPr>
          <w:p w14:paraId="5C0D772E" w14:textId="37D3A947" w:rsidR="00462A74" w:rsidRPr="006C7241" w:rsidRDefault="00AA296A" w:rsidP="00462A74">
            <w:pPr>
              <w:pStyle w:val="NormalWeb"/>
              <w:spacing w:before="0" w:beforeAutospacing="0" w:after="0" w:afterAutospacing="0" w:line="234" w:lineRule="atLeast"/>
              <w:rPr>
                <w:b/>
                <w:bCs/>
                <w:lang w:val="nb-NO"/>
              </w:rPr>
            </w:pPr>
            <w:r w:rsidRPr="001672A5">
              <w:t xml:space="preserve">Tiền gửi </w:t>
            </w:r>
            <w:r w:rsidR="00F11CC7">
              <w:t xml:space="preserve">thanh toán </w:t>
            </w:r>
            <w:r w:rsidRPr="001672A5">
              <w:t>tại ngân hàng thương mại, chi nhánh ngân hàng nước ngoài</w:t>
            </w:r>
            <w:r>
              <w:t xml:space="preserve">, </w:t>
            </w:r>
            <w:r w:rsidRPr="00143BF7">
              <w:rPr>
                <w:i/>
              </w:rPr>
              <w:t>trừ tiền gửi tại tổ chức tín dụng được kiểm soát đặc biệt theo quy định tại khoản 9 Điều 174 Luật Các tổ chức tín dụng</w:t>
            </w:r>
          </w:p>
        </w:tc>
        <w:tc>
          <w:tcPr>
            <w:tcW w:w="3969" w:type="dxa"/>
          </w:tcPr>
          <w:p w14:paraId="0BA1FA14" w14:textId="07434DCA" w:rsidR="00462A74" w:rsidRPr="00AC5DD8" w:rsidRDefault="00B05248">
            <w:pPr>
              <w:ind w:right="0"/>
              <w:rPr>
                <w:shd w:val="clear" w:color="auto" w:fill="FFFFFF"/>
                <w:lang w:val="nb-NO"/>
              </w:rPr>
            </w:pPr>
            <w:r>
              <w:rPr>
                <w:lang w:val="nb-NO"/>
              </w:rPr>
              <w:t>Sửa đổi cho phù hợp với quy định tại điểm b(i) khoản 4 Điều 8 DTTT</w:t>
            </w:r>
          </w:p>
        </w:tc>
      </w:tr>
      <w:tr w:rsidR="00462A74" w:rsidRPr="00AC5DD8" w14:paraId="3814C789" w14:textId="77777777" w:rsidTr="004141EF">
        <w:tc>
          <w:tcPr>
            <w:tcW w:w="680" w:type="dxa"/>
            <w:vAlign w:val="center"/>
          </w:tcPr>
          <w:p w14:paraId="76116EF8" w14:textId="7D21ABFB" w:rsidR="00462A74" w:rsidRPr="005239BD" w:rsidRDefault="00C35982">
            <w:pPr>
              <w:spacing w:before="120" w:after="120"/>
              <w:ind w:right="0"/>
              <w:jc w:val="center"/>
              <w:rPr>
                <w:b/>
                <w:iCs/>
                <w:noProof/>
              </w:rPr>
            </w:pPr>
            <w:r>
              <w:rPr>
                <w:b/>
                <w:iCs/>
                <w:noProof/>
              </w:rPr>
              <w:t>1</w:t>
            </w:r>
            <w:r w:rsidR="00622FAA">
              <w:rPr>
                <w:b/>
                <w:iCs/>
                <w:noProof/>
              </w:rPr>
              <w:t>9</w:t>
            </w:r>
          </w:p>
        </w:tc>
        <w:tc>
          <w:tcPr>
            <w:tcW w:w="5416" w:type="dxa"/>
          </w:tcPr>
          <w:p w14:paraId="15DB0699" w14:textId="3380B50F" w:rsidR="00462A74" w:rsidRPr="005239BD" w:rsidRDefault="00462A74" w:rsidP="006C7241">
            <w:pPr>
              <w:pBdr>
                <w:top w:val="nil"/>
                <w:left w:val="nil"/>
                <w:bottom w:val="nil"/>
                <w:right w:val="nil"/>
                <w:between w:val="nil"/>
              </w:pBdr>
              <w:spacing w:before="40"/>
              <w:ind w:right="0"/>
              <w:rPr>
                <w:b/>
                <w:lang w:val="nb-NO"/>
              </w:rPr>
            </w:pPr>
            <w:r>
              <w:rPr>
                <w:b/>
                <w:lang w:val="nb-NO"/>
              </w:rPr>
              <w:t xml:space="preserve">Phụ lục III: </w:t>
            </w:r>
            <w:r w:rsidRPr="003946A2">
              <w:rPr>
                <w:b/>
                <w:u w:val="single"/>
                <w:lang w:val="nb-NO"/>
              </w:rPr>
              <w:t>Mẫu bảng phân tích</w:t>
            </w:r>
            <w:r w:rsidRPr="00462A74">
              <w:rPr>
                <w:b/>
                <w:lang w:val="nb-NO"/>
              </w:rPr>
              <w:t xml:space="preserve"> các </w:t>
            </w:r>
            <w:r>
              <w:rPr>
                <w:b/>
                <w:lang w:val="nb-NO"/>
              </w:rPr>
              <w:t>T</w:t>
            </w:r>
            <w:r w:rsidRPr="00462A74">
              <w:rPr>
                <w:b/>
                <w:lang w:val="nb-NO"/>
              </w:rPr>
              <w:t>ài sản “</w:t>
            </w:r>
            <w:r>
              <w:rPr>
                <w:b/>
                <w:lang w:val="nb-NO"/>
              </w:rPr>
              <w:t>C</w:t>
            </w:r>
            <w:r w:rsidRPr="00462A74">
              <w:rPr>
                <w:b/>
                <w:lang w:val="nb-NO"/>
              </w:rPr>
              <w:t xml:space="preserve">ó” có thể thanh toán ngay và các </w:t>
            </w:r>
            <w:r>
              <w:rPr>
                <w:b/>
                <w:lang w:val="nb-NO"/>
              </w:rPr>
              <w:t>T</w:t>
            </w:r>
            <w:r w:rsidRPr="00462A74">
              <w:rPr>
                <w:b/>
                <w:lang w:val="nb-NO"/>
              </w:rPr>
              <w:t>ài sản “</w:t>
            </w:r>
            <w:r>
              <w:rPr>
                <w:b/>
                <w:lang w:val="nb-NO"/>
              </w:rPr>
              <w:t>N</w:t>
            </w:r>
            <w:r w:rsidRPr="00462A74">
              <w:rPr>
                <w:b/>
                <w:lang w:val="nb-NO"/>
              </w:rPr>
              <w:t>ợ” phải thanh toán</w:t>
            </w:r>
          </w:p>
        </w:tc>
        <w:tc>
          <w:tcPr>
            <w:tcW w:w="5386" w:type="dxa"/>
          </w:tcPr>
          <w:p w14:paraId="0E98E1A5" w14:textId="1DC79F7C" w:rsidR="00462A74" w:rsidRPr="006C7241" w:rsidRDefault="00462A74" w:rsidP="005F55B3">
            <w:pPr>
              <w:pStyle w:val="NormalWeb"/>
              <w:spacing w:line="234" w:lineRule="atLeast"/>
              <w:rPr>
                <w:b/>
                <w:bCs/>
                <w:lang w:val="nb-NO"/>
              </w:rPr>
            </w:pPr>
            <w:r>
              <w:rPr>
                <w:b/>
                <w:bCs/>
              </w:rPr>
              <w:t>Phụ lục III</w:t>
            </w:r>
            <w:r w:rsidR="006C7241">
              <w:rPr>
                <w:b/>
                <w:bCs/>
              </w:rPr>
              <w:t xml:space="preserve">: </w:t>
            </w:r>
            <w:r w:rsidR="000D7F40" w:rsidRPr="003946A2">
              <w:rPr>
                <w:b/>
                <w:bCs/>
                <w:i/>
              </w:rPr>
              <w:t>Cách xác định</w:t>
            </w:r>
            <w:r w:rsidR="000D7F40" w:rsidRPr="000D7F40">
              <w:rPr>
                <w:b/>
                <w:bCs/>
              </w:rPr>
              <w:t xml:space="preserve"> </w:t>
            </w:r>
            <w:r w:rsidR="00AB7B0B">
              <w:rPr>
                <w:b/>
                <w:bCs/>
              </w:rPr>
              <w:t xml:space="preserve">các </w:t>
            </w:r>
            <w:r w:rsidR="000D7F40" w:rsidRPr="000D7F40">
              <w:rPr>
                <w:b/>
                <w:bCs/>
              </w:rPr>
              <w:t>tài sản “</w:t>
            </w:r>
            <w:r w:rsidR="000D7F40">
              <w:rPr>
                <w:b/>
                <w:bCs/>
              </w:rPr>
              <w:t>C</w:t>
            </w:r>
            <w:r w:rsidR="000D7F40" w:rsidRPr="000D7F40">
              <w:rPr>
                <w:b/>
                <w:bCs/>
              </w:rPr>
              <w:t>ó” có thể thanh toán ngay và các tài sản “</w:t>
            </w:r>
            <w:r w:rsidR="000D7F40">
              <w:rPr>
                <w:b/>
                <w:bCs/>
              </w:rPr>
              <w:t>N</w:t>
            </w:r>
            <w:r w:rsidR="000D7F40" w:rsidRPr="000D7F40">
              <w:rPr>
                <w:b/>
                <w:bCs/>
              </w:rPr>
              <w:t>ợ” phải thanh toán</w:t>
            </w:r>
          </w:p>
        </w:tc>
        <w:tc>
          <w:tcPr>
            <w:tcW w:w="3969" w:type="dxa"/>
          </w:tcPr>
          <w:p w14:paraId="1A15240D" w14:textId="7DEFA1CA" w:rsidR="00462A74" w:rsidRPr="006C7241" w:rsidRDefault="00AB7B0B">
            <w:pPr>
              <w:ind w:right="0"/>
              <w:rPr>
                <w:shd w:val="clear" w:color="auto" w:fill="FFFFFF"/>
                <w:lang w:val="nb-NO"/>
              </w:rPr>
            </w:pPr>
            <w:r>
              <w:rPr>
                <w:shd w:val="clear" w:color="auto" w:fill="FFFFFF"/>
                <w:lang w:val="nb-NO"/>
              </w:rPr>
              <w:t xml:space="preserve">Chỉnh sửa tên Phụ lục </w:t>
            </w:r>
          </w:p>
        </w:tc>
      </w:tr>
      <w:tr w:rsidR="00462A74" w:rsidRPr="00AC5DD8" w14:paraId="4F1673F1" w14:textId="77777777" w:rsidTr="004141EF">
        <w:tc>
          <w:tcPr>
            <w:tcW w:w="680" w:type="dxa"/>
            <w:vAlign w:val="center"/>
          </w:tcPr>
          <w:p w14:paraId="5A0E4F91" w14:textId="0FCFC72E" w:rsidR="00462A74" w:rsidRPr="003946A2" w:rsidRDefault="00C35982" w:rsidP="00462A74">
            <w:pPr>
              <w:spacing w:before="120" w:after="120"/>
              <w:ind w:right="0"/>
              <w:jc w:val="center"/>
              <w:rPr>
                <w:iCs/>
                <w:noProof/>
              </w:rPr>
            </w:pPr>
            <w:r>
              <w:rPr>
                <w:iCs/>
                <w:noProof/>
              </w:rPr>
              <w:t>1</w:t>
            </w:r>
            <w:r w:rsidR="00622FAA">
              <w:rPr>
                <w:iCs/>
                <w:noProof/>
              </w:rPr>
              <w:t>9.1</w:t>
            </w:r>
          </w:p>
        </w:tc>
        <w:tc>
          <w:tcPr>
            <w:tcW w:w="5416" w:type="dxa"/>
          </w:tcPr>
          <w:p w14:paraId="720F42B7" w14:textId="374AEAEE" w:rsidR="00462A74" w:rsidRPr="003946A2" w:rsidRDefault="00C35982" w:rsidP="00462A74">
            <w:pPr>
              <w:pBdr>
                <w:top w:val="nil"/>
                <w:left w:val="nil"/>
                <w:bottom w:val="nil"/>
                <w:right w:val="nil"/>
                <w:between w:val="nil"/>
              </w:pBdr>
              <w:spacing w:before="40"/>
              <w:ind w:right="0"/>
              <w:rPr>
                <w:lang w:val="nb-NO"/>
              </w:rPr>
            </w:pPr>
            <w:r w:rsidRPr="003946A2">
              <w:rPr>
                <w:lang w:val="nb-NO"/>
              </w:rPr>
              <w:t xml:space="preserve">Tiền gửi </w:t>
            </w:r>
            <w:r w:rsidRPr="005A502B">
              <w:rPr>
                <w:lang w:val="nb-NO"/>
              </w:rPr>
              <w:t>thanh toán</w:t>
            </w:r>
            <w:r w:rsidRPr="003946A2">
              <w:rPr>
                <w:lang w:val="nb-NO"/>
              </w:rPr>
              <w:t xml:space="preserve"> tại ngân hàng thương mại, chi nhánh ngân hàng nước ngoài</w:t>
            </w:r>
          </w:p>
        </w:tc>
        <w:tc>
          <w:tcPr>
            <w:tcW w:w="5386" w:type="dxa"/>
          </w:tcPr>
          <w:p w14:paraId="4E7F6CE7" w14:textId="3B1A402B" w:rsidR="00462A74" w:rsidRPr="006C7241" w:rsidRDefault="00B60918">
            <w:pPr>
              <w:pStyle w:val="NormalWeb"/>
              <w:spacing w:before="0" w:beforeAutospacing="0" w:after="0" w:afterAutospacing="0" w:line="234" w:lineRule="atLeast"/>
              <w:rPr>
                <w:b/>
                <w:bCs/>
                <w:lang w:val="nb-NO"/>
              </w:rPr>
            </w:pPr>
            <w:r w:rsidRPr="001672A5">
              <w:t xml:space="preserve">Tiền gửi </w:t>
            </w:r>
            <w:r w:rsidR="004650FA">
              <w:t xml:space="preserve">thanh toán </w:t>
            </w:r>
            <w:r w:rsidRPr="001672A5">
              <w:t>tại ngân hàng thương mại, chi nhánh ngân hàng nước ngoài</w:t>
            </w:r>
            <w:r>
              <w:t xml:space="preserve">, </w:t>
            </w:r>
            <w:r w:rsidRPr="003946A2">
              <w:rPr>
                <w:i/>
              </w:rPr>
              <w:t>trừ các khoản đã cam kết cho mục đích thanh toán cụ thể</w:t>
            </w:r>
            <w:r w:rsidR="002F61AB">
              <w:rPr>
                <w:i/>
              </w:rPr>
              <w:t>.</w:t>
            </w:r>
          </w:p>
        </w:tc>
        <w:tc>
          <w:tcPr>
            <w:tcW w:w="3969" w:type="dxa"/>
          </w:tcPr>
          <w:p w14:paraId="0981AEAA" w14:textId="2845DFE8" w:rsidR="00462A74" w:rsidRPr="00AC5DD8" w:rsidRDefault="003E4ECB" w:rsidP="00462A74">
            <w:pPr>
              <w:ind w:right="0"/>
              <w:rPr>
                <w:shd w:val="clear" w:color="auto" w:fill="FFFFFF"/>
                <w:lang w:val="nb-NO"/>
              </w:rPr>
            </w:pPr>
            <w:r>
              <w:rPr>
                <w:shd w:val="clear" w:color="auto" w:fill="FFFFFF"/>
                <w:lang w:val="nb-NO"/>
              </w:rPr>
              <w:t xml:space="preserve">Chỉnh sửa </w:t>
            </w:r>
            <w:r w:rsidRPr="003E4ECB">
              <w:rPr>
                <w:shd w:val="clear" w:color="auto" w:fill="FFFFFF"/>
                <w:lang w:val="nb-NO"/>
              </w:rPr>
              <w:t>do các khoản đã cam kết cho mục đích thanh toán cụ thể tại tài khoản thanh toán mở tại NHTM, CNNHNg của QTDND phải được loại trừ khi tính tỷ lệ khả năng chi trả.</w:t>
            </w:r>
          </w:p>
        </w:tc>
      </w:tr>
      <w:tr w:rsidR="00987E8A" w:rsidRPr="00AC5DD8" w14:paraId="5CCDDCA9" w14:textId="77777777" w:rsidTr="004141EF">
        <w:tc>
          <w:tcPr>
            <w:tcW w:w="680" w:type="dxa"/>
            <w:vAlign w:val="center"/>
          </w:tcPr>
          <w:p w14:paraId="11EEB4ED" w14:textId="3118E117" w:rsidR="00987E8A" w:rsidRDefault="00987E8A" w:rsidP="00462A74">
            <w:pPr>
              <w:spacing w:before="120" w:after="120"/>
              <w:ind w:right="0"/>
              <w:jc w:val="center"/>
              <w:rPr>
                <w:iCs/>
                <w:noProof/>
              </w:rPr>
            </w:pPr>
            <w:r>
              <w:rPr>
                <w:iCs/>
                <w:noProof/>
              </w:rPr>
              <w:t>1</w:t>
            </w:r>
            <w:r w:rsidR="00622FAA">
              <w:rPr>
                <w:iCs/>
                <w:noProof/>
              </w:rPr>
              <w:t>9</w:t>
            </w:r>
            <w:r>
              <w:rPr>
                <w:iCs/>
                <w:noProof/>
              </w:rPr>
              <w:t>.2</w:t>
            </w:r>
          </w:p>
        </w:tc>
        <w:tc>
          <w:tcPr>
            <w:tcW w:w="5416" w:type="dxa"/>
          </w:tcPr>
          <w:p w14:paraId="0D9F9B47" w14:textId="39DCA8FC" w:rsidR="00987E8A" w:rsidRPr="003946A2" w:rsidRDefault="00987E8A" w:rsidP="00462A74">
            <w:pPr>
              <w:pBdr>
                <w:top w:val="nil"/>
                <w:left w:val="nil"/>
                <w:bottom w:val="nil"/>
                <w:right w:val="nil"/>
                <w:between w:val="nil"/>
              </w:pBdr>
              <w:spacing w:before="40"/>
              <w:ind w:right="0"/>
              <w:rPr>
                <w:lang w:val="nb-NO"/>
              </w:rPr>
            </w:pPr>
            <w:r>
              <w:rPr>
                <w:lang w:val="nb-NO"/>
              </w:rPr>
              <w:t xml:space="preserve">Ngày </w:t>
            </w:r>
            <w:r w:rsidRPr="00987E8A">
              <w:rPr>
                <w:u w:val="single"/>
                <w:lang w:val="nb-NO"/>
              </w:rPr>
              <w:t>làm việc</w:t>
            </w:r>
            <w:r>
              <w:rPr>
                <w:lang w:val="nb-NO"/>
              </w:rPr>
              <w:t xml:space="preserve"> tiếp theo</w:t>
            </w:r>
          </w:p>
        </w:tc>
        <w:tc>
          <w:tcPr>
            <w:tcW w:w="5386" w:type="dxa"/>
          </w:tcPr>
          <w:p w14:paraId="3F14A898" w14:textId="228E618E" w:rsidR="00987E8A" w:rsidRPr="001672A5" w:rsidRDefault="00987E8A" w:rsidP="00987E8A">
            <w:pPr>
              <w:pStyle w:val="NormalWeb"/>
              <w:spacing w:before="0" w:beforeAutospacing="0" w:after="0" w:afterAutospacing="0" w:line="234" w:lineRule="atLeast"/>
            </w:pPr>
            <w:r>
              <w:rPr>
                <w:lang w:val="nb-NO"/>
              </w:rPr>
              <w:t>Ngày tiếp theo</w:t>
            </w:r>
          </w:p>
        </w:tc>
        <w:tc>
          <w:tcPr>
            <w:tcW w:w="3969" w:type="dxa"/>
          </w:tcPr>
          <w:p w14:paraId="169492BB" w14:textId="40BCF1DF" w:rsidR="00987E8A" w:rsidRDefault="00E63E28" w:rsidP="00462A74">
            <w:pPr>
              <w:ind w:right="0"/>
              <w:rPr>
                <w:shd w:val="clear" w:color="auto" w:fill="FFFFFF"/>
                <w:lang w:val="nb-NO"/>
              </w:rPr>
            </w:pPr>
            <w:r>
              <w:rPr>
                <w:shd w:val="clear" w:color="auto" w:fill="FFFFFF"/>
                <w:lang w:val="nb-NO"/>
              </w:rPr>
              <w:t>Chỉnh sửa cho phù hợp với khoản 2 Điều 9 DTTTT.</w:t>
            </w:r>
          </w:p>
        </w:tc>
      </w:tr>
      <w:tr w:rsidR="00E63E28" w:rsidRPr="00AC5DD8" w14:paraId="32ED8573" w14:textId="77777777" w:rsidTr="004141EF">
        <w:tc>
          <w:tcPr>
            <w:tcW w:w="680" w:type="dxa"/>
            <w:vAlign w:val="center"/>
          </w:tcPr>
          <w:p w14:paraId="2DF3897E" w14:textId="227FFDBC" w:rsidR="00E63E28" w:rsidRDefault="00E63E28" w:rsidP="00E63E28">
            <w:pPr>
              <w:spacing w:before="120" w:after="120"/>
              <w:ind w:right="0"/>
              <w:jc w:val="center"/>
              <w:rPr>
                <w:iCs/>
                <w:noProof/>
              </w:rPr>
            </w:pPr>
            <w:r>
              <w:rPr>
                <w:iCs/>
                <w:noProof/>
              </w:rPr>
              <w:t>1</w:t>
            </w:r>
            <w:r w:rsidR="00622FAA">
              <w:rPr>
                <w:iCs/>
                <w:noProof/>
              </w:rPr>
              <w:t>9</w:t>
            </w:r>
            <w:r>
              <w:rPr>
                <w:iCs/>
                <w:noProof/>
              </w:rPr>
              <w:t>.3</w:t>
            </w:r>
          </w:p>
        </w:tc>
        <w:tc>
          <w:tcPr>
            <w:tcW w:w="5416" w:type="dxa"/>
          </w:tcPr>
          <w:p w14:paraId="72EE8029" w14:textId="1C168093" w:rsidR="00E63E28" w:rsidRDefault="00E63E28" w:rsidP="00E63E28">
            <w:pPr>
              <w:pBdr>
                <w:top w:val="nil"/>
                <w:left w:val="nil"/>
                <w:bottom w:val="nil"/>
                <w:right w:val="nil"/>
                <w:between w:val="nil"/>
              </w:pBdr>
              <w:spacing w:before="40"/>
              <w:ind w:right="0"/>
              <w:rPr>
                <w:lang w:val="nb-NO"/>
              </w:rPr>
            </w:pPr>
            <w:r w:rsidRPr="00987E8A">
              <w:rPr>
                <w:lang w:val="nb-NO"/>
              </w:rPr>
              <w:t>Tài sản “Có” có thể thanh toán ngay của ngày</w:t>
            </w:r>
            <w:r>
              <w:rPr>
                <w:lang w:val="nb-NO"/>
              </w:rPr>
              <w:t xml:space="preserve"> làm việc</w:t>
            </w:r>
            <w:r w:rsidRPr="00987E8A">
              <w:rPr>
                <w:lang w:val="nb-NO"/>
              </w:rPr>
              <w:t xml:space="preserve"> tiếp theo/Tài sản “Nợ” phải thanh toán của ngày</w:t>
            </w:r>
            <w:r>
              <w:rPr>
                <w:lang w:val="nb-NO"/>
              </w:rPr>
              <w:t xml:space="preserve"> làm việc</w:t>
            </w:r>
            <w:r w:rsidRPr="00987E8A">
              <w:rPr>
                <w:lang w:val="nb-NO"/>
              </w:rPr>
              <w:t xml:space="preserve"> tiếp theo</w:t>
            </w:r>
          </w:p>
        </w:tc>
        <w:tc>
          <w:tcPr>
            <w:tcW w:w="5386" w:type="dxa"/>
          </w:tcPr>
          <w:p w14:paraId="42B7997C" w14:textId="2CEBDC47" w:rsidR="00E63E28" w:rsidRDefault="00E63E28" w:rsidP="00E63E28">
            <w:pPr>
              <w:pStyle w:val="NormalWeb"/>
              <w:spacing w:before="0" w:beforeAutospacing="0" w:after="0" w:afterAutospacing="0" w:line="234" w:lineRule="atLeast"/>
              <w:rPr>
                <w:lang w:val="nb-NO"/>
              </w:rPr>
            </w:pPr>
            <w:r w:rsidRPr="00987E8A">
              <w:rPr>
                <w:lang w:val="nb-NO"/>
              </w:rPr>
              <w:t>Tài sản “Có” có thể thanh toán ngay của ngày tiếp theo/Tài sản “Nợ” phải thanh toán của ngày tiếp theo</w:t>
            </w:r>
          </w:p>
        </w:tc>
        <w:tc>
          <w:tcPr>
            <w:tcW w:w="3969" w:type="dxa"/>
          </w:tcPr>
          <w:p w14:paraId="1887F5CD" w14:textId="2D11D479" w:rsidR="00E63E28" w:rsidRDefault="00E63E28" w:rsidP="00E63E28">
            <w:pPr>
              <w:ind w:right="0"/>
              <w:rPr>
                <w:shd w:val="clear" w:color="auto" w:fill="FFFFFF"/>
                <w:lang w:val="nb-NO"/>
              </w:rPr>
            </w:pPr>
            <w:r w:rsidRPr="00176249">
              <w:rPr>
                <w:shd w:val="clear" w:color="auto" w:fill="FFFFFF"/>
                <w:lang w:val="nb-NO"/>
              </w:rPr>
              <w:t>Chỉnh sửa cho phù hợp với khoản 2 Điều 9 DTTTT.</w:t>
            </w:r>
          </w:p>
        </w:tc>
      </w:tr>
      <w:tr w:rsidR="00E63E28" w:rsidRPr="00AC5DD8" w14:paraId="03A4EEBA" w14:textId="77777777" w:rsidTr="004141EF">
        <w:tc>
          <w:tcPr>
            <w:tcW w:w="680" w:type="dxa"/>
            <w:vAlign w:val="center"/>
          </w:tcPr>
          <w:p w14:paraId="689BF195" w14:textId="2335C8A0" w:rsidR="00E63E28" w:rsidRDefault="00E63E28" w:rsidP="00E63E28">
            <w:pPr>
              <w:spacing w:before="120" w:after="120"/>
              <w:ind w:right="0"/>
              <w:jc w:val="center"/>
              <w:rPr>
                <w:iCs/>
                <w:noProof/>
              </w:rPr>
            </w:pPr>
            <w:r>
              <w:rPr>
                <w:iCs/>
                <w:noProof/>
              </w:rPr>
              <w:t>1</w:t>
            </w:r>
            <w:r w:rsidR="00622FAA">
              <w:rPr>
                <w:iCs/>
                <w:noProof/>
              </w:rPr>
              <w:t>9</w:t>
            </w:r>
            <w:r>
              <w:rPr>
                <w:iCs/>
                <w:noProof/>
              </w:rPr>
              <w:t>.4</w:t>
            </w:r>
          </w:p>
        </w:tc>
        <w:tc>
          <w:tcPr>
            <w:tcW w:w="5416" w:type="dxa"/>
          </w:tcPr>
          <w:p w14:paraId="418FE2FB" w14:textId="572E836A" w:rsidR="00E63E28" w:rsidRDefault="00E63E28" w:rsidP="00E63E28">
            <w:pPr>
              <w:pBdr>
                <w:top w:val="nil"/>
                <w:left w:val="nil"/>
                <w:bottom w:val="nil"/>
                <w:right w:val="nil"/>
                <w:between w:val="nil"/>
              </w:pBdr>
              <w:spacing w:before="40"/>
              <w:ind w:right="0"/>
              <w:rPr>
                <w:lang w:val="nb-NO"/>
              </w:rPr>
            </w:pPr>
            <w:r w:rsidRPr="00987E8A">
              <w:rPr>
                <w:lang w:val="nb-NO"/>
              </w:rPr>
              <w:t>Tài sản “Có” có thể thanh toán ngay trong khoảng thời gian 7 ngày</w:t>
            </w:r>
            <w:r>
              <w:rPr>
                <w:lang w:val="nb-NO"/>
              </w:rPr>
              <w:t xml:space="preserve"> làm việc</w:t>
            </w:r>
            <w:r w:rsidRPr="00987E8A">
              <w:rPr>
                <w:lang w:val="nb-NO"/>
              </w:rPr>
              <w:t xml:space="preserve"> tiếp theo/Tài sản “Nợ” phải thanh toán trong khoảng thời gian 7 ngày</w:t>
            </w:r>
            <w:r>
              <w:rPr>
                <w:lang w:val="nb-NO"/>
              </w:rPr>
              <w:t xml:space="preserve"> làm việc</w:t>
            </w:r>
            <w:r w:rsidRPr="00987E8A">
              <w:rPr>
                <w:lang w:val="nb-NO"/>
              </w:rPr>
              <w:t xml:space="preserve"> tiếp theo</w:t>
            </w:r>
          </w:p>
        </w:tc>
        <w:tc>
          <w:tcPr>
            <w:tcW w:w="5386" w:type="dxa"/>
          </w:tcPr>
          <w:p w14:paraId="480388B5" w14:textId="7D50C264" w:rsidR="00E63E28" w:rsidRPr="00987E8A" w:rsidRDefault="00E63E28" w:rsidP="00E63E28">
            <w:pPr>
              <w:pStyle w:val="NormalWeb"/>
              <w:spacing w:before="0" w:beforeAutospacing="0" w:after="0" w:afterAutospacing="0" w:line="234" w:lineRule="atLeast"/>
              <w:rPr>
                <w:lang w:val="nb-NO"/>
              </w:rPr>
            </w:pPr>
            <w:r w:rsidRPr="00987E8A">
              <w:rPr>
                <w:lang w:val="nb-NO"/>
              </w:rPr>
              <w:t>Tài sản “Có” có thể thanh toán ngay trong khoảng thời gian 7 ngày tiếp theo/Tài sản “Nợ” phải thanh toán trong khoảng thời gian 7 ngày tiếp theo</w:t>
            </w:r>
          </w:p>
        </w:tc>
        <w:tc>
          <w:tcPr>
            <w:tcW w:w="3969" w:type="dxa"/>
          </w:tcPr>
          <w:p w14:paraId="4AA05335" w14:textId="2010F635" w:rsidR="00E63E28" w:rsidRDefault="00E63E28" w:rsidP="00E63E28">
            <w:pPr>
              <w:ind w:right="0"/>
              <w:rPr>
                <w:shd w:val="clear" w:color="auto" w:fill="FFFFFF"/>
                <w:lang w:val="nb-NO"/>
              </w:rPr>
            </w:pPr>
            <w:r w:rsidRPr="00176249">
              <w:rPr>
                <w:shd w:val="clear" w:color="auto" w:fill="FFFFFF"/>
                <w:lang w:val="nb-NO"/>
              </w:rPr>
              <w:t>Chỉnh sửa cho phù hợp với khoản 2 Điều 9 DTTTT.</w:t>
            </w:r>
          </w:p>
        </w:tc>
      </w:tr>
    </w:tbl>
    <w:p w14:paraId="61B3DA3A" w14:textId="150944FB" w:rsidR="00B864CF" w:rsidRPr="00864CA1" w:rsidRDefault="00B864CF" w:rsidP="005239BD">
      <w:pPr>
        <w:jc w:val="both"/>
        <w:rPr>
          <w:sz w:val="28"/>
          <w:szCs w:val="28"/>
          <w:lang w:val="sv-SE"/>
        </w:rPr>
      </w:pPr>
    </w:p>
    <w:p w14:paraId="215C63D1" w14:textId="77777777" w:rsidR="00CF0DE2" w:rsidRPr="007C4614" w:rsidRDefault="00CF0DE2" w:rsidP="005239BD">
      <w:pPr>
        <w:jc w:val="both"/>
        <w:rPr>
          <w:sz w:val="28"/>
          <w:szCs w:val="28"/>
          <w:lang w:val="sv-SE"/>
        </w:rPr>
      </w:pPr>
    </w:p>
    <w:sectPr w:rsidR="00CF0DE2" w:rsidRPr="007C4614" w:rsidSect="007C4614">
      <w:headerReference w:type="default" r:id="rId15"/>
      <w:pgSz w:w="16839" w:h="11907" w:orient="landscape" w:code="9"/>
      <w:pgMar w:top="851" w:right="963" w:bottom="993" w:left="1701" w:header="720" w:footer="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DD2F45" w16cex:dateUtc="2026-02-26T07:23:00Z"/>
  <w16cex:commentExtensible w16cex:durableId="2BF06251" w16cex:dateUtc="2026-02-26T07:28:00Z"/>
  <w16cex:commentExtensible w16cex:durableId="34A36BBA" w16cex:dateUtc="2026-02-26T07:30:00Z"/>
  <w16cex:commentExtensible w16cex:durableId="1AD7BA09" w16cex:dateUtc="2026-02-26T0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CAB498" w16cid:durableId="0DDD2F45"/>
  <w16cid:commentId w16cid:paraId="3231F854" w16cid:durableId="2BF06251"/>
  <w16cid:commentId w16cid:paraId="4D65393B" w16cid:durableId="34A36BBA"/>
  <w16cid:commentId w16cid:paraId="071E8F59" w16cid:durableId="071E8F59"/>
  <w16cid:commentId w16cid:paraId="66A89CE3" w16cid:durableId="66A89CE3"/>
  <w16cid:commentId w16cid:paraId="70E5289C" w16cid:durableId="1AD7BA09"/>
  <w16cid:commentId w16cid:paraId="63F2A6A8" w16cid:durableId="63F2A6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2E8B1" w14:textId="77777777" w:rsidR="0099335A" w:rsidRDefault="0099335A" w:rsidP="006B3B68">
      <w:r>
        <w:separator/>
      </w:r>
    </w:p>
  </w:endnote>
  <w:endnote w:type="continuationSeparator" w:id="0">
    <w:p w14:paraId="75A2DC67" w14:textId="77777777" w:rsidR="0099335A" w:rsidRDefault="0099335A" w:rsidP="006B3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rinda">
    <w:altName w:val="Courier New"/>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23C6B" w14:textId="77777777" w:rsidR="0099335A" w:rsidRDefault="0099335A" w:rsidP="006B3B68">
      <w:r>
        <w:separator/>
      </w:r>
    </w:p>
  </w:footnote>
  <w:footnote w:type="continuationSeparator" w:id="0">
    <w:p w14:paraId="7813415F" w14:textId="77777777" w:rsidR="0099335A" w:rsidRDefault="0099335A" w:rsidP="006B3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660F6" w14:textId="7CBE92E7" w:rsidR="00B578E6" w:rsidRPr="0071137E" w:rsidRDefault="00B578E6">
    <w:pPr>
      <w:pStyle w:val="Header"/>
      <w:jc w:val="center"/>
      <w:rPr>
        <w:sz w:val="22"/>
        <w:szCs w:val="22"/>
      </w:rPr>
    </w:pPr>
    <w:r w:rsidRPr="0071137E">
      <w:rPr>
        <w:sz w:val="22"/>
        <w:szCs w:val="22"/>
      </w:rPr>
      <w:fldChar w:fldCharType="begin"/>
    </w:r>
    <w:r w:rsidRPr="0071137E">
      <w:rPr>
        <w:sz w:val="22"/>
        <w:szCs w:val="22"/>
      </w:rPr>
      <w:instrText xml:space="preserve"> PAGE   \* MERGEFORMAT </w:instrText>
    </w:r>
    <w:r w:rsidRPr="0071137E">
      <w:rPr>
        <w:sz w:val="22"/>
        <w:szCs w:val="22"/>
      </w:rPr>
      <w:fldChar w:fldCharType="separate"/>
    </w:r>
    <w:r w:rsidR="007721FA">
      <w:rPr>
        <w:noProof/>
        <w:sz w:val="22"/>
        <w:szCs w:val="22"/>
      </w:rPr>
      <w:t>2</w:t>
    </w:r>
    <w:r w:rsidRPr="0071137E">
      <w:rPr>
        <w:noProof/>
        <w:sz w:val="22"/>
        <w:szCs w:val="22"/>
      </w:rPr>
      <w:fldChar w:fldCharType="end"/>
    </w:r>
  </w:p>
  <w:p w14:paraId="0632798A" w14:textId="77777777" w:rsidR="00B578E6" w:rsidRDefault="00B578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0165"/>
    <w:multiLevelType w:val="hybridMultilevel"/>
    <w:tmpl w:val="4C68B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D4ED3"/>
    <w:multiLevelType w:val="hybridMultilevel"/>
    <w:tmpl w:val="2D162D06"/>
    <w:lvl w:ilvl="0" w:tplc="1018BE8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C624F8"/>
    <w:multiLevelType w:val="hybridMultilevel"/>
    <w:tmpl w:val="7E423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C8037C"/>
    <w:multiLevelType w:val="hybridMultilevel"/>
    <w:tmpl w:val="A928D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544556"/>
    <w:multiLevelType w:val="hybridMultilevel"/>
    <w:tmpl w:val="F30EE6E0"/>
    <w:lvl w:ilvl="0" w:tplc="38EE5E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2EE"/>
    <w:rsid w:val="000001AF"/>
    <w:rsid w:val="000001E3"/>
    <w:rsid w:val="000006C6"/>
    <w:rsid w:val="0000091E"/>
    <w:rsid w:val="00000BB5"/>
    <w:rsid w:val="00001078"/>
    <w:rsid w:val="0000178C"/>
    <w:rsid w:val="000021CA"/>
    <w:rsid w:val="000030E6"/>
    <w:rsid w:val="0000389C"/>
    <w:rsid w:val="0000500D"/>
    <w:rsid w:val="0000566B"/>
    <w:rsid w:val="0000619D"/>
    <w:rsid w:val="00006650"/>
    <w:rsid w:val="000069C5"/>
    <w:rsid w:val="00006AA8"/>
    <w:rsid w:val="00006FCE"/>
    <w:rsid w:val="0001010D"/>
    <w:rsid w:val="00010214"/>
    <w:rsid w:val="00010967"/>
    <w:rsid w:val="00011070"/>
    <w:rsid w:val="000116E1"/>
    <w:rsid w:val="000121F8"/>
    <w:rsid w:val="00012966"/>
    <w:rsid w:val="00012A79"/>
    <w:rsid w:val="00012DA2"/>
    <w:rsid w:val="00012DCB"/>
    <w:rsid w:val="0001315B"/>
    <w:rsid w:val="000138C0"/>
    <w:rsid w:val="00013E0F"/>
    <w:rsid w:val="00013ED8"/>
    <w:rsid w:val="00014D89"/>
    <w:rsid w:val="00015028"/>
    <w:rsid w:val="000153CE"/>
    <w:rsid w:val="00015463"/>
    <w:rsid w:val="000154E3"/>
    <w:rsid w:val="00015D88"/>
    <w:rsid w:val="00015DE0"/>
    <w:rsid w:val="0001694D"/>
    <w:rsid w:val="00016CC5"/>
    <w:rsid w:val="00016D8E"/>
    <w:rsid w:val="00017165"/>
    <w:rsid w:val="000171DC"/>
    <w:rsid w:val="00017A7E"/>
    <w:rsid w:val="000202B9"/>
    <w:rsid w:val="000209CD"/>
    <w:rsid w:val="00020F7A"/>
    <w:rsid w:val="00021CA0"/>
    <w:rsid w:val="00021D7E"/>
    <w:rsid w:val="00022222"/>
    <w:rsid w:val="00022773"/>
    <w:rsid w:val="00022C3C"/>
    <w:rsid w:val="0002338B"/>
    <w:rsid w:val="0002408D"/>
    <w:rsid w:val="000249CC"/>
    <w:rsid w:val="000254D6"/>
    <w:rsid w:val="00025C24"/>
    <w:rsid w:val="00026A19"/>
    <w:rsid w:val="0002742E"/>
    <w:rsid w:val="0002792F"/>
    <w:rsid w:val="00027A5D"/>
    <w:rsid w:val="00027B04"/>
    <w:rsid w:val="0003043E"/>
    <w:rsid w:val="0003044A"/>
    <w:rsid w:val="000304CF"/>
    <w:rsid w:val="0003054E"/>
    <w:rsid w:val="000305C8"/>
    <w:rsid w:val="00030779"/>
    <w:rsid w:val="00030878"/>
    <w:rsid w:val="00030EC1"/>
    <w:rsid w:val="00030EE6"/>
    <w:rsid w:val="000322FB"/>
    <w:rsid w:val="00032574"/>
    <w:rsid w:val="00032B04"/>
    <w:rsid w:val="00033BC5"/>
    <w:rsid w:val="00034045"/>
    <w:rsid w:val="00034EB9"/>
    <w:rsid w:val="000355DD"/>
    <w:rsid w:val="0003671A"/>
    <w:rsid w:val="00036DD8"/>
    <w:rsid w:val="000373D3"/>
    <w:rsid w:val="000374BD"/>
    <w:rsid w:val="00037EDB"/>
    <w:rsid w:val="0004021F"/>
    <w:rsid w:val="00040682"/>
    <w:rsid w:val="00040B41"/>
    <w:rsid w:val="0004160C"/>
    <w:rsid w:val="00041C07"/>
    <w:rsid w:val="00044415"/>
    <w:rsid w:val="00045606"/>
    <w:rsid w:val="000456B3"/>
    <w:rsid w:val="000456F2"/>
    <w:rsid w:val="00045B1D"/>
    <w:rsid w:val="00045EC5"/>
    <w:rsid w:val="00045F9C"/>
    <w:rsid w:val="000460FA"/>
    <w:rsid w:val="00046905"/>
    <w:rsid w:val="00046E63"/>
    <w:rsid w:val="0005119A"/>
    <w:rsid w:val="0005216A"/>
    <w:rsid w:val="000522B2"/>
    <w:rsid w:val="00052B63"/>
    <w:rsid w:val="00054335"/>
    <w:rsid w:val="0005490C"/>
    <w:rsid w:val="0005533A"/>
    <w:rsid w:val="000553CD"/>
    <w:rsid w:val="000556D5"/>
    <w:rsid w:val="0005597A"/>
    <w:rsid w:val="00055A5E"/>
    <w:rsid w:val="00056191"/>
    <w:rsid w:val="00057322"/>
    <w:rsid w:val="00057FAD"/>
    <w:rsid w:val="00060543"/>
    <w:rsid w:val="00061065"/>
    <w:rsid w:val="00061709"/>
    <w:rsid w:val="000627F3"/>
    <w:rsid w:val="000634B0"/>
    <w:rsid w:val="000636B3"/>
    <w:rsid w:val="00063AD3"/>
    <w:rsid w:val="0006433A"/>
    <w:rsid w:val="000651F0"/>
    <w:rsid w:val="0006611D"/>
    <w:rsid w:val="0006687E"/>
    <w:rsid w:val="00066EE3"/>
    <w:rsid w:val="000676CB"/>
    <w:rsid w:val="00070B8F"/>
    <w:rsid w:val="00071220"/>
    <w:rsid w:val="00071852"/>
    <w:rsid w:val="00071D59"/>
    <w:rsid w:val="00072465"/>
    <w:rsid w:val="000724B4"/>
    <w:rsid w:val="000725D4"/>
    <w:rsid w:val="0007261F"/>
    <w:rsid w:val="00072F58"/>
    <w:rsid w:val="00074048"/>
    <w:rsid w:val="00074B66"/>
    <w:rsid w:val="00075790"/>
    <w:rsid w:val="000762EA"/>
    <w:rsid w:val="000772BD"/>
    <w:rsid w:val="00077A11"/>
    <w:rsid w:val="00077A92"/>
    <w:rsid w:val="00077AB9"/>
    <w:rsid w:val="00077E83"/>
    <w:rsid w:val="00080102"/>
    <w:rsid w:val="00080591"/>
    <w:rsid w:val="00080BF3"/>
    <w:rsid w:val="00080C01"/>
    <w:rsid w:val="00081B4C"/>
    <w:rsid w:val="0008243D"/>
    <w:rsid w:val="00082A02"/>
    <w:rsid w:val="000840BE"/>
    <w:rsid w:val="00084D95"/>
    <w:rsid w:val="00084F21"/>
    <w:rsid w:val="00085703"/>
    <w:rsid w:val="000857F9"/>
    <w:rsid w:val="00085DD9"/>
    <w:rsid w:val="000860A6"/>
    <w:rsid w:val="0008654B"/>
    <w:rsid w:val="000870D3"/>
    <w:rsid w:val="00087AFA"/>
    <w:rsid w:val="00087CE9"/>
    <w:rsid w:val="00087E2E"/>
    <w:rsid w:val="00090126"/>
    <w:rsid w:val="000907FD"/>
    <w:rsid w:val="00090840"/>
    <w:rsid w:val="00090BDD"/>
    <w:rsid w:val="0009109D"/>
    <w:rsid w:val="00091394"/>
    <w:rsid w:val="000918E6"/>
    <w:rsid w:val="0009223B"/>
    <w:rsid w:val="00092533"/>
    <w:rsid w:val="0009287C"/>
    <w:rsid w:val="000938A3"/>
    <w:rsid w:val="000940A6"/>
    <w:rsid w:val="000979C6"/>
    <w:rsid w:val="000A0056"/>
    <w:rsid w:val="000A1543"/>
    <w:rsid w:val="000A15D5"/>
    <w:rsid w:val="000A1B1E"/>
    <w:rsid w:val="000A2A27"/>
    <w:rsid w:val="000A3457"/>
    <w:rsid w:val="000A3695"/>
    <w:rsid w:val="000A3D04"/>
    <w:rsid w:val="000A42EC"/>
    <w:rsid w:val="000A6937"/>
    <w:rsid w:val="000A7278"/>
    <w:rsid w:val="000A756F"/>
    <w:rsid w:val="000A75B5"/>
    <w:rsid w:val="000A7708"/>
    <w:rsid w:val="000A7EE5"/>
    <w:rsid w:val="000B0963"/>
    <w:rsid w:val="000B0DC6"/>
    <w:rsid w:val="000B1F09"/>
    <w:rsid w:val="000B366F"/>
    <w:rsid w:val="000B3F99"/>
    <w:rsid w:val="000B4060"/>
    <w:rsid w:val="000B430E"/>
    <w:rsid w:val="000B45B8"/>
    <w:rsid w:val="000B46F1"/>
    <w:rsid w:val="000B4E65"/>
    <w:rsid w:val="000B52C5"/>
    <w:rsid w:val="000B5949"/>
    <w:rsid w:val="000B6184"/>
    <w:rsid w:val="000B6D43"/>
    <w:rsid w:val="000B7DFC"/>
    <w:rsid w:val="000C007D"/>
    <w:rsid w:val="000C0E0A"/>
    <w:rsid w:val="000C117B"/>
    <w:rsid w:val="000C1D85"/>
    <w:rsid w:val="000C2155"/>
    <w:rsid w:val="000C312D"/>
    <w:rsid w:val="000C31EC"/>
    <w:rsid w:val="000C327C"/>
    <w:rsid w:val="000C3CC1"/>
    <w:rsid w:val="000C4174"/>
    <w:rsid w:val="000C4B3D"/>
    <w:rsid w:val="000C52A5"/>
    <w:rsid w:val="000C55D7"/>
    <w:rsid w:val="000C58B1"/>
    <w:rsid w:val="000C5A4B"/>
    <w:rsid w:val="000C6232"/>
    <w:rsid w:val="000C63AF"/>
    <w:rsid w:val="000C672F"/>
    <w:rsid w:val="000C6F40"/>
    <w:rsid w:val="000C770E"/>
    <w:rsid w:val="000C781F"/>
    <w:rsid w:val="000C7A79"/>
    <w:rsid w:val="000C7EB5"/>
    <w:rsid w:val="000C7FA0"/>
    <w:rsid w:val="000D12AB"/>
    <w:rsid w:val="000D1656"/>
    <w:rsid w:val="000D2398"/>
    <w:rsid w:val="000D2703"/>
    <w:rsid w:val="000D281F"/>
    <w:rsid w:val="000D2BA5"/>
    <w:rsid w:val="000D3902"/>
    <w:rsid w:val="000D3A5A"/>
    <w:rsid w:val="000D3B48"/>
    <w:rsid w:val="000D4877"/>
    <w:rsid w:val="000D4A86"/>
    <w:rsid w:val="000D59BF"/>
    <w:rsid w:val="000D5A44"/>
    <w:rsid w:val="000D633E"/>
    <w:rsid w:val="000D65D3"/>
    <w:rsid w:val="000D799E"/>
    <w:rsid w:val="000D7F40"/>
    <w:rsid w:val="000E0AEA"/>
    <w:rsid w:val="000E10E8"/>
    <w:rsid w:val="000E1348"/>
    <w:rsid w:val="000E1D97"/>
    <w:rsid w:val="000E2146"/>
    <w:rsid w:val="000E28CD"/>
    <w:rsid w:val="000E2A25"/>
    <w:rsid w:val="000E2A73"/>
    <w:rsid w:val="000E36AA"/>
    <w:rsid w:val="000E4609"/>
    <w:rsid w:val="000E569B"/>
    <w:rsid w:val="000E56FA"/>
    <w:rsid w:val="000E6246"/>
    <w:rsid w:val="000E671F"/>
    <w:rsid w:val="000E6B70"/>
    <w:rsid w:val="000E7517"/>
    <w:rsid w:val="000E7E04"/>
    <w:rsid w:val="000E7E3B"/>
    <w:rsid w:val="000E7EAA"/>
    <w:rsid w:val="000F0EC8"/>
    <w:rsid w:val="000F1388"/>
    <w:rsid w:val="000F13E0"/>
    <w:rsid w:val="000F3C2E"/>
    <w:rsid w:val="000F42F0"/>
    <w:rsid w:val="000F52B1"/>
    <w:rsid w:val="000F60B8"/>
    <w:rsid w:val="000F6415"/>
    <w:rsid w:val="000F7CD1"/>
    <w:rsid w:val="001006C8"/>
    <w:rsid w:val="00100DBB"/>
    <w:rsid w:val="00101446"/>
    <w:rsid w:val="00101937"/>
    <w:rsid w:val="00101B61"/>
    <w:rsid w:val="00102276"/>
    <w:rsid w:val="001026D0"/>
    <w:rsid w:val="00102A6B"/>
    <w:rsid w:val="00102F13"/>
    <w:rsid w:val="001031BB"/>
    <w:rsid w:val="00103E97"/>
    <w:rsid w:val="001046EA"/>
    <w:rsid w:val="00104E17"/>
    <w:rsid w:val="00104E6C"/>
    <w:rsid w:val="001052D0"/>
    <w:rsid w:val="001053A3"/>
    <w:rsid w:val="0010590A"/>
    <w:rsid w:val="00106EFF"/>
    <w:rsid w:val="00107A82"/>
    <w:rsid w:val="00111E1C"/>
    <w:rsid w:val="00112CB5"/>
    <w:rsid w:val="00112D04"/>
    <w:rsid w:val="00113BFF"/>
    <w:rsid w:val="0011535F"/>
    <w:rsid w:val="00115709"/>
    <w:rsid w:val="0012084E"/>
    <w:rsid w:val="001208E9"/>
    <w:rsid w:val="001211ED"/>
    <w:rsid w:val="0012136C"/>
    <w:rsid w:val="00121D98"/>
    <w:rsid w:val="0012212F"/>
    <w:rsid w:val="001222BC"/>
    <w:rsid w:val="00122746"/>
    <w:rsid w:val="0012296B"/>
    <w:rsid w:val="00122B9F"/>
    <w:rsid w:val="00122D12"/>
    <w:rsid w:val="00124028"/>
    <w:rsid w:val="0012477E"/>
    <w:rsid w:val="00125298"/>
    <w:rsid w:val="001264C3"/>
    <w:rsid w:val="00127721"/>
    <w:rsid w:val="0013037D"/>
    <w:rsid w:val="001316F6"/>
    <w:rsid w:val="00131C42"/>
    <w:rsid w:val="00131EDC"/>
    <w:rsid w:val="0013261B"/>
    <w:rsid w:val="00132BF8"/>
    <w:rsid w:val="001334EC"/>
    <w:rsid w:val="00133570"/>
    <w:rsid w:val="00133598"/>
    <w:rsid w:val="0013362E"/>
    <w:rsid w:val="001338B9"/>
    <w:rsid w:val="00133CB9"/>
    <w:rsid w:val="00134098"/>
    <w:rsid w:val="0013417C"/>
    <w:rsid w:val="001342A7"/>
    <w:rsid w:val="001357A4"/>
    <w:rsid w:val="001359A8"/>
    <w:rsid w:val="0013782A"/>
    <w:rsid w:val="0014068F"/>
    <w:rsid w:val="001409F2"/>
    <w:rsid w:val="001412C9"/>
    <w:rsid w:val="0014227A"/>
    <w:rsid w:val="00143878"/>
    <w:rsid w:val="00143BF7"/>
    <w:rsid w:val="00143CBB"/>
    <w:rsid w:val="0014418B"/>
    <w:rsid w:val="0014485E"/>
    <w:rsid w:val="0014497E"/>
    <w:rsid w:val="00145AC2"/>
    <w:rsid w:val="00146627"/>
    <w:rsid w:val="001467EA"/>
    <w:rsid w:val="00146B19"/>
    <w:rsid w:val="00147067"/>
    <w:rsid w:val="001470A2"/>
    <w:rsid w:val="00147C66"/>
    <w:rsid w:val="00147D69"/>
    <w:rsid w:val="00150354"/>
    <w:rsid w:val="00151A2A"/>
    <w:rsid w:val="00151D20"/>
    <w:rsid w:val="00151DFB"/>
    <w:rsid w:val="00151E32"/>
    <w:rsid w:val="00152129"/>
    <w:rsid w:val="0015250C"/>
    <w:rsid w:val="001526CE"/>
    <w:rsid w:val="001544F7"/>
    <w:rsid w:val="001552A2"/>
    <w:rsid w:val="001553A4"/>
    <w:rsid w:val="00155751"/>
    <w:rsid w:val="00155BB0"/>
    <w:rsid w:val="0015628E"/>
    <w:rsid w:val="001566E6"/>
    <w:rsid w:val="00156CB8"/>
    <w:rsid w:val="00156D75"/>
    <w:rsid w:val="00156F68"/>
    <w:rsid w:val="00157758"/>
    <w:rsid w:val="001577C7"/>
    <w:rsid w:val="00157823"/>
    <w:rsid w:val="00157B6F"/>
    <w:rsid w:val="001602D4"/>
    <w:rsid w:val="001604B3"/>
    <w:rsid w:val="001608F3"/>
    <w:rsid w:val="00160D9F"/>
    <w:rsid w:val="001611AD"/>
    <w:rsid w:val="001612B1"/>
    <w:rsid w:val="001629C5"/>
    <w:rsid w:val="00162ECF"/>
    <w:rsid w:val="00163044"/>
    <w:rsid w:val="00163F76"/>
    <w:rsid w:val="00164C76"/>
    <w:rsid w:val="00165209"/>
    <w:rsid w:val="001656AE"/>
    <w:rsid w:val="001656E0"/>
    <w:rsid w:val="00165BC9"/>
    <w:rsid w:val="0016613D"/>
    <w:rsid w:val="00166E6F"/>
    <w:rsid w:val="00170027"/>
    <w:rsid w:val="0017040E"/>
    <w:rsid w:val="00170FCA"/>
    <w:rsid w:val="00171167"/>
    <w:rsid w:val="001721B1"/>
    <w:rsid w:val="00172EE2"/>
    <w:rsid w:val="0017323F"/>
    <w:rsid w:val="00174746"/>
    <w:rsid w:val="00175B25"/>
    <w:rsid w:val="00176E75"/>
    <w:rsid w:val="0017754B"/>
    <w:rsid w:val="00180FCF"/>
    <w:rsid w:val="00181260"/>
    <w:rsid w:val="00181309"/>
    <w:rsid w:val="00181551"/>
    <w:rsid w:val="001815AC"/>
    <w:rsid w:val="00181954"/>
    <w:rsid w:val="001830E5"/>
    <w:rsid w:val="001832D5"/>
    <w:rsid w:val="00183838"/>
    <w:rsid w:val="00183AF7"/>
    <w:rsid w:val="001845A5"/>
    <w:rsid w:val="00184BC1"/>
    <w:rsid w:val="00184CCB"/>
    <w:rsid w:val="00184D0C"/>
    <w:rsid w:val="00185769"/>
    <w:rsid w:val="0018597C"/>
    <w:rsid w:val="00185B33"/>
    <w:rsid w:val="0018614C"/>
    <w:rsid w:val="001862F4"/>
    <w:rsid w:val="001865E9"/>
    <w:rsid w:val="001870C5"/>
    <w:rsid w:val="001873E7"/>
    <w:rsid w:val="00187CD9"/>
    <w:rsid w:val="001903A9"/>
    <w:rsid w:val="00190485"/>
    <w:rsid w:val="00190E7A"/>
    <w:rsid w:val="0019112C"/>
    <w:rsid w:val="0019177B"/>
    <w:rsid w:val="00191AE0"/>
    <w:rsid w:val="00192165"/>
    <w:rsid w:val="001928AB"/>
    <w:rsid w:val="00192B43"/>
    <w:rsid w:val="0019397F"/>
    <w:rsid w:val="00193B1B"/>
    <w:rsid w:val="0019418B"/>
    <w:rsid w:val="001944CE"/>
    <w:rsid w:val="001946FC"/>
    <w:rsid w:val="00197058"/>
    <w:rsid w:val="001974CA"/>
    <w:rsid w:val="00197532"/>
    <w:rsid w:val="001A149E"/>
    <w:rsid w:val="001A182A"/>
    <w:rsid w:val="001A1E00"/>
    <w:rsid w:val="001A2BF3"/>
    <w:rsid w:val="001A3EB3"/>
    <w:rsid w:val="001A489E"/>
    <w:rsid w:val="001A48A7"/>
    <w:rsid w:val="001A4AC5"/>
    <w:rsid w:val="001A580A"/>
    <w:rsid w:val="001B0E56"/>
    <w:rsid w:val="001B1187"/>
    <w:rsid w:val="001B1318"/>
    <w:rsid w:val="001B1521"/>
    <w:rsid w:val="001B1A80"/>
    <w:rsid w:val="001B1DDC"/>
    <w:rsid w:val="001B23F9"/>
    <w:rsid w:val="001B33DF"/>
    <w:rsid w:val="001B3B08"/>
    <w:rsid w:val="001B3C04"/>
    <w:rsid w:val="001B44A9"/>
    <w:rsid w:val="001B5181"/>
    <w:rsid w:val="001B5517"/>
    <w:rsid w:val="001B5F65"/>
    <w:rsid w:val="001B6C68"/>
    <w:rsid w:val="001B6F99"/>
    <w:rsid w:val="001B7049"/>
    <w:rsid w:val="001B7537"/>
    <w:rsid w:val="001B777B"/>
    <w:rsid w:val="001C0C37"/>
    <w:rsid w:val="001C0CAB"/>
    <w:rsid w:val="001C1ACD"/>
    <w:rsid w:val="001C1B15"/>
    <w:rsid w:val="001C1B5E"/>
    <w:rsid w:val="001C2333"/>
    <w:rsid w:val="001C2415"/>
    <w:rsid w:val="001C2CFE"/>
    <w:rsid w:val="001C344D"/>
    <w:rsid w:val="001C3465"/>
    <w:rsid w:val="001C3EB1"/>
    <w:rsid w:val="001C4443"/>
    <w:rsid w:val="001C4D53"/>
    <w:rsid w:val="001C516F"/>
    <w:rsid w:val="001C549D"/>
    <w:rsid w:val="001C5CB0"/>
    <w:rsid w:val="001C677A"/>
    <w:rsid w:val="001C6F34"/>
    <w:rsid w:val="001C7380"/>
    <w:rsid w:val="001C741E"/>
    <w:rsid w:val="001C7615"/>
    <w:rsid w:val="001D1293"/>
    <w:rsid w:val="001D1A95"/>
    <w:rsid w:val="001D1E4C"/>
    <w:rsid w:val="001D1FF3"/>
    <w:rsid w:val="001D328A"/>
    <w:rsid w:val="001D3708"/>
    <w:rsid w:val="001D393C"/>
    <w:rsid w:val="001D4740"/>
    <w:rsid w:val="001D52E8"/>
    <w:rsid w:val="001D5556"/>
    <w:rsid w:val="001D694C"/>
    <w:rsid w:val="001D6C23"/>
    <w:rsid w:val="001D76BD"/>
    <w:rsid w:val="001D7855"/>
    <w:rsid w:val="001E054F"/>
    <w:rsid w:val="001E1069"/>
    <w:rsid w:val="001E2769"/>
    <w:rsid w:val="001E2D74"/>
    <w:rsid w:val="001E32EA"/>
    <w:rsid w:val="001E33E4"/>
    <w:rsid w:val="001E41A4"/>
    <w:rsid w:val="001E4E39"/>
    <w:rsid w:val="001E500A"/>
    <w:rsid w:val="001E5206"/>
    <w:rsid w:val="001E64B0"/>
    <w:rsid w:val="001E6549"/>
    <w:rsid w:val="001E7BBD"/>
    <w:rsid w:val="001F0CC7"/>
    <w:rsid w:val="001F1D27"/>
    <w:rsid w:val="001F201C"/>
    <w:rsid w:val="001F2212"/>
    <w:rsid w:val="001F226B"/>
    <w:rsid w:val="001F23D0"/>
    <w:rsid w:val="001F3F6B"/>
    <w:rsid w:val="001F5103"/>
    <w:rsid w:val="001F589F"/>
    <w:rsid w:val="001F5C67"/>
    <w:rsid w:val="001F60E2"/>
    <w:rsid w:val="001F6306"/>
    <w:rsid w:val="001F659B"/>
    <w:rsid w:val="001F6836"/>
    <w:rsid w:val="001F6BE0"/>
    <w:rsid w:val="001F6DBB"/>
    <w:rsid w:val="001F730C"/>
    <w:rsid w:val="001F751E"/>
    <w:rsid w:val="001F753A"/>
    <w:rsid w:val="001F79F5"/>
    <w:rsid w:val="001F7BB8"/>
    <w:rsid w:val="001F7F3A"/>
    <w:rsid w:val="0020001E"/>
    <w:rsid w:val="00200EF7"/>
    <w:rsid w:val="00201684"/>
    <w:rsid w:val="00201720"/>
    <w:rsid w:val="00201FF6"/>
    <w:rsid w:val="002024AB"/>
    <w:rsid w:val="00202665"/>
    <w:rsid w:val="00204732"/>
    <w:rsid w:val="002058C3"/>
    <w:rsid w:val="00205ACC"/>
    <w:rsid w:val="00206A74"/>
    <w:rsid w:val="00206BB2"/>
    <w:rsid w:val="00206CA1"/>
    <w:rsid w:val="0020755B"/>
    <w:rsid w:val="0020769F"/>
    <w:rsid w:val="002077CF"/>
    <w:rsid w:val="00207F44"/>
    <w:rsid w:val="00210384"/>
    <w:rsid w:val="002114FB"/>
    <w:rsid w:val="002116EC"/>
    <w:rsid w:val="0021214F"/>
    <w:rsid w:val="002121F4"/>
    <w:rsid w:val="00212A59"/>
    <w:rsid w:val="0021344B"/>
    <w:rsid w:val="00213A04"/>
    <w:rsid w:val="00214248"/>
    <w:rsid w:val="002145E9"/>
    <w:rsid w:val="00214C8F"/>
    <w:rsid w:val="00215022"/>
    <w:rsid w:val="00215164"/>
    <w:rsid w:val="0021617D"/>
    <w:rsid w:val="00216210"/>
    <w:rsid w:val="00217074"/>
    <w:rsid w:val="002175EF"/>
    <w:rsid w:val="00217616"/>
    <w:rsid w:val="002179AD"/>
    <w:rsid w:val="00217DA7"/>
    <w:rsid w:val="0022095E"/>
    <w:rsid w:val="00221EFB"/>
    <w:rsid w:val="00221FFE"/>
    <w:rsid w:val="002225A4"/>
    <w:rsid w:val="00222935"/>
    <w:rsid w:val="00222941"/>
    <w:rsid w:val="00223095"/>
    <w:rsid w:val="00223C4A"/>
    <w:rsid w:val="00224881"/>
    <w:rsid w:val="00224982"/>
    <w:rsid w:val="00225906"/>
    <w:rsid w:val="00225B94"/>
    <w:rsid w:val="00225CB4"/>
    <w:rsid w:val="00226BC2"/>
    <w:rsid w:val="00227BF7"/>
    <w:rsid w:val="00231A3E"/>
    <w:rsid w:val="00232639"/>
    <w:rsid w:val="002326F2"/>
    <w:rsid w:val="002329BD"/>
    <w:rsid w:val="002333D4"/>
    <w:rsid w:val="00233576"/>
    <w:rsid w:val="00234080"/>
    <w:rsid w:val="00234BB8"/>
    <w:rsid w:val="002355D1"/>
    <w:rsid w:val="002358F2"/>
    <w:rsid w:val="0023626C"/>
    <w:rsid w:val="0023667D"/>
    <w:rsid w:val="00236CC6"/>
    <w:rsid w:val="002373D3"/>
    <w:rsid w:val="00240659"/>
    <w:rsid w:val="00240660"/>
    <w:rsid w:val="002417E5"/>
    <w:rsid w:val="00241F95"/>
    <w:rsid w:val="002422CB"/>
    <w:rsid w:val="00242680"/>
    <w:rsid w:val="00243477"/>
    <w:rsid w:val="00245DBC"/>
    <w:rsid w:val="00246021"/>
    <w:rsid w:val="00246032"/>
    <w:rsid w:val="00246045"/>
    <w:rsid w:val="002462DD"/>
    <w:rsid w:val="0024672E"/>
    <w:rsid w:val="00246D16"/>
    <w:rsid w:val="002472A8"/>
    <w:rsid w:val="00250554"/>
    <w:rsid w:val="0025069F"/>
    <w:rsid w:val="00250B30"/>
    <w:rsid w:val="002529AE"/>
    <w:rsid w:val="002541CD"/>
    <w:rsid w:val="0025435D"/>
    <w:rsid w:val="002546D4"/>
    <w:rsid w:val="00254CC3"/>
    <w:rsid w:val="0025569A"/>
    <w:rsid w:val="00255997"/>
    <w:rsid w:val="00256BE7"/>
    <w:rsid w:val="002608D8"/>
    <w:rsid w:val="00260FB0"/>
    <w:rsid w:val="00261962"/>
    <w:rsid w:val="00262751"/>
    <w:rsid w:val="0026382A"/>
    <w:rsid w:val="00264E94"/>
    <w:rsid w:val="0026533C"/>
    <w:rsid w:val="00266E85"/>
    <w:rsid w:val="00266FEB"/>
    <w:rsid w:val="00267A37"/>
    <w:rsid w:val="00267A92"/>
    <w:rsid w:val="00270D76"/>
    <w:rsid w:val="002718F6"/>
    <w:rsid w:val="002722D3"/>
    <w:rsid w:val="00273F81"/>
    <w:rsid w:val="00274388"/>
    <w:rsid w:val="002743FC"/>
    <w:rsid w:val="0027515F"/>
    <w:rsid w:val="002752F9"/>
    <w:rsid w:val="00275928"/>
    <w:rsid w:val="002761B5"/>
    <w:rsid w:val="00276402"/>
    <w:rsid w:val="00276F6B"/>
    <w:rsid w:val="00277976"/>
    <w:rsid w:val="00277B5A"/>
    <w:rsid w:val="00277BCB"/>
    <w:rsid w:val="00280022"/>
    <w:rsid w:val="00280525"/>
    <w:rsid w:val="00280739"/>
    <w:rsid w:val="00280748"/>
    <w:rsid w:val="00280867"/>
    <w:rsid w:val="00281985"/>
    <w:rsid w:val="00282CF0"/>
    <w:rsid w:val="00282F2F"/>
    <w:rsid w:val="00283D49"/>
    <w:rsid w:val="00283F33"/>
    <w:rsid w:val="00283FB4"/>
    <w:rsid w:val="00284F1C"/>
    <w:rsid w:val="0028597F"/>
    <w:rsid w:val="00285E8B"/>
    <w:rsid w:val="00287DA3"/>
    <w:rsid w:val="00290026"/>
    <w:rsid w:val="002902DD"/>
    <w:rsid w:val="00290580"/>
    <w:rsid w:val="00291106"/>
    <w:rsid w:val="002913C4"/>
    <w:rsid w:val="0029149A"/>
    <w:rsid w:val="002919A6"/>
    <w:rsid w:val="00291A99"/>
    <w:rsid w:val="00291F81"/>
    <w:rsid w:val="0029301B"/>
    <w:rsid w:val="00293AA9"/>
    <w:rsid w:val="002956D0"/>
    <w:rsid w:val="002957D8"/>
    <w:rsid w:val="0029596C"/>
    <w:rsid w:val="00296462"/>
    <w:rsid w:val="00296681"/>
    <w:rsid w:val="002968FA"/>
    <w:rsid w:val="00297100"/>
    <w:rsid w:val="00297195"/>
    <w:rsid w:val="002979F8"/>
    <w:rsid w:val="00297CD7"/>
    <w:rsid w:val="002A07C2"/>
    <w:rsid w:val="002A08E4"/>
    <w:rsid w:val="002A18E9"/>
    <w:rsid w:val="002A1DE9"/>
    <w:rsid w:val="002A202A"/>
    <w:rsid w:val="002A22E7"/>
    <w:rsid w:val="002A274F"/>
    <w:rsid w:val="002A2BF1"/>
    <w:rsid w:val="002A3CB1"/>
    <w:rsid w:val="002A41FF"/>
    <w:rsid w:val="002A437B"/>
    <w:rsid w:val="002A4D34"/>
    <w:rsid w:val="002A4EC8"/>
    <w:rsid w:val="002A5E33"/>
    <w:rsid w:val="002A6899"/>
    <w:rsid w:val="002A7247"/>
    <w:rsid w:val="002A72A3"/>
    <w:rsid w:val="002B0208"/>
    <w:rsid w:val="002B0722"/>
    <w:rsid w:val="002B12CC"/>
    <w:rsid w:val="002B1AFF"/>
    <w:rsid w:val="002B1CBF"/>
    <w:rsid w:val="002B1CFC"/>
    <w:rsid w:val="002B221F"/>
    <w:rsid w:val="002B2A94"/>
    <w:rsid w:val="002B356F"/>
    <w:rsid w:val="002B39DF"/>
    <w:rsid w:val="002B4998"/>
    <w:rsid w:val="002B4FCF"/>
    <w:rsid w:val="002B57AA"/>
    <w:rsid w:val="002B5ADC"/>
    <w:rsid w:val="002B7DF7"/>
    <w:rsid w:val="002C0610"/>
    <w:rsid w:val="002C1CDD"/>
    <w:rsid w:val="002C20C0"/>
    <w:rsid w:val="002C283D"/>
    <w:rsid w:val="002C28B4"/>
    <w:rsid w:val="002C28F6"/>
    <w:rsid w:val="002C29F0"/>
    <w:rsid w:val="002C3C18"/>
    <w:rsid w:val="002C5795"/>
    <w:rsid w:val="002C5CA8"/>
    <w:rsid w:val="002C5CF8"/>
    <w:rsid w:val="002C617E"/>
    <w:rsid w:val="002C7094"/>
    <w:rsid w:val="002C725B"/>
    <w:rsid w:val="002C7F66"/>
    <w:rsid w:val="002D0A9D"/>
    <w:rsid w:val="002D1299"/>
    <w:rsid w:val="002D15F8"/>
    <w:rsid w:val="002D16D9"/>
    <w:rsid w:val="002D17A7"/>
    <w:rsid w:val="002D17DD"/>
    <w:rsid w:val="002D1A80"/>
    <w:rsid w:val="002D1E90"/>
    <w:rsid w:val="002D27D9"/>
    <w:rsid w:val="002D2E24"/>
    <w:rsid w:val="002D36FC"/>
    <w:rsid w:val="002D472F"/>
    <w:rsid w:val="002D474E"/>
    <w:rsid w:val="002D4E9F"/>
    <w:rsid w:val="002D512E"/>
    <w:rsid w:val="002D5E3A"/>
    <w:rsid w:val="002D61C4"/>
    <w:rsid w:val="002D6416"/>
    <w:rsid w:val="002D67DF"/>
    <w:rsid w:val="002D6903"/>
    <w:rsid w:val="002D71E3"/>
    <w:rsid w:val="002D7ACC"/>
    <w:rsid w:val="002E021E"/>
    <w:rsid w:val="002E0C80"/>
    <w:rsid w:val="002E0DD2"/>
    <w:rsid w:val="002E17E5"/>
    <w:rsid w:val="002E2492"/>
    <w:rsid w:val="002E29E5"/>
    <w:rsid w:val="002E30FA"/>
    <w:rsid w:val="002E332D"/>
    <w:rsid w:val="002E38C9"/>
    <w:rsid w:val="002E4420"/>
    <w:rsid w:val="002E4DB8"/>
    <w:rsid w:val="002E50B3"/>
    <w:rsid w:val="002E5274"/>
    <w:rsid w:val="002E5634"/>
    <w:rsid w:val="002E6221"/>
    <w:rsid w:val="002E65C0"/>
    <w:rsid w:val="002E6854"/>
    <w:rsid w:val="002E6B7B"/>
    <w:rsid w:val="002E6BC0"/>
    <w:rsid w:val="002E7067"/>
    <w:rsid w:val="002E7EF5"/>
    <w:rsid w:val="002F0F36"/>
    <w:rsid w:val="002F1EE6"/>
    <w:rsid w:val="002F22FF"/>
    <w:rsid w:val="002F23E5"/>
    <w:rsid w:val="002F307B"/>
    <w:rsid w:val="002F5368"/>
    <w:rsid w:val="002F5607"/>
    <w:rsid w:val="002F569B"/>
    <w:rsid w:val="002F5FCD"/>
    <w:rsid w:val="002F6008"/>
    <w:rsid w:val="002F61AB"/>
    <w:rsid w:val="002F69B4"/>
    <w:rsid w:val="0030006B"/>
    <w:rsid w:val="00301696"/>
    <w:rsid w:val="0030203B"/>
    <w:rsid w:val="0030237C"/>
    <w:rsid w:val="00303F90"/>
    <w:rsid w:val="00304890"/>
    <w:rsid w:val="00304B7E"/>
    <w:rsid w:val="00304B8D"/>
    <w:rsid w:val="00304C23"/>
    <w:rsid w:val="003054E3"/>
    <w:rsid w:val="00305D7A"/>
    <w:rsid w:val="00305FED"/>
    <w:rsid w:val="003073CF"/>
    <w:rsid w:val="00307AB9"/>
    <w:rsid w:val="00307B4A"/>
    <w:rsid w:val="003101C5"/>
    <w:rsid w:val="003102F0"/>
    <w:rsid w:val="00310E53"/>
    <w:rsid w:val="003121B6"/>
    <w:rsid w:val="00312524"/>
    <w:rsid w:val="00313931"/>
    <w:rsid w:val="00313A69"/>
    <w:rsid w:val="00313D95"/>
    <w:rsid w:val="00315211"/>
    <w:rsid w:val="00315DE1"/>
    <w:rsid w:val="00316516"/>
    <w:rsid w:val="00317952"/>
    <w:rsid w:val="00317C3C"/>
    <w:rsid w:val="00317E84"/>
    <w:rsid w:val="00320398"/>
    <w:rsid w:val="003204E7"/>
    <w:rsid w:val="00320C53"/>
    <w:rsid w:val="00320CB4"/>
    <w:rsid w:val="00320FB1"/>
    <w:rsid w:val="003210FD"/>
    <w:rsid w:val="00321486"/>
    <w:rsid w:val="0032249B"/>
    <w:rsid w:val="0032289F"/>
    <w:rsid w:val="00323F88"/>
    <w:rsid w:val="003243DF"/>
    <w:rsid w:val="0032497E"/>
    <w:rsid w:val="00324FDC"/>
    <w:rsid w:val="00325526"/>
    <w:rsid w:val="0032576E"/>
    <w:rsid w:val="00325C90"/>
    <w:rsid w:val="0032608E"/>
    <w:rsid w:val="003273CD"/>
    <w:rsid w:val="00327FA8"/>
    <w:rsid w:val="003301A6"/>
    <w:rsid w:val="003303F7"/>
    <w:rsid w:val="00330DD6"/>
    <w:rsid w:val="003312D9"/>
    <w:rsid w:val="0033150A"/>
    <w:rsid w:val="00331EA2"/>
    <w:rsid w:val="00332C67"/>
    <w:rsid w:val="00333753"/>
    <w:rsid w:val="00333FD4"/>
    <w:rsid w:val="00334044"/>
    <w:rsid w:val="0033506F"/>
    <w:rsid w:val="003352C8"/>
    <w:rsid w:val="00335F90"/>
    <w:rsid w:val="00336591"/>
    <w:rsid w:val="00336CD6"/>
    <w:rsid w:val="003372E0"/>
    <w:rsid w:val="003376C4"/>
    <w:rsid w:val="003377F7"/>
    <w:rsid w:val="00337989"/>
    <w:rsid w:val="00337C8C"/>
    <w:rsid w:val="00337FAE"/>
    <w:rsid w:val="00340829"/>
    <w:rsid w:val="00341D39"/>
    <w:rsid w:val="00342162"/>
    <w:rsid w:val="0034383C"/>
    <w:rsid w:val="003441BA"/>
    <w:rsid w:val="00344A9A"/>
    <w:rsid w:val="003464F8"/>
    <w:rsid w:val="00346913"/>
    <w:rsid w:val="00346F5D"/>
    <w:rsid w:val="00350171"/>
    <w:rsid w:val="00350937"/>
    <w:rsid w:val="003509FA"/>
    <w:rsid w:val="0035135B"/>
    <w:rsid w:val="00352532"/>
    <w:rsid w:val="003528C3"/>
    <w:rsid w:val="003535F2"/>
    <w:rsid w:val="00353F60"/>
    <w:rsid w:val="00354144"/>
    <w:rsid w:val="003554D5"/>
    <w:rsid w:val="003560C1"/>
    <w:rsid w:val="003565BC"/>
    <w:rsid w:val="0035689A"/>
    <w:rsid w:val="00356C11"/>
    <w:rsid w:val="00357217"/>
    <w:rsid w:val="003573B2"/>
    <w:rsid w:val="00357A2D"/>
    <w:rsid w:val="00360010"/>
    <w:rsid w:val="00360809"/>
    <w:rsid w:val="0036095A"/>
    <w:rsid w:val="00361985"/>
    <w:rsid w:val="003623E8"/>
    <w:rsid w:val="00362B2B"/>
    <w:rsid w:val="00362B51"/>
    <w:rsid w:val="00362F9C"/>
    <w:rsid w:val="003630EB"/>
    <w:rsid w:val="003646F2"/>
    <w:rsid w:val="0036479B"/>
    <w:rsid w:val="00364BD1"/>
    <w:rsid w:val="0036519B"/>
    <w:rsid w:val="003651AF"/>
    <w:rsid w:val="00365359"/>
    <w:rsid w:val="003662EA"/>
    <w:rsid w:val="0036720E"/>
    <w:rsid w:val="00370C46"/>
    <w:rsid w:val="00372463"/>
    <w:rsid w:val="00372C5E"/>
    <w:rsid w:val="00372D40"/>
    <w:rsid w:val="00373154"/>
    <w:rsid w:val="0037457D"/>
    <w:rsid w:val="0037647A"/>
    <w:rsid w:val="00376F87"/>
    <w:rsid w:val="003803FF"/>
    <w:rsid w:val="00380DCD"/>
    <w:rsid w:val="00381241"/>
    <w:rsid w:val="003827F5"/>
    <w:rsid w:val="00382F5C"/>
    <w:rsid w:val="00383075"/>
    <w:rsid w:val="0038381E"/>
    <w:rsid w:val="00384268"/>
    <w:rsid w:val="0038435F"/>
    <w:rsid w:val="00384464"/>
    <w:rsid w:val="003854B3"/>
    <w:rsid w:val="00387179"/>
    <w:rsid w:val="00387252"/>
    <w:rsid w:val="003873AF"/>
    <w:rsid w:val="00387E65"/>
    <w:rsid w:val="00391080"/>
    <w:rsid w:val="00392191"/>
    <w:rsid w:val="00392AC7"/>
    <w:rsid w:val="00392C59"/>
    <w:rsid w:val="00392E9B"/>
    <w:rsid w:val="00393346"/>
    <w:rsid w:val="0039369F"/>
    <w:rsid w:val="00393E86"/>
    <w:rsid w:val="0039440E"/>
    <w:rsid w:val="003946A2"/>
    <w:rsid w:val="003946F7"/>
    <w:rsid w:val="00394979"/>
    <w:rsid w:val="00394AAF"/>
    <w:rsid w:val="003952EF"/>
    <w:rsid w:val="00395585"/>
    <w:rsid w:val="003961C3"/>
    <w:rsid w:val="00396473"/>
    <w:rsid w:val="00396485"/>
    <w:rsid w:val="00397289"/>
    <w:rsid w:val="0039752B"/>
    <w:rsid w:val="00397828"/>
    <w:rsid w:val="003A0DAB"/>
    <w:rsid w:val="003A0F6E"/>
    <w:rsid w:val="003A1B58"/>
    <w:rsid w:val="003A2144"/>
    <w:rsid w:val="003A2757"/>
    <w:rsid w:val="003A4179"/>
    <w:rsid w:val="003A56F2"/>
    <w:rsid w:val="003A5E52"/>
    <w:rsid w:val="003A5F4D"/>
    <w:rsid w:val="003A6085"/>
    <w:rsid w:val="003A64D2"/>
    <w:rsid w:val="003A6795"/>
    <w:rsid w:val="003A6ACA"/>
    <w:rsid w:val="003A7926"/>
    <w:rsid w:val="003A7C78"/>
    <w:rsid w:val="003A7DEE"/>
    <w:rsid w:val="003B0D0E"/>
    <w:rsid w:val="003B1BDB"/>
    <w:rsid w:val="003B5096"/>
    <w:rsid w:val="003B5731"/>
    <w:rsid w:val="003B7EE6"/>
    <w:rsid w:val="003B7FB6"/>
    <w:rsid w:val="003C0260"/>
    <w:rsid w:val="003C0435"/>
    <w:rsid w:val="003C06C9"/>
    <w:rsid w:val="003C1949"/>
    <w:rsid w:val="003C2064"/>
    <w:rsid w:val="003C2CF4"/>
    <w:rsid w:val="003C49B7"/>
    <w:rsid w:val="003C57AC"/>
    <w:rsid w:val="003C59E4"/>
    <w:rsid w:val="003C66EC"/>
    <w:rsid w:val="003C6E6E"/>
    <w:rsid w:val="003C7D36"/>
    <w:rsid w:val="003C7D55"/>
    <w:rsid w:val="003D0C38"/>
    <w:rsid w:val="003D191A"/>
    <w:rsid w:val="003D1973"/>
    <w:rsid w:val="003D1E02"/>
    <w:rsid w:val="003D1E8E"/>
    <w:rsid w:val="003D2229"/>
    <w:rsid w:val="003D2D40"/>
    <w:rsid w:val="003D3804"/>
    <w:rsid w:val="003D3DB8"/>
    <w:rsid w:val="003D41F3"/>
    <w:rsid w:val="003D4DB9"/>
    <w:rsid w:val="003D63A3"/>
    <w:rsid w:val="003D722D"/>
    <w:rsid w:val="003D783F"/>
    <w:rsid w:val="003D79D9"/>
    <w:rsid w:val="003E03A1"/>
    <w:rsid w:val="003E0742"/>
    <w:rsid w:val="003E0BEC"/>
    <w:rsid w:val="003E1C02"/>
    <w:rsid w:val="003E20AE"/>
    <w:rsid w:val="003E234E"/>
    <w:rsid w:val="003E2936"/>
    <w:rsid w:val="003E3F7E"/>
    <w:rsid w:val="003E473B"/>
    <w:rsid w:val="003E4908"/>
    <w:rsid w:val="003E4B86"/>
    <w:rsid w:val="003E4EB8"/>
    <w:rsid w:val="003E4ECB"/>
    <w:rsid w:val="003E4F9C"/>
    <w:rsid w:val="003E50F0"/>
    <w:rsid w:val="003E5A35"/>
    <w:rsid w:val="003E5A3D"/>
    <w:rsid w:val="003E61EF"/>
    <w:rsid w:val="003E6EFB"/>
    <w:rsid w:val="003E78EC"/>
    <w:rsid w:val="003E7F94"/>
    <w:rsid w:val="003F0254"/>
    <w:rsid w:val="003F028E"/>
    <w:rsid w:val="003F0345"/>
    <w:rsid w:val="003F0AEE"/>
    <w:rsid w:val="003F1378"/>
    <w:rsid w:val="003F142C"/>
    <w:rsid w:val="003F29BD"/>
    <w:rsid w:val="003F31A8"/>
    <w:rsid w:val="003F323B"/>
    <w:rsid w:val="003F35C2"/>
    <w:rsid w:val="003F644A"/>
    <w:rsid w:val="003F705A"/>
    <w:rsid w:val="003F7360"/>
    <w:rsid w:val="003F7B90"/>
    <w:rsid w:val="00400255"/>
    <w:rsid w:val="00400C1A"/>
    <w:rsid w:val="00400E78"/>
    <w:rsid w:val="00401309"/>
    <w:rsid w:val="00401424"/>
    <w:rsid w:val="00401719"/>
    <w:rsid w:val="00401C52"/>
    <w:rsid w:val="004020EA"/>
    <w:rsid w:val="00402573"/>
    <w:rsid w:val="0040304E"/>
    <w:rsid w:val="0040395E"/>
    <w:rsid w:val="00403BAC"/>
    <w:rsid w:val="00403C3D"/>
    <w:rsid w:val="0040413A"/>
    <w:rsid w:val="00404F9A"/>
    <w:rsid w:val="004053AC"/>
    <w:rsid w:val="00405AF6"/>
    <w:rsid w:val="00405CCB"/>
    <w:rsid w:val="00406842"/>
    <w:rsid w:val="0040717F"/>
    <w:rsid w:val="004074F0"/>
    <w:rsid w:val="00407FBB"/>
    <w:rsid w:val="00410766"/>
    <w:rsid w:val="00411168"/>
    <w:rsid w:val="00412135"/>
    <w:rsid w:val="00412692"/>
    <w:rsid w:val="00412930"/>
    <w:rsid w:val="00413429"/>
    <w:rsid w:val="00413C36"/>
    <w:rsid w:val="00413E3E"/>
    <w:rsid w:val="004141EF"/>
    <w:rsid w:val="0041470E"/>
    <w:rsid w:val="00414A50"/>
    <w:rsid w:val="00414B9A"/>
    <w:rsid w:val="00415943"/>
    <w:rsid w:val="004159ED"/>
    <w:rsid w:val="00415D00"/>
    <w:rsid w:val="0041674A"/>
    <w:rsid w:val="00417573"/>
    <w:rsid w:val="00417C82"/>
    <w:rsid w:val="0042033B"/>
    <w:rsid w:val="0042040A"/>
    <w:rsid w:val="00420D88"/>
    <w:rsid w:val="0042122E"/>
    <w:rsid w:val="00421C66"/>
    <w:rsid w:val="00421E9E"/>
    <w:rsid w:val="004228E6"/>
    <w:rsid w:val="00422A2F"/>
    <w:rsid w:val="00423545"/>
    <w:rsid w:val="00424614"/>
    <w:rsid w:val="00424825"/>
    <w:rsid w:val="0042549F"/>
    <w:rsid w:val="00425C9A"/>
    <w:rsid w:val="00426037"/>
    <w:rsid w:val="00426856"/>
    <w:rsid w:val="0042700E"/>
    <w:rsid w:val="00427025"/>
    <w:rsid w:val="00427395"/>
    <w:rsid w:val="004304FA"/>
    <w:rsid w:val="00430FF3"/>
    <w:rsid w:val="00431876"/>
    <w:rsid w:val="004318A6"/>
    <w:rsid w:val="00431C12"/>
    <w:rsid w:val="00432601"/>
    <w:rsid w:val="00433618"/>
    <w:rsid w:val="00433CC7"/>
    <w:rsid w:val="00434101"/>
    <w:rsid w:val="00434734"/>
    <w:rsid w:val="0043479B"/>
    <w:rsid w:val="0043490C"/>
    <w:rsid w:val="00435A30"/>
    <w:rsid w:val="0043605B"/>
    <w:rsid w:val="0043689B"/>
    <w:rsid w:val="00436E9C"/>
    <w:rsid w:val="00437D3B"/>
    <w:rsid w:val="00440655"/>
    <w:rsid w:val="00440694"/>
    <w:rsid w:val="004409FB"/>
    <w:rsid w:val="004424DF"/>
    <w:rsid w:val="0044276A"/>
    <w:rsid w:val="00442D5E"/>
    <w:rsid w:val="004440CA"/>
    <w:rsid w:val="00444213"/>
    <w:rsid w:val="0044479E"/>
    <w:rsid w:val="00445665"/>
    <w:rsid w:val="00445CC1"/>
    <w:rsid w:val="00446873"/>
    <w:rsid w:val="00446886"/>
    <w:rsid w:val="004468A0"/>
    <w:rsid w:val="0044701A"/>
    <w:rsid w:val="00447989"/>
    <w:rsid w:val="00447A22"/>
    <w:rsid w:val="00450407"/>
    <w:rsid w:val="004506EA"/>
    <w:rsid w:val="00450B29"/>
    <w:rsid w:val="00450C5A"/>
    <w:rsid w:val="00450D22"/>
    <w:rsid w:val="0045410A"/>
    <w:rsid w:val="00454931"/>
    <w:rsid w:val="00454E58"/>
    <w:rsid w:val="004556CE"/>
    <w:rsid w:val="00455956"/>
    <w:rsid w:val="00455FDB"/>
    <w:rsid w:val="00456798"/>
    <w:rsid w:val="00460055"/>
    <w:rsid w:val="00460388"/>
    <w:rsid w:val="004608AB"/>
    <w:rsid w:val="00460C53"/>
    <w:rsid w:val="004618B7"/>
    <w:rsid w:val="00461DD8"/>
    <w:rsid w:val="00462A1D"/>
    <w:rsid w:val="00462A74"/>
    <w:rsid w:val="00463690"/>
    <w:rsid w:val="0046482B"/>
    <w:rsid w:val="00464F0B"/>
    <w:rsid w:val="004650FA"/>
    <w:rsid w:val="00465252"/>
    <w:rsid w:val="00465306"/>
    <w:rsid w:val="00465515"/>
    <w:rsid w:val="00465629"/>
    <w:rsid w:val="00465B17"/>
    <w:rsid w:val="00465C0E"/>
    <w:rsid w:val="00465EF4"/>
    <w:rsid w:val="00466007"/>
    <w:rsid w:val="00466025"/>
    <w:rsid w:val="00466AAA"/>
    <w:rsid w:val="00466C2D"/>
    <w:rsid w:val="0047033C"/>
    <w:rsid w:val="00470D04"/>
    <w:rsid w:val="00470DD2"/>
    <w:rsid w:val="00470E18"/>
    <w:rsid w:val="00471297"/>
    <w:rsid w:val="004720E4"/>
    <w:rsid w:val="004724D8"/>
    <w:rsid w:val="004728FE"/>
    <w:rsid w:val="00472F1A"/>
    <w:rsid w:val="00472FEA"/>
    <w:rsid w:val="00473911"/>
    <w:rsid w:val="00473B81"/>
    <w:rsid w:val="00474228"/>
    <w:rsid w:val="0047477B"/>
    <w:rsid w:val="00475588"/>
    <w:rsid w:val="00475B3F"/>
    <w:rsid w:val="0047690E"/>
    <w:rsid w:val="00477FC7"/>
    <w:rsid w:val="00480486"/>
    <w:rsid w:val="004807CE"/>
    <w:rsid w:val="004807FD"/>
    <w:rsid w:val="00480838"/>
    <w:rsid w:val="00480944"/>
    <w:rsid w:val="00480CB2"/>
    <w:rsid w:val="004814C0"/>
    <w:rsid w:val="00481627"/>
    <w:rsid w:val="00481C7B"/>
    <w:rsid w:val="00481F88"/>
    <w:rsid w:val="0048210E"/>
    <w:rsid w:val="004829D3"/>
    <w:rsid w:val="00482F55"/>
    <w:rsid w:val="00483054"/>
    <w:rsid w:val="0048316B"/>
    <w:rsid w:val="00483218"/>
    <w:rsid w:val="00483EE1"/>
    <w:rsid w:val="0048452C"/>
    <w:rsid w:val="00485FFC"/>
    <w:rsid w:val="004864D2"/>
    <w:rsid w:val="004867FD"/>
    <w:rsid w:val="00486E88"/>
    <w:rsid w:val="00487619"/>
    <w:rsid w:val="0048780A"/>
    <w:rsid w:val="00487CED"/>
    <w:rsid w:val="0049046A"/>
    <w:rsid w:val="00490AE0"/>
    <w:rsid w:val="00491D01"/>
    <w:rsid w:val="00491ED8"/>
    <w:rsid w:val="0049245E"/>
    <w:rsid w:val="0049272C"/>
    <w:rsid w:val="0049279B"/>
    <w:rsid w:val="004929B5"/>
    <w:rsid w:val="00493444"/>
    <w:rsid w:val="00493463"/>
    <w:rsid w:val="004934C1"/>
    <w:rsid w:val="00493675"/>
    <w:rsid w:val="00493BEC"/>
    <w:rsid w:val="004949BD"/>
    <w:rsid w:val="00494D95"/>
    <w:rsid w:val="00495063"/>
    <w:rsid w:val="004959D4"/>
    <w:rsid w:val="00495AB6"/>
    <w:rsid w:val="00496663"/>
    <w:rsid w:val="00496AB9"/>
    <w:rsid w:val="00497340"/>
    <w:rsid w:val="004973B8"/>
    <w:rsid w:val="0049756F"/>
    <w:rsid w:val="00497DEA"/>
    <w:rsid w:val="004A01ED"/>
    <w:rsid w:val="004A0BEF"/>
    <w:rsid w:val="004A17DD"/>
    <w:rsid w:val="004A2A53"/>
    <w:rsid w:val="004A2C0B"/>
    <w:rsid w:val="004A2C95"/>
    <w:rsid w:val="004A31CA"/>
    <w:rsid w:val="004A35CB"/>
    <w:rsid w:val="004A3D57"/>
    <w:rsid w:val="004A41A7"/>
    <w:rsid w:val="004A42CA"/>
    <w:rsid w:val="004A444D"/>
    <w:rsid w:val="004A4A19"/>
    <w:rsid w:val="004A4B40"/>
    <w:rsid w:val="004A4FE5"/>
    <w:rsid w:val="004A54AB"/>
    <w:rsid w:val="004A7719"/>
    <w:rsid w:val="004B01F0"/>
    <w:rsid w:val="004B03F8"/>
    <w:rsid w:val="004B17D0"/>
    <w:rsid w:val="004B181C"/>
    <w:rsid w:val="004B1B74"/>
    <w:rsid w:val="004B1DB8"/>
    <w:rsid w:val="004B2875"/>
    <w:rsid w:val="004B2876"/>
    <w:rsid w:val="004B32B4"/>
    <w:rsid w:val="004B32CC"/>
    <w:rsid w:val="004B490F"/>
    <w:rsid w:val="004B49D7"/>
    <w:rsid w:val="004B4D02"/>
    <w:rsid w:val="004B52E7"/>
    <w:rsid w:val="004B5324"/>
    <w:rsid w:val="004B5E8B"/>
    <w:rsid w:val="004B6903"/>
    <w:rsid w:val="004B6D7D"/>
    <w:rsid w:val="004B6DD3"/>
    <w:rsid w:val="004B7D7A"/>
    <w:rsid w:val="004C0307"/>
    <w:rsid w:val="004C0B55"/>
    <w:rsid w:val="004C0FEA"/>
    <w:rsid w:val="004C138A"/>
    <w:rsid w:val="004C1871"/>
    <w:rsid w:val="004C1E3F"/>
    <w:rsid w:val="004C1F14"/>
    <w:rsid w:val="004C3289"/>
    <w:rsid w:val="004C3C19"/>
    <w:rsid w:val="004C51D1"/>
    <w:rsid w:val="004C5BCB"/>
    <w:rsid w:val="004C6384"/>
    <w:rsid w:val="004C6645"/>
    <w:rsid w:val="004C6687"/>
    <w:rsid w:val="004C6694"/>
    <w:rsid w:val="004C6BE3"/>
    <w:rsid w:val="004C7B82"/>
    <w:rsid w:val="004D04E3"/>
    <w:rsid w:val="004D063F"/>
    <w:rsid w:val="004D0FE0"/>
    <w:rsid w:val="004D2AF9"/>
    <w:rsid w:val="004D2DB9"/>
    <w:rsid w:val="004D32B8"/>
    <w:rsid w:val="004D4F5A"/>
    <w:rsid w:val="004D5055"/>
    <w:rsid w:val="004D576D"/>
    <w:rsid w:val="004D58B0"/>
    <w:rsid w:val="004D58EF"/>
    <w:rsid w:val="004D62DE"/>
    <w:rsid w:val="004D65FD"/>
    <w:rsid w:val="004D6FDA"/>
    <w:rsid w:val="004E0C0A"/>
    <w:rsid w:val="004E1994"/>
    <w:rsid w:val="004E2275"/>
    <w:rsid w:val="004E4AD2"/>
    <w:rsid w:val="004E4D08"/>
    <w:rsid w:val="004E5D5B"/>
    <w:rsid w:val="004E6BA5"/>
    <w:rsid w:val="004E6BD8"/>
    <w:rsid w:val="004E7F2B"/>
    <w:rsid w:val="004F00F8"/>
    <w:rsid w:val="004F0395"/>
    <w:rsid w:val="004F0B2E"/>
    <w:rsid w:val="004F1D6F"/>
    <w:rsid w:val="004F2118"/>
    <w:rsid w:val="004F24FB"/>
    <w:rsid w:val="004F3EB8"/>
    <w:rsid w:val="004F446F"/>
    <w:rsid w:val="004F5215"/>
    <w:rsid w:val="004F57EF"/>
    <w:rsid w:val="004F5C1E"/>
    <w:rsid w:val="004F63CB"/>
    <w:rsid w:val="004F6B14"/>
    <w:rsid w:val="004F7AAB"/>
    <w:rsid w:val="00500300"/>
    <w:rsid w:val="00500D81"/>
    <w:rsid w:val="00500EA1"/>
    <w:rsid w:val="00501951"/>
    <w:rsid w:val="005025CF"/>
    <w:rsid w:val="00502D90"/>
    <w:rsid w:val="0050313C"/>
    <w:rsid w:val="00503D56"/>
    <w:rsid w:val="00504390"/>
    <w:rsid w:val="005052C2"/>
    <w:rsid w:val="00505CB5"/>
    <w:rsid w:val="00506561"/>
    <w:rsid w:val="0050667A"/>
    <w:rsid w:val="00506CA9"/>
    <w:rsid w:val="00506CBB"/>
    <w:rsid w:val="00507ACE"/>
    <w:rsid w:val="00510384"/>
    <w:rsid w:val="005105D4"/>
    <w:rsid w:val="0051119A"/>
    <w:rsid w:val="005118ED"/>
    <w:rsid w:val="00511C44"/>
    <w:rsid w:val="00511D14"/>
    <w:rsid w:val="005127BD"/>
    <w:rsid w:val="00512990"/>
    <w:rsid w:val="00512F3C"/>
    <w:rsid w:val="00513852"/>
    <w:rsid w:val="00514313"/>
    <w:rsid w:val="00515108"/>
    <w:rsid w:val="00515513"/>
    <w:rsid w:val="00515AD7"/>
    <w:rsid w:val="00515C77"/>
    <w:rsid w:val="0051687A"/>
    <w:rsid w:val="00517736"/>
    <w:rsid w:val="00520195"/>
    <w:rsid w:val="0052040C"/>
    <w:rsid w:val="0052041B"/>
    <w:rsid w:val="005209CD"/>
    <w:rsid w:val="00521058"/>
    <w:rsid w:val="00521B1D"/>
    <w:rsid w:val="00522958"/>
    <w:rsid w:val="0052339E"/>
    <w:rsid w:val="005239BD"/>
    <w:rsid w:val="00523DED"/>
    <w:rsid w:val="00524125"/>
    <w:rsid w:val="00524F68"/>
    <w:rsid w:val="00525E04"/>
    <w:rsid w:val="00525E67"/>
    <w:rsid w:val="0052604F"/>
    <w:rsid w:val="005268AC"/>
    <w:rsid w:val="00527439"/>
    <w:rsid w:val="00527587"/>
    <w:rsid w:val="00527CA0"/>
    <w:rsid w:val="00527F64"/>
    <w:rsid w:val="00530718"/>
    <w:rsid w:val="00530A4F"/>
    <w:rsid w:val="00531024"/>
    <w:rsid w:val="005313CC"/>
    <w:rsid w:val="005314C3"/>
    <w:rsid w:val="005319E0"/>
    <w:rsid w:val="00532467"/>
    <w:rsid w:val="00532E5D"/>
    <w:rsid w:val="00534110"/>
    <w:rsid w:val="005344BE"/>
    <w:rsid w:val="0053479D"/>
    <w:rsid w:val="0053591C"/>
    <w:rsid w:val="0053613B"/>
    <w:rsid w:val="005367AB"/>
    <w:rsid w:val="005369E4"/>
    <w:rsid w:val="00536B67"/>
    <w:rsid w:val="00537896"/>
    <w:rsid w:val="00537EAD"/>
    <w:rsid w:val="005402E8"/>
    <w:rsid w:val="0054044C"/>
    <w:rsid w:val="0054077F"/>
    <w:rsid w:val="00541228"/>
    <w:rsid w:val="0054389D"/>
    <w:rsid w:val="0054395E"/>
    <w:rsid w:val="00543E41"/>
    <w:rsid w:val="00544165"/>
    <w:rsid w:val="00544D81"/>
    <w:rsid w:val="00544DB2"/>
    <w:rsid w:val="0054531D"/>
    <w:rsid w:val="00545603"/>
    <w:rsid w:val="005460EE"/>
    <w:rsid w:val="00546C83"/>
    <w:rsid w:val="005471D1"/>
    <w:rsid w:val="00547615"/>
    <w:rsid w:val="00551470"/>
    <w:rsid w:val="00551967"/>
    <w:rsid w:val="00551D77"/>
    <w:rsid w:val="005523DA"/>
    <w:rsid w:val="005523F6"/>
    <w:rsid w:val="0055328C"/>
    <w:rsid w:val="00553CA5"/>
    <w:rsid w:val="005541B1"/>
    <w:rsid w:val="005546A8"/>
    <w:rsid w:val="00554B6A"/>
    <w:rsid w:val="00555B9D"/>
    <w:rsid w:val="0055717C"/>
    <w:rsid w:val="00557736"/>
    <w:rsid w:val="00560FC9"/>
    <w:rsid w:val="00562B0D"/>
    <w:rsid w:val="00562ECE"/>
    <w:rsid w:val="005635C9"/>
    <w:rsid w:val="005637AA"/>
    <w:rsid w:val="00563C78"/>
    <w:rsid w:val="00563E54"/>
    <w:rsid w:val="00563F7C"/>
    <w:rsid w:val="00564A53"/>
    <w:rsid w:val="00567A67"/>
    <w:rsid w:val="00570502"/>
    <w:rsid w:val="00570D7C"/>
    <w:rsid w:val="005717AA"/>
    <w:rsid w:val="0057188F"/>
    <w:rsid w:val="00571EF2"/>
    <w:rsid w:val="005727EE"/>
    <w:rsid w:val="00574D7A"/>
    <w:rsid w:val="005756C7"/>
    <w:rsid w:val="00575BE4"/>
    <w:rsid w:val="00575D42"/>
    <w:rsid w:val="005767D6"/>
    <w:rsid w:val="00577645"/>
    <w:rsid w:val="0058190C"/>
    <w:rsid w:val="00582CE5"/>
    <w:rsid w:val="00582EE0"/>
    <w:rsid w:val="00583A56"/>
    <w:rsid w:val="00583B34"/>
    <w:rsid w:val="00584857"/>
    <w:rsid w:val="00585A0D"/>
    <w:rsid w:val="005874D5"/>
    <w:rsid w:val="005878DE"/>
    <w:rsid w:val="00587BDA"/>
    <w:rsid w:val="00587FC1"/>
    <w:rsid w:val="00590162"/>
    <w:rsid w:val="00590E13"/>
    <w:rsid w:val="00592563"/>
    <w:rsid w:val="00592AF1"/>
    <w:rsid w:val="005935EE"/>
    <w:rsid w:val="00594160"/>
    <w:rsid w:val="005941B1"/>
    <w:rsid w:val="0059498A"/>
    <w:rsid w:val="00595AD4"/>
    <w:rsid w:val="005960DE"/>
    <w:rsid w:val="0059709E"/>
    <w:rsid w:val="005A0812"/>
    <w:rsid w:val="005A0AFE"/>
    <w:rsid w:val="005A0BDF"/>
    <w:rsid w:val="005A0D11"/>
    <w:rsid w:val="005A1016"/>
    <w:rsid w:val="005A1530"/>
    <w:rsid w:val="005A3767"/>
    <w:rsid w:val="005A502B"/>
    <w:rsid w:val="005A5953"/>
    <w:rsid w:val="005A603F"/>
    <w:rsid w:val="005A66B2"/>
    <w:rsid w:val="005A7030"/>
    <w:rsid w:val="005A7660"/>
    <w:rsid w:val="005A7AFE"/>
    <w:rsid w:val="005B0AE0"/>
    <w:rsid w:val="005B1E08"/>
    <w:rsid w:val="005B2A91"/>
    <w:rsid w:val="005B2DA5"/>
    <w:rsid w:val="005B2EF6"/>
    <w:rsid w:val="005B3403"/>
    <w:rsid w:val="005B37A7"/>
    <w:rsid w:val="005B43BC"/>
    <w:rsid w:val="005B5A5A"/>
    <w:rsid w:val="005B6FE1"/>
    <w:rsid w:val="005B7D4E"/>
    <w:rsid w:val="005C0643"/>
    <w:rsid w:val="005C1168"/>
    <w:rsid w:val="005C1290"/>
    <w:rsid w:val="005C15B9"/>
    <w:rsid w:val="005C1A7B"/>
    <w:rsid w:val="005C1AE4"/>
    <w:rsid w:val="005C1CC7"/>
    <w:rsid w:val="005C1D03"/>
    <w:rsid w:val="005C1D32"/>
    <w:rsid w:val="005C2816"/>
    <w:rsid w:val="005C3A62"/>
    <w:rsid w:val="005C3CB8"/>
    <w:rsid w:val="005C40B3"/>
    <w:rsid w:val="005C4BC6"/>
    <w:rsid w:val="005C5959"/>
    <w:rsid w:val="005C6250"/>
    <w:rsid w:val="005C6713"/>
    <w:rsid w:val="005C76C0"/>
    <w:rsid w:val="005C7FC1"/>
    <w:rsid w:val="005D0087"/>
    <w:rsid w:val="005D022E"/>
    <w:rsid w:val="005D141E"/>
    <w:rsid w:val="005D14A0"/>
    <w:rsid w:val="005D1C2D"/>
    <w:rsid w:val="005D2196"/>
    <w:rsid w:val="005D29DA"/>
    <w:rsid w:val="005D2D23"/>
    <w:rsid w:val="005D32AA"/>
    <w:rsid w:val="005D3DAB"/>
    <w:rsid w:val="005D3EF2"/>
    <w:rsid w:val="005D4636"/>
    <w:rsid w:val="005D47C9"/>
    <w:rsid w:val="005D62F5"/>
    <w:rsid w:val="005D6669"/>
    <w:rsid w:val="005D6E2B"/>
    <w:rsid w:val="005D7799"/>
    <w:rsid w:val="005E05FB"/>
    <w:rsid w:val="005E0DDA"/>
    <w:rsid w:val="005E0EE9"/>
    <w:rsid w:val="005E10BF"/>
    <w:rsid w:val="005E1759"/>
    <w:rsid w:val="005E18FC"/>
    <w:rsid w:val="005E1A4F"/>
    <w:rsid w:val="005E28FE"/>
    <w:rsid w:val="005E372E"/>
    <w:rsid w:val="005E47AD"/>
    <w:rsid w:val="005E631E"/>
    <w:rsid w:val="005E73CE"/>
    <w:rsid w:val="005F0084"/>
    <w:rsid w:val="005F0BA1"/>
    <w:rsid w:val="005F28BD"/>
    <w:rsid w:val="005F2954"/>
    <w:rsid w:val="005F361F"/>
    <w:rsid w:val="005F3695"/>
    <w:rsid w:val="005F3C0D"/>
    <w:rsid w:val="005F42B5"/>
    <w:rsid w:val="005F43EE"/>
    <w:rsid w:val="005F48B3"/>
    <w:rsid w:val="005F55B3"/>
    <w:rsid w:val="005F5957"/>
    <w:rsid w:val="005F75D2"/>
    <w:rsid w:val="005F7933"/>
    <w:rsid w:val="005F7D98"/>
    <w:rsid w:val="00600199"/>
    <w:rsid w:val="00600E28"/>
    <w:rsid w:val="00601539"/>
    <w:rsid w:val="00601630"/>
    <w:rsid w:val="00601B1B"/>
    <w:rsid w:val="006029FC"/>
    <w:rsid w:val="00603A68"/>
    <w:rsid w:val="0060488A"/>
    <w:rsid w:val="00604A1F"/>
    <w:rsid w:val="0060525A"/>
    <w:rsid w:val="00605A65"/>
    <w:rsid w:val="00605BEE"/>
    <w:rsid w:val="0060689F"/>
    <w:rsid w:val="006073A6"/>
    <w:rsid w:val="0060751E"/>
    <w:rsid w:val="00610061"/>
    <w:rsid w:val="00610273"/>
    <w:rsid w:val="0061027D"/>
    <w:rsid w:val="00611063"/>
    <w:rsid w:val="00611A19"/>
    <w:rsid w:val="00611F4F"/>
    <w:rsid w:val="0061207E"/>
    <w:rsid w:val="00612AE8"/>
    <w:rsid w:val="00612E14"/>
    <w:rsid w:val="00613C8B"/>
    <w:rsid w:val="00614548"/>
    <w:rsid w:val="00615D4E"/>
    <w:rsid w:val="00616999"/>
    <w:rsid w:val="00616EE9"/>
    <w:rsid w:val="006175AE"/>
    <w:rsid w:val="00617C8E"/>
    <w:rsid w:val="00620E71"/>
    <w:rsid w:val="00620F1F"/>
    <w:rsid w:val="00621001"/>
    <w:rsid w:val="00621C17"/>
    <w:rsid w:val="00621E23"/>
    <w:rsid w:val="00622FAA"/>
    <w:rsid w:val="0062383A"/>
    <w:rsid w:val="00624333"/>
    <w:rsid w:val="0062478E"/>
    <w:rsid w:val="00624F6A"/>
    <w:rsid w:val="00625415"/>
    <w:rsid w:val="0062549F"/>
    <w:rsid w:val="00625517"/>
    <w:rsid w:val="00625626"/>
    <w:rsid w:val="00625ADD"/>
    <w:rsid w:val="00625E30"/>
    <w:rsid w:val="006267C2"/>
    <w:rsid w:val="00627AD7"/>
    <w:rsid w:val="00627C9E"/>
    <w:rsid w:val="006313F7"/>
    <w:rsid w:val="00631FCF"/>
    <w:rsid w:val="006323D4"/>
    <w:rsid w:val="00632AAF"/>
    <w:rsid w:val="006331F4"/>
    <w:rsid w:val="0063378D"/>
    <w:rsid w:val="00633BE1"/>
    <w:rsid w:val="00633FD5"/>
    <w:rsid w:val="006344C3"/>
    <w:rsid w:val="006347B3"/>
    <w:rsid w:val="0063506E"/>
    <w:rsid w:val="006353D1"/>
    <w:rsid w:val="00636675"/>
    <w:rsid w:val="00636AE5"/>
    <w:rsid w:val="0063779D"/>
    <w:rsid w:val="00637FFB"/>
    <w:rsid w:val="00640268"/>
    <w:rsid w:val="00640521"/>
    <w:rsid w:val="006405CA"/>
    <w:rsid w:val="006409E9"/>
    <w:rsid w:val="00640A89"/>
    <w:rsid w:val="00641C3E"/>
    <w:rsid w:val="006426F4"/>
    <w:rsid w:val="006429B0"/>
    <w:rsid w:val="00642A96"/>
    <w:rsid w:val="00642B54"/>
    <w:rsid w:val="0064315E"/>
    <w:rsid w:val="00643544"/>
    <w:rsid w:val="00643D5F"/>
    <w:rsid w:val="00643FD9"/>
    <w:rsid w:val="00644309"/>
    <w:rsid w:val="006446AE"/>
    <w:rsid w:val="00644E80"/>
    <w:rsid w:val="00644F28"/>
    <w:rsid w:val="0064517D"/>
    <w:rsid w:val="0064589E"/>
    <w:rsid w:val="00645B74"/>
    <w:rsid w:val="00646A9F"/>
    <w:rsid w:val="006471EA"/>
    <w:rsid w:val="00647849"/>
    <w:rsid w:val="00647A44"/>
    <w:rsid w:val="00650B31"/>
    <w:rsid w:val="00650F89"/>
    <w:rsid w:val="0065116A"/>
    <w:rsid w:val="006514AA"/>
    <w:rsid w:val="00652809"/>
    <w:rsid w:val="00652AF6"/>
    <w:rsid w:val="0065314C"/>
    <w:rsid w:val="006532F9"/>
    <w:rsid w:val="006539D2"/>
    <w:rsid w:val="00653CC1"/>
    <w:rsid w:val="00654DAB"/>
    <w:rsid w:val="00655A12"/>
    <w:rsid w:val="00655AB3"/>
    <w:rsid w:val="0065645A"/>
    <w:rsid w:val="006570D7"/>
    <w:rsid w:val="00657469"/>
    <w:rsid w:val="00657777"/>
    <w:rsid w:val="00660076"/>
    <w:rsid w:val="006603E6"/>
    <w:rsid w:val="00661652"/>
    <w:rsid w:val="006622D5"/>
    <w:rsid w:val="00662BFB"/>
    <w:rsid w:val="00662D52"/>
    <w:rsid w:val="00663289"/>
    <w:rsid w:val="0066631A"/>
    <w:rsid w:val="006666BF"/>
    <w:rsid w:val="00666857"/>
    <w:rsid w:val="006672CF"/>
    <w:rsid w:val="00667469"/>
    <w:rsid w:val="006717D8"/>
    <w:rsid w:val="0067322C"/>
    <w:rsid w:val="006739A2"/>
    <w:rsid w:val="00673DE9"/>
    <w:rsid w:val="0067587F"/>
    <w:rsid w:val="00675976"/>
    <w:rsid w:val="00675AA7"/>
    <w:rsid w:val="00676829"/>
    <w:rsid w:val="00676860"/>
    <w:rsid w:val="00676B91"/>
    <w:rsid w:val="0067713E"/>
    <w:rsid w:val="00680BA1"/>
    <w:rsid w:val="00680FE9"/>
    <w:rsid w:val="006814CD"/>
    <w:rsid w:val="00681564"/>
    <w:rsid w:val="00681DDF"/>
    <w:rsid w:val="00684F4E"/>
    <w:rsid w:val="006864AB"/>
    <w:rsid w:val="00686AD2"/>
    <w:rsid w:val="00686C55"/>
    <w:rsid w:val="00687A16"/>
    <w:rsid w:val="00687E80"/>
    <w:rsid w:val="00687ED7"/>
    <w:rsid w:val="00690057"/>
    <w:rsid w:val="00690281"/>
    <w:rsid w:val="0069327F"/>
    <w:rsid w:val="0069620A"/>
    <w:rsid w:val="006964C2"/>
    <w:rsid w:val="00696EA7"/>
    <w:rsid w:val="00697056"/>
    <w:rsid w:val="006970FE"/>
    <w:rsid w:val="006A012F"/>
    <w:rsid w:val="006A017C"/>
    <w:rsid w:val="006A09C6"/>
    <w:rsid w:val="006A124D"/>
    <w:rsid w:val="006A14CD"/>
    <w:rsid w:val="006A222D"/>
    <w:rsid w:val="006A3FC6"/>
    <w:rsid w:val="006A4074"/>
    <w:rsid w:val="006A5763"/>
    <w:rsid w:val="006A60E0"/>
    <w:rsid w:val="006A61D2"/>
    <w:rsid w:val="006A6226"/>
    <w:rsid w:val="006A68D6"/>
    <w:rsid w:val="006A76AF"/>
    <w:rsid w:val="006B00A7"/>
    <w:rsid w:val="006B0307"/>
    <w:rsid w:val="006B05AE"/>
    <w:rsid w:val="006B1852"/>
    <w:rsid w:val="006B1FEF"/>
    <w:rsid w:val="006B2780"/>
    <w:rsid w:val="006B303D"/>
    <w:rsid w:val="006B394B"/>
    <w:rsid w:val="006B3B68"/>
    <w:rsid w:val="006B3D58"/>
    <w:rsid w:val="006B4696"/>
    <w:rsid w:val="006B4C63"/>
    <w:rsid w:val="006B4F54"/>
    <w:rsid w:val="006B51AA"/>
    <w:rsid w:val="006B59B2"/>
    <w:rsid w:val="006B7872"/>
    <w:rsid w:val="006B7C6F"/>
    <w:rsid w:val="006B7F02"/>
    <w:rsid w:val="006C0230"/>
    <w:rsid w:val="006C0612"/>
    <w:rsid w:val="006C0A8D"/>
    <w:rsid w:val="006C1EA8"/>
    <w:rsid w:val="006C2281"/>
    <w:rsid w:val="006C2839"/>
    <w:rsid w:val="006C28AC"/>
    <w:rsid w:val="006C2F6F"/>
    <w:rsid w:val="006C4826"/>
    <w:rsid w:val="006C4CBD"/>
    <w:rsid w:val="006C5501"/>
    <w:rsid w:val="006C66C9"/>
    <w:rsid w:val="006C6D3A"/>
    <w:rsid w:val="006C6D71"/>
    <w:rsid w:val="006C7241"/>
    <w:rsid w:val="006C771F"/>
    <w:rsid w:val="006D0C6A"/>
    <w:rsid w:val="006D1DC4"/>
    <w:rsid w:val="006D354A"/>
    <w:rsid w:val="006D3759"/>
    <w:rsid w:val="006D3E0B"/>
    <w:rsid w:val="006D3F20"/>
    <w:rsid w:val="006D4845"/>
    <w:rsid w:val="006D5320"/>
    <w:rsid w:val="006D58EC"/>
    <w:rsid w:val="006D63DC"/>
    <w:rsid w:val="006D6568"/>
    <w:rsid w:val="006D6677"/>
    <w:rsid w:val="006D6AE8"/>
    <w:rsid w:val="006D6FE6"/>
    <w:rsid w:val="006E011E"/>
    <w:rsid w:val="006E05DF"/>
    <w:rsid w:val="006E08AF"/>
    <w:rsid w:val="006E0F9D"/>
    <w:rsid w:val="006E14C4"/>
    <w:rsid w:val="006E1A70"/>
    <w:rsid w:val="006E2390"/>
    <w:rsid w:val="006E29EF"/>
    <w:rsid w:val="006E2E90"/>
    <w:rsid w:val="006E3255"/>
    <w:rsid w:val="006E4521"/>
    <w:rsid w:val="006E4873"/>
    <w:rsid w:val="006E6269"/>
    <w:rsid w:val="006E6988"/>
    <w:rsid w:val="006E6D32"/>
    <w:rsid w:val="006E706C"/>
    <w:rsid w:val="006F1604"/>
    <w:rsid w:val="006F2001"/>
    <w:rsid w:val="006F2919"/>
    <w:rsid w:val="006F31DB"/>
    <w:rsid w:val="006F36F7"/>
    <w:rsid w:val="006F3DD4"/>
    <w:rsid w:val="006F5083"/>
    <w:rsid w:val="006F571A"/>
    <w:rsid w:val="006F5DEE"/>
    <w:rsid w:val="006F5F55"/>
    <w:rsid w:val="006F71E8"/>
    <w:rsid w:val="006F74B7"/>
    <w:rsid w:val="006F7B98"/>
    <w:rsid w:val="006F7DE9"/>
    <w:rsid w:val="006F7EC6"/>
    <w:rsid w:val="00700B41"/>
    <w:rsid w:val="00700BDB"/>
    <w:rsid w:val="007016F9"/>
    <w:rsid w:val="00701E5D"/>
    <w:rsid w:val="00702605"/>
    <w:rsid w:val="00702D8A"/>
    <w:rsid w:val="00702F3A"/>
    <w:rsid w:val="00703C63"/>
    <w:rsid w:val="007059AB"/>
    <w:rsid w:val="00706F4F"/>
    <w:rsid w:val="00706FFE"/>
    <w:rsid w:val="00707718"/>
    <w:rsid w:val="00707AFF"/>
    <w:rsid w:val="0071137E"/>
    <w:rsid w:val="00711E96"/>
    <w:rsid w:val="00712089"/>
    <w:rsid w:val="00712BAF"/>
    <w:rsid w:val="00712DE0"/>
    <w:rsid w:val="00713F7D"/>
    <w:rsid w:val="00720946"/>
    <w:rsid w:val="00720950"/>
    <w:rsid w:val="00720DA6"/>
    <w:rsid w:val="00720ED7"/>
    <w:rsid w:val="0072267C"/>
    <w:rsid w:val="00722906"/>
    <w:rsid w:val="00722FAB"/>
    <w:rsid w:val="007230B4"/>
    <w:rsid w:val="00723611"/>
    <w:rsid w:val="00723956"/>
    <w:rsid w:val="00723B86"/>
    <w:rsid w:val="00725B80"/>
    <w:rsid w:val="00725E39"/>
    <w:rsid w:val="0072614E"/>
    <w:rsid w:val="007261B3"/>
    <w:rsid w:val="00726742"/>
    <w:rsid w:val="007274A7"/>
    <w:rsid w:val="0072757E"/>
    <w:rsid w:val="00727AE9"/>
    <w:rsid w:val="0073074C"/>
    <w:rsid w:val="007310FF"/>
    <w:rsid w:val="007323BE"/>
    <w:rsid w:val="00732F4E"/>
    <w:rsid w:val="007336E9"/>
    <w:rsid w:val="0073415A"/>
    <w:rsid w:val="00734D6A"/>
    <w:rsid w:val="00735B3D"/>
    <w:rsid w:val="00736222"/>
    <w:rsid w:val="00736429"/>
    <w:rsid w:val="0073672A"/>
    <w:rsid w:val="00736BF1"/>
    <w:rsid w:val="007373F2"/>
    <w:rsid w:val="00737B2A"/>
    <w:rsid w:val="00740427"/>
    <w:rsid w:val="00740574"/>
    <w:rsid w:val="00740716"/>
    <w:rsid w:val="00740998"/>
    <w:rsid w:val="0074206A"/>
    <w:rsid w:val="00742439"/>
    <w:rsid w:val="0074550D"/>
    <w:rsid w:val="007455E1"/>
    <w:rsid w:val="00745D1C"/>
    <w:rsid w:val="00746682"/>
    <w:rsid w:val="00747852"/>
    <w:rsid w:val="00747DBC"/>
    <w:rsid w:val="00750668"/>
    <w:rsid w:val="00750842"/>
    <w:rsid w:val="0075089A"/>
    <w:rsid w:val="00750A6A"/>
    <w:rsid w:val="00750D2F"/>
    <w:rsid w:val="00751862"/>
    <w:rsid w:val="00751B3B"/>
    <w:rsid w:val="0075302B"/>
    <w:rsid w:val="007530E5"/>
    <w:rsid w:val="007535E5"/>
    <w:rsid w:val="00753CD3"/>
    <w:rsid w:val="0075472A"/>
    <w:rsid w:val="0075563E"/>
    <w:rsid w:val="00755E19"/>
    <w:rsid w:val="00756267"/>
    <w:rsid w:val="007570D0"/>
    <w:rsid w:val="0076093B"/>
    <w:rsid w:val="007621CB"/>
    <w:rsid w:val="00762876"/>
    <w:rsid w:val="00762DF4"/>
    <w:rsid w:val="007634FC"/>
    <w:rsid w:val="00763CBB"/>
    <w:rsid w:val="00764401"/>
    <w:rsid w:val="0076449D"/>
    <w:rsid w:val="00765073"/>
    <w:rsid w:val="007650DE"/>
    <w:rsid w:val="00765867"/>
    <w:rsid w:val="007665CF"/>
    <w:rsid w:val="007666AA"/>
    <w:rsid w:val="00766CC3"/>
    <w:rsid w:val="00766F7E"/>
    <w:rsid w:val="00767BEC"/>
    <w:rsid w:val="007717F0"/>
    <w:rsid w:val="00771860"/>
    <w:rsid w:val="007718CD"/>
    <w:rsid w:val="00771C48"/>
    <w:rsid w:val="007721FA"/>
    <w:rsid w:val="0077249A"/>
    <w:rsid w:val="00773E42"/>
    <w:rsid w:val="00774E9E"/>
    <w:rsid w:val="00775293"/>
    <w:rsid w:val="00775CB4"/>
    <w:rsid w:val="00776830"/>
    <w:rsid w:val="00776FF6"/>
    <w:rsid w:val="0077705D"/>
    <w:rsid w:val="007810D8"/>
    <w:rsid w:val="007815D9"/>
    <w:rsid w:val="00781726"/>
    <w:rsid w:val="00781AD3"/>
    <w:rsid w:val="00781BA3"/>
    <w:rsid w:val="00782260"/>
    <w:rsid w:val="00782415"/>
    <w:rsid w:val="0078254E"/>
    <w:rsid w:val="007828D7"/>
    <w:rsid w:val="00783059"/>
    <w:rsid w:val="007830C6"/>
    <w:rsid w:val="0078391F"/>
    <w:rsid w:val="00783B34"/>
    <w:rsid w:val="007843A8"/>
    <w:rsid w:val="0078484E"/>
    <w:rsid w:val="00784E89"/>
    <w:rsid w:val="00784F38"/>
    <w:rsid w:val="00784FCC"/>
    <w:rsid w:val="007869EC"/>
    <w:rsid w:val="00786D4F"/>
    <w:rsid w:val="00787695"/>
    <w:rsid w:val="007878BF"/>
    <w:rsid w:val="007907D5"/>
    <w:rsid w:val="00790E43"/>
    <w:rsid w:val="007914CA"/>
    <w:rsid w:val="00791A11"/>
    <w:rsid w:val="00791DE8"/>
    <w:rsid w:val="0079220D"/>
    <w:rsid w:val="00792773"/>
    <w:rsid w:val="00792A7B"/>
    <w:rsid w:val="00792E0D"/>
    <w:rsid w:val="0079397B"/>
    <w:rsid w:val="00793E62"/>
    <w:rsid w:val="00794038"/>
    <w:rsid w:val="00794B20"/>
    <w:rsid w:val="0079537F"/>
    <w:rsid w:val="00795FFE"/>
    <w:rsid w:val="0079678D"/>
    <w:rsid w:val="00796A7B"/>
    <w:rsid w:val="007976A1"/>
    <w:rsid w:val="007977DD"/>
    <w:rsid w:val="00797C6F"/>
    <w:rsid w:val="00797D33"/>
    <w:rsid w:val="007A00D0"/>
    <w:rsid w:val="007A043B"/>
    <w:rsid w:val="007A09A3"/>
    <w:rsid w:val="007A0BCB"/>
    <w:rsid w:val="007A169F"/>
    <w:rsid w:val="007A1919"/>
    <w:rsid w:val="007A1EA1"/>
    <w:rsid w:val="007A1ED9"/>
    <w:rsid w:val="007A23A9"/>
    <w:rsid w:val="007A39C6"/>
    <w:rsid w:val="007A433F"/>
    <w:rsid w:val="007A4A9F"/>
    <w:rsid w:val="007A501C"/>
    <w:rsid w:val="007A5650"/>
    <w:rsid w:val="007A5E71"/>
    <w:rsid w:val="007A67A4"/>
    <w:rsid w:val="007A706E"/>
    <w:rsid w:val="007B11AB"/>
    <w:rsid w:val="007B1B3D"/>
    <w:rsid w:val="007B2062"/>
    <w:rsid w:val="007B3F54"/>
    <w:rsid w:val="007B46FF"/>
    <w:rsid w:val="007B4B7D"/>
    <w:rsid w:val="007B4D7D"/>
    <w:rsid w:val="007B53C9"/>
    <w:rsid w:val="007B5536"/>
    <w:rsid w:val="007B69DD"/>
    <w:rsid w:val="007B6E1B"/>
    <w:rsid w:val="007B7B1C"/>
    <w:rsid w:val="007C01CF"/>
    <w:rsid w:val="007C1360"/>
    <w:rsid w:val="007C1793"/>
    <w:rsid w:val="007C18B5"/>
    <w:rsid w:val="007C1A7C"/>
    <w:rsid w:val="007C1BF9"/>
    <w:rsid w:val="007C1F68"/>
    <w:rsid w:val="007C2BAB"/>
    <w:rsid w:val="007C2D38"/>
    <w:rsid w:val="007C314E"/>
    <w:rsid w:val="007C336F"/>
    <w:rsid w:val="007C3409"/>
    <w:rsid w:val="007C34CE"/>
    <w:rsid w:val="007C3FC5"/>
    <w:rsid w:val="007C4614"/>
    <w:rsid w:val="007C59DC"/>
    <w:rsid w:val="007C5C7E"/>
    <w:rsid w:val="007C5D25"/>
    <w:rsid w:val="007C6CAC"/>
    <w:rsid w:val="007C737D"/>
    <w:rsid w:val="007C73C2"/>
    <w:rsid w:val="007C73D3"/>
    <w:rsid w:val="007C74AC"/>
    <w:rsid w:val="007D1AEE"/>
    <w:rsid w:val="007D2370"/>
    <w:rsid w:val="007D32AD"/>
    <w:rsid w:val="007D3761"/>
    <w:rsid w:val="007D49B2"/>
    <w:rsid w:val="007D5640"/>
    <w:rsid w:val="007D5E03"/>
    <w:rsid w:val="007D60C6"/>
    <w:rsid w:val="007D63A6"/>
    <w:rsid w:val="007D6B01"/>
    <w:rsid w:val="007D6C96"/>
    <w:rsid w:val="007E0465"/>
    <w:rsid w:val="007E0C9E"/>
    <w:rsid w:val="007E1498"/>
    <w:rsid w:val="007E1F93"/>
    <w:rsid w:val="007E2C3B"/>
    <w:rsid w:val="007E309C"/>
    <w:rsid w:val="007E3ACE"/>
    <w:rsid w:val="007E416E"/>
    <w:rsid w:val="007E42E2"/>
    <w:rsid w:val="007E5535"/>
    <w:rsid w:val="007E6025"/>
    <w:rsid w:val="007E65A5"/>
    <w:rsid w:val="007E7104"/>
    <w:rsid w:val="007F03DB"/>
    <w:rsid w:val="007F0A25"/>
    <w:rsid w:val="007F0C17"/>
    <w:rsid w:val="007F0D26"/>
    <w:rsid w:val="007F1B92"/>
    <w:rsid w:val="007F1DD4"/>
    <w:rsid w:val="007F25FF"/>
    <w:rsid w:val="007F32DF"/>
    <w:rsid w:val="007F3659"/>
    <w:rsid w:val="007F4402"/>
    <w:rsid w:val="007F443F"/>
    <w:rsid w:val="007F44D0"/>
    <w:rsid w:val="007F46F7"/>
    <w:rsid w:val="007F47F3"/>
    <w:rsid w:val="007F555B"/>
    <w:rsid w:val="007F5587"/>
    <w:rsid w:val="007F5F98"/>
    <w:rsid w:val="007F7B55"/>
    <w:rsid w:val="007F7BB7"/>
    <w:rsid w:val="007F7CAA"/>
    <w:rsid w:val="007F7D14"/>
    <w:rsid w:val="0080129D"/>
    <w:rsid w:val="008017C5"/>
    <w:rsid w:val="0080188F"/>
    <w:rsid w:val="00801950"/>
    <w:rsid w:val="00802476"/>
    <w:rsid w:val="0080275D"/>
    <w:rsid w:val="00802AA5"/>
    <w:rsid w:val="00802F07"/>
    <w:rsid w:val="00803501"/>
    <w:rsid w:val="00803657"/>
    <w:rsid w:val="008047A2"/>
    <w:rsid w:val="0080490C"/>
    <w:rsid w:val="008054D9"/>
    <w:rsid w:val="008054DE"/>
    <w:rsid w:val="00805E6E"/>
    <w:rsid w:val="0080681E"/>
    <w:rsid w:val="00806DCD"/>
    <w:rsid w:val="00806EDA"/>
    <w:rsid w:val="0080736B"/>
    <w:rsid w:val="00807818"/>
    <w:rsid w:val="008078E7"/>
    <w:rsid w:val="00807BFD"/>
    <w:rsid w:val="00807F89"/>
    <w:rsid w:val="0081032F"/>
    <w:rsid w:val="00811C4A"/>
    <w:rsid w:val="00812304"/>
    <w:rsid w:val="00813F0D"/>
    <w:rsid w:val="00813F80"/>
    <w:rsid w:val="0081405C"/>
    <w:rsid w:val="008148C0"/>
    <w:rsid w:val="00814D71"/>
    <w:rsid w:val="008154A1"/>
    <w:rsid w:val="00815AA4"/>
    <w:rsid w:val="00816F2E"/>
    <w:rsid w:val="00817B9E"/>
    <w:rsid w:val="00817E5E"/>
    <w:rsid w:val="0082013B"/>
    <w:rsid w:val="0082050E"/>
    <w:rsid w:val="00820D5F"/>
    <w:rsid w:val="008215EA"/>
    <w:rsid w:val="00821CAE"/>
    <w:rsid w:val="00821D28"/>
    <w:rsid w:val="008222B5"/>
    <w:rsid w:val="0082319A"/>
    <w:rsid w:val="008245B2"/>
    <w:rsid w:val="008251DA"/>
    <w:rsid w:val="00827051"/>
    <w:rsid w:val="00830048"/>
    <w:rsid w:val="00831097"/>
    <w:rsid w:val="00831283"/>
    <w:rsid w:val="008315B6"/>
    <w:rsid w:val="00831D9D"/>
    <w:rsid w:val="0083344D"/>
    <w:rsid w:val="0083352C"/>
    <w:rsid w:val="00833670"/>
    <w:rsid w:val="00834167"/>
    <w:rsid w:val="00834AA9"/>
    <w:rsid w:val="00835117"/>
    <w:rsid w:val="00836B87"/>
    <w:rsid w:val="0083772A"/>
    <w:rsid w:val="008379C8"/>
    <w:rsid w:val="008379D0"/>
    <w:rsid w:val="00840765"/>
    <w:rsid w:val="00840B76"/>
    <w:rsid w:val="00841792"/>
    <w:rsid w:val="00841840"/>
    <w:rsid w:val="00841ED3"/>
    <w:rsid w:val="0084263F"/>
    <w:rsid w:val="00843216"/>
    <w:rsid w:val="008443CA"/>
    <w:rsid w:val="008444C6"/>
    <w:rsid w:val="00844E5A"/>
    <w:rsid w:val="00845631"/>
    <w:rsid w:val="008459C8"/>
    <w:rsid w:val="00846166"/>
    <w:rsid w:val="00846BA3"/>
    <w:rsid w:val="008471E9"/>
    <w:rsid w:val="0085068D"/>
    <w:rsid w:val="00851255"/>
    <w:rsid w:val="00851476"/>
    <w:rsid w:val="00851A5E"/>
    <w:rsid w:val="008525C8"/>
    <w:rsid w:val="00852853"/>
    <w:rsid w:val="00852FBC"/>
    <w:rsid w:val="00853267"/>
    <w:rsid w:val="008532E2"/>
    <w:rsid w:val="00853808"/>
    <w:rsid w:val="00853946"/>
    <w:rsid w:val="00853BD7"/>
    <w:rsid w:val="00854244"/>
    <w:rsid w:val="00855275"/>
    <w:rsid w:val="008552C2"/>
    <w:rsid w:val="008553F5"/>
    <w:rsid w:val="008557E7"/>
    <w:rsid w:val="008559FE"/>
    <w:rsid w:val="00855D14"/>
    <w:rsid w:val="00856667"/>
    <w:rsid w:val="0086113C"/>
    <w:rsid w:val="0086122F"/>
    <w:rsid w:val="00861498"/>
    <w:rsid w:val="00861671"/>
    <w:rsid w:val="00861EE9"/>
    <w:rsid w:val="0086243D"/>
    <w:rsid w:val="00862A38"/>
    <w:rsid w:val="008633A9"/>
    <w:rsid w:val="00863DED"/>
    <w:rsid w:val="00864267"/>
    <w:rsid w:val="00864288"/>
    <w:rsid w:val="00864396"/>
    <w:rsid w:val="00864619"/>
    <w:rsid w:val="00864828"/>
    <w:rsid w:val="00864CA1"/>
    <w:rsid w:val="00865188"/>
    <w:rsid w:val="0086550C"/>
    <w:rsid w:val="008656EB"/>
    <w:rsid w:val="00865B4A"/>
    <w:rsid w:val="00865DC9"/>
    <w:rsid w:val="00865F73"/>
    <w:rsid w:val="00866A74"/>
    <w:rsid w:val="0086725B"/>
    <w:rsid w:val="00867477"/>
    <w:rsid w:val="00867624"/>
    <w:rsid w:val="00870EE6"/>
    <w:rsid w:val="00870F20"/>
    <w:rsid w:val="0087171B"/>
    <w:rsid w:val="0087296F"/>
    <w:rsid w:val="00872975"/>
    <w:rsid w:val="008744F2"/>
    <w:rsid w:val="00874C20"/>
    <w:rsid w:val="008750C7"/>
    <w:rsid w:val="008759EE"/>
    <w:rsid w:val="00875ACA"/>
    <w:rsid w:val="008760D2"/>
    <w:rsid w:val="0087668D"/>
    <w:rsid w:val="00876C11"/>
    <w:rsid w:val="0087722A"/>
    <w:rsid w:val="0087762A"/>
    <w:rsid w:val="00880E88"/>
    <w:rsid w:val="00881BEA"/>
    <w:rsid w:val="0088345A"/>
    <w:rsid w:val="008836CF"/>
    <w:rsid w:val="00884480"/>
    <w:rsid w:val="00884C12"/>
    <w:rsid w:val="008851FB"/>
    <w:rsid w:val="0088797B"/>
    <w:rsid w:val="00891E06"/>
    <w:rsid w:val="0089218A"/>
    <w:rsid w:val="008925C4"/>
    <w:rsid w:val="0089277E"/>
    <w:rsid w:val="00893CAB"/>
    <w:rsid w:val="00893E09"/>
    <w:rsid w:val="00894890"/>
    <w:rsid w:val="008951D5"/>
    <w:rsid w:val="00896E4F"/>
    <w:rsid w:val="00896FF5"/>
    <w:rsid w:val="0089737C"/>
    <w:rsid w:val="008A25D3"/>
    <w:rsid w:val="008A33F0"/>
    <w:rsid w:val="008A56C5"/>
    <w:rsid w:val="008A5D4E"/>
    <w:rsid w:val="008A645B"/>
    <w:rsid w:val="008A68AE"/>
    <w:rsid w:val="008A750C"/>
    <w:rsid w:val="008B019D"/>
    <w:rsid w:val="008B0A95"/>
    <w:rsid w:val="008B2236"/>
    <w:rsid w:val="008B4A83"/>
    <w:rsid w:val="008B502B"/>
    <w:rsid w:val="008B5220"/>
    <w:rsid w:val="008C023A"/>
    <w:rsid w:val="008C03AE"/>
    <w:rsid w:val="008C1263"/>
    <w:rsid w:val="008C138B"/>
    <w:rsid w:val="008C1E55"/>
    <w:rsid w:val="008C3B5F"/>
    <w:rsid w:val="008C443B"/>
    <w:rsid w:val="008C45C5"/>
    <w:rsid w:val="008C47C6"/>
    <w:rsid w:val="008C5ACF"/>
    <w:rsid w:val="008C6254"/>
    <w:rsid w:val="008C6D09"/>
    <w:rsid w:val="008C6EE8"/>
    <w:rsid w:val="008C7999"/>
    <w:rsid w:val="008C7B03"/>
    <w:rsid w:val="008D02BD"/>
    <w:rsid w:val="008D0C41"/>
    <w:rsid w:val="008D0E78"/>
    <w:rsid w:val="008D22CE"/>
    <w:rsid w:val="008D251A"/>
    <w:rsid w:val="008D2A9F"/>
    <w:rsid w:val="008D30C8"/>
    <w:rsid w:val="008D4B1C"/>
    <w:rsid w:val="008D4E0A"/>
    <w:rsid w:val="008D5489"/>
    <w:rsid w:val="008D54B7"/>
    <w:rsid w:val="008D630F"/>
    <w:rsid w:val="008D6AE5"/>
    <w:rsid w:val="008D7915"/>
    <w:rsid w:val="008D799B"/>
    <w:rsid w:val="008D7A4E"/>
    <w:rsid w:val="008D7BAE"/>
    <w:rsid w:val="008E149F"/>
    <w:rsid w:val="008E1839"/>
    <w:rsid w:val="008E1F90"/>
    <w:rsid w:val="008E53D4"/>
    <w:rsid w:val="008E5C94"/>
    <w:rsid w:val="008E6F41"/>
    <w:rsid w:val="008E7644"/>
    <w:rsid w:val="008F0E56"/>
    <w:rsid w:val="008F155F"/>
    <w:rsid w:val="008F15D6"/>
    <w:rsid w:val="008F1E87"/>
    <w:rsid w:val="008F1EB3"/>
    <w:rsid w:val="008F2678"/>
    <w:rsid w:val="008F2AB4"/>
    <w:rsid w:val="008F3924"/>
    <w:rsid w:val="008F40D4"/>
    <w:rsid w:val="008F4433"/>
    <w:rsid w:val="008F51D0"/>
    <w:rsid w:val="008F633F"/>
    <w:rsid w:val="008F7275"/>
    <w:rsid w:val="008F7F7C"/>
    <w:rsid w:val="0090013C"/>
    <w:rsid w:val="00900599"/>
    <w:rsid w:val="0090096C"/>
    <w:rsid w:val="00901566"/>
    <w:rsid w:val="009016F4"/>
    <w:rsid w:val="0090287C"/>
    <w:rsid w:val="00903094"/>
    <w:rsid w:val="009032BC"/>
    <w:rsid w:val="00903498"/>
    <w:rsid w:val="00903AF5"/>
    <w:rsid w:val="00904239"/>
    <w:rsid w:val="009044D1"/>
    <w:rsid w:val="00904C4B"/>
    <w:rsid w:val="00904C66"/>
    <w:rsid w:val="00904D17"/>
    <w:rsid w:val="00904F25"/>
    <w:rsid w:val="00907475"/>
    <w:rsid w:val="00907EEE"/>
    <w:rsid w:val="00911095"/>
    <w:rsid w:val="009110ED"/>
    <w:rsid w:val="009111CF"/>
    <w:rsid w:val="0091136B"/>
    <w:rsid w:val="00911B4D"/>
    <w:rsid w:val="0091224D"/>
    <w:rsid w:val="009125B1"/>
    <w:rsid w:val="00912BE2"/>
    <w:rsid w:val="00913240"/>
    <w:rsid w:val="00913BC6"/>
    <w:rsid w:val="009145B4"/>
    <w:rsid w:val="0091509B"/>
    <w:rsid w:val="00915380"/>
    <w:rsid w:val="00915E72"/>
    <w:rsid w:val="0091673D"/>
    <w:rsid w:val="009167DE"/>
    <w:rsid w:val="009176F5"/>
    <w:rsid w:val="0091795F"/>
    <w:rsid w:val="00917977"/>
    <w:rsid w:val="00920687"/>
    <w:rsid w:val="00920B43"/>
    <w:rsid w:val="0092168E"/>
    <w:rsid w:val="0092263B"/>
    <w:rsid w:val="00923142"/>
    <w:rsid w:val="00923968"/>
    <w:rsid w:val="00923D76"/>
    <w:rsid w:val="0092414F"/>
    <w:rsid w:val="009242B3"/>
    <w:rsid w:val="00924BF1"/>
    <w:rsid w:val="00924CC2"/>
    <w:rsid w:val="009254D5"/>
    <w:rsid w:val="0092612D"/>
    <w:rsid w:val="009265F5"/>
    <w:rsid w:val="00927758"/>
    <w:rsid w:val="00927D10"/>
    <w:rsid w:val="00927F08"/>
    <w:rsid w:val="009305D8"/>
    <w:rsid w:val="0093099F"/>
    <w:rsid w:val="009309F0"/>
    <w:rsid w:val="009311F2"/>
    <w:rsid w:val="009317C4"/>
    <w:rsid w:val="00931A6C"/>
    <w:rsid w:val="009325DC"/>
    <w:rsid w:val="00932866"/>
    <w:rsid w:val="00933132"/>
    <w:rsid w:val="009345F9"/>
    <w:rsid w:val="00934A1F"/>
    <w:rsid w:val="00934CF8"/>
    <w:rsid w:val="00934FEC"/>
    <w:rsid w:val="00935A70"/>
    <w:rsid w:val="00935E56"/>
    <w:rsid w:val="00935FE0"/>
    <w:rsid w:val="00936487"/>
    <w:rsid w:val="009365D8"/>
    <w:rsid w:val="00936DAE"/>
    <w:rsid w:val="009379B8"/>
    <w:rsid w:val="00940537"/>
    <w:rsid w:val="00940DDB"/>
    <w:rsid w:val="00941825"/>
    <w:rsid w:val="00942CCF"/>
    <w:rsid w:val="009438E3"/>
    <w:rsid w:val="00943F65"/>
    <w:rsid w:val="009459C7"/>
    <w:rsid w:val="00946106"/>
    <w:rsid w:val="00947488"/>
    <w:rsid w:val="00947C06"/>
    <w:rsid w:val="00950ED5"/>
    <w:rsid w:val="00951281"/>
    <w:rsid w:val="00951835"/>
    <w:rsid w:val="009519E4"/>
    <w:rsid w:val="00951C4F"/>
    <w:rsid w:val="00951C69"/>
    <w:rsid w:val="009521CC"/>
    <w:rsid w:val="00952DE1"/>
    <w:rsid w:val="00952E81"/>
    <w:rsid w:val="00953738"/>
    <w:rsid w:val="00954F06"/>
    <w:rsid w:val="009551A7"/>
    <w:rsid w:val="009560DD"/>
    <w:rsid w:val="00956F62"/>
    <w:rsid w:val="00957083"/>
    <w:rsid w:val="00957460"/>
    <w:rsid w:val="009577A7"/>
    <w:rsid w:val="00957843"/>
    <w:rsid w:val="00957A0B"/>
    <w:rsid w:val="00960188"/>
    <w:rsid w:val="00960E9B"/>
    <w:rsid w:val="009615AD"/>
    <w:rsid w:val="00962218"/>
    <w:rsid w:val="00962375"/>
    <w:rsid w:val="0096266B"/>
    <w:rsid w:val="009633EC"/>
    <w:rsid w:val="0096410F"/>
    <w:rsid w:val="009642A9"/>
    <w:rsid w:val="00964301"/>
    <w:rsid w:val="00964501"/>
    <w:rsid w:val="00964DE8"/>
    <w:rsid w:val="00965C03"/>
    <w:rsid w:val="00966634"/>
    <w:rsid w:val="00966C57"/>
    <w:rsid w:val="00967466"/>
    <w:rsid w:val="009679A1"/>
    <w:rsid w:val="00967ABA"/>
    <w:rsid w:val="00967D9D"/>
    <w:rsid w:val="00967E9A"/>
    <w:rsid w:val="00970241"/>
    <w:rsid w:val="00970FF4"/>
    <w:rsid w:val="009723B8"/>
    <w:rsid w:val="00973ADF"/>
    <w:rsid w:val="00973D22"/>
    <w:rsid w:val="0097413F"/>
    <w:rsid w:val="00976B26"/>
    <w:rsid w:val="00977BA8"/>
    <w:rsid w:val="00977CAE"/>
    <w:rsid w:val="009800B8"/>
    <w:rsid w:val="00980100"/>
    <w:rsid w:val="00980147"/>
    <w:rsid w:val="009802A7"/>
    <w:rsid w:val="00981910"/>
    <w:rsid w:val="00981E92"/>
    <w:rsid w:val="0098222C"/>
    <w:rsid w:val="00982DA2"/>
    <w:rsid w:val="0098320A"/>
    <w:rsid w:val="0098338B"/>
    <w:rsid w:val="009834E8"/>
    <w:rsid w:val="00983B6E"/>
    <w:rsid w:val="00984285"/>
    <w:rsid w:val="0098567A"/>
    <w:rsid w:val="00985D9D"/>
    <w:rsid w:val="00985FE4"/>
    <w:rsid w:val="00987E8A"/>
    <w:rsid w:val="009900DF"/>
    <w:rsid w:val="009903E3"/>
    <w:rsid w:val="00990C19"/>
    <w:rsid w:val="00990F71"/>
    <w:rsid w:val="0099144E"/>
    <w:rsid w:val="009923D6"/>
    <w:rsid w:val="009924EE"/>
    <w:rsid w:val="009927D5"/>
    <w:rsid w:val="00992D34"/>
    <w:rsid w:val="00992EC0"/>
    <w:rsid w:val="009930D3"/>
    <w:rsid w:val="009930F2"/>
    <w:rsid w:val="0099335A"/>
    <w:rsid w:val="009935DD"/>
    <w:rsid w:val="009942A6"/>
    <w:rsid w:val="00994592"/>
    <w:rsid w:val="00994920"/>
    <w:rsid w:val="00994A5B"/>
    <w:rsid w:val="00994FB4"/>
    <w:rsid w:val="009953EE"/>
    <w:rsid w:val="00995A4E"/>
    <w:rsid w:val="0099613D"/>
    <w:rsid w:val="0099725F"/>
    <w:rsid w:val="009975E9"/>
    <w:rsid w:val="009977F6"/>
    <w:rsid w:val="009979ED"/>
    <w:rsid w:val="009A07B7"/>
    <w:rsid w:val="009A08C6"/>
    <w:rsid w:val="009A0DD5"/>
    <w:rsid w:val="009A1D66"/>
    <w:rsid w:val="009A270A"/>
    <w:rsid w:val="009A2B94"/>
    <w:rsid w:val="009A2BCE"/>
    <w:rsid w:val="009A35F9"/>
    <w:rsid w:val="009A3C7C"/>
    <w:rsid w:val="009A4561"/>
    <w:rsid w:val="009A4944"/>
    <w:rsid w:val="009A7364"/>
    <w:rsid w:val="009B0C0B"/>
    <w:rsid w:val="009B2DB2"/>
    <w:rsid w:val="009B3175"/>
    <w:rsid w:val="009B4293"/>
    <w:rsid w:val="009B4B68"/>
    <w:rsid w:val="009B5CC1"/>
    <w:rsid w:val="009B7909"/>
    <w:rsid w:val="009C344B"/>
    <w:rsid w:val="009C3926"/>
    <w:rsid w:val="009C42CD"/>
    <w:rsid w:val="009C437A"/>
    <w:rsid w:val="009C45F9"/>
    <w:rsid w:val="009C46BA"/>
    <w:rsid w:val="009C4CD1"/>
    <w:rsid w:val="009C6B4B"/>
    <w:rsid w:val="009C6CAE"/>
    <w:rsid w:val="009C71C6"/>
    <w:rsid w:val="009D02E2"/>
    <w:rsid w:val="009D0971"/>
    <w:rsid w:val="009D0AD1"/>
    <w:rsid w:val="009D2E45"/>
    <w:rsid w:val="009D317E"/>
    <w:rsid w:val="009D3447"/>
    <w:rsid w:val="009D39C5"/>
    <w:rsid w:val="009D4B90"/>
    <w:rsid w:val="009D4D57"/>
    <w:rsid w:val="009D55B5"/>
    <w:rsid w:val="009D5722"/>
    <w:rsid w:val="009D592A"/>
    <w:rsid w:val="009D6CD8"/>
    <w:rsid w:val="009D7A37"/>
    <w:rsid w:val="009D7B1C"/>
    <w:rsid w:val="009E0065"/>
    <w:rsid w:val="009E0615"/>
    <w:rsid w:val="009E09B7"/>
    <w:rsid w:val="009E0C65"/>
    <w:rsid w:val="009E0D7F"/>
    <w:rsid w:val="009E0ED9"/>
    <w:rsid w:val="009E0FE7"/>
    <w:rsid w:val="009E1338"/>
    <w:rsid w:val="009E1600"/>
    <w:rsid w:val="009E17DA"/>
    <w:rsid w:val="009E1BE3"/>
    <w:rsid w:val="009E2537"/>
    <w:rsid w:val="009E2735"/>
    <w:rsid w:val="009E298C"/>
    <w:rsid w:val="009E2BF0"/>
    <w:rsid w:val="009E31D7"/>
    <w:rsid w:val="009E458B"/>
    <w:rsid w:val="009E4C10"/>
    <w:rsid w:val="009E4F30"/>
    <w:rsid w:val="009E5D26"/>
    <w:rsid w:val="009E5F6F"/>
    <w:rsid w:val="009E60CE"/>
    <w:rsid w:val="009E6D8E"/>
    <w:rsid w:val="009E718D"/>
    <w:rsid w:val="009F0070"/>
    <w:rsid w:val="009F0CB5"/>
    <w:rsid w:val="009F187A"/>
    <w:rsid w:val="009F3476"/>
    <w:rsid w:val="009F3509"/>
    <w:rsid w:val="009F37FB"/>
    <w:rsid w:val="009F3BF5"/>
    <w:rsid w:val="009F43CB"/>
    <w:rsid w:val="009F4D48"/>
    <w:rsid w:val="009F4E6B"/>
    <w:rsid w:val="009F50B3"/>
    <w:rsid w:val="009F55D2"/>
    <w:rsid w:val="009F5B7A"/>
    <w:rsid w:val="009F66C6"/>
    <w:rsid w:val="009F7B58"/>
    <w:rsid w:val="00A00EEC"/>
    <w:rsid w:val="00A011AE"/>
    <w:rsid w:val="00A015B4"/>
    <w:rsid w:val="00A01C57"/>
    <w:rsid w:val="00A020AD"/>
    <w:rsid w:val="00A02CE5"/>
    <w:rsid w:val="00A02DE1"/>
    <w:rsid w:val="00A0465D"/>
    <w:rsid w:val="00A046CE"/>
    <w:rsid w:val="00A04D35"/>
    <w:rsid w:val="00A04E1C"/>
    <w:rsid w:val="00A05B16"/>
    <w:rsid w:val="00A05EE5"/>
    <w:rsid w:val="00A06E68"/>
    <w:rsid w:val="00A107DE"/>
    <w:rsid w:val="00A10892"/>
    <w:rsid w:val="00A10A54"/>
    <w:rsid w:val="00A1210D"/>
    <w:rsid w:val="00A123EE"/>
    <w:rsid w:val="00A12D76"/>
    <w:rsid w:val="00A12F90"/>
    <w:rsid w:val="00A137ED"/>
    <w:rsid w:val="00A14B9A"/>
    <w:rsid w:val="00A161CA"/>
    <w:rsid w:val="00A16666"/>
    <w:rsid w:val="00A201AE"/>
    <w:rsid w:val="00A217C6"/>
    <w:rsid w:val="00A21805"/>
    <w:rsid w:val="00A2277A"/>
    <w:rsid w:val="00A229D0"/>
    <w:rsid w:val="00A22CE0"/>
    <w:rsid w:val="00A232DF"/>
    <w:rsid w:val="00A235C5"/>
    <w:rsid w:val="00A2360A"/>
    <w:rsid w:val="00A23CAE"/>
    <w:rsid w:val="00A23DEB"/>
    <w:rsid w:val="00A25650"/>
    <w:rsid w:val="00A2580E"/>
    <w:rsid w:val="00A26330"/>
    <w:rsid w:val="00A266A2"/>
    <w:rsid w:val="00A26F57"/>
    <w:rsid w:val="00A27019"/>
    <w:rsid w:val="00A27A85"/>
    <w:rsid w:val="00A30795"/>
    <w:rsid w:val="00A311A2"/>
    <w:rsid w:val="00A314EF"/>
    <w:rsid w:val="00A32431"/>
    <w:rsid w:val="00A32C71"/>
    <w:rsid w:val="00A331A5"/>
    <w:rsid w:val="00A337A6"/>
    <w:rsid w:val="00A34ACB"/>
    <w:rsid w:val="00A34E47"/>
    <w:rsid w:val="00A34F1C"/>
    <w:rsid w:val="00A357C4"/>
    <w:rsid w:val="00A4051F"/>
    <w:rsid w:val="00A4056C"/>
    <w:rsid w:val="00A4322C"/>
    <w:rsid w:val="00A43AB2"/>
    <w:rsid w:val="00A43F49"/>
    <w:rsid w:val="00A446E3"/>
    <w:rsid w:val="00A44945"/>
    <w:rsid w:val="00A4584E"/>
    <w:rsid w:val="00A45E84"/>
    <w:rsid w:val="00A47476"/>
    <w:rsid w:val="00A50862"/>
    <w:rsid w:val="00A51296"/>
    <w:rsid w:val="00A527B6"/>
    <w:rsid w:val="00A52C27"/>
    <w:rsid w:val="00A52D53"/>
    <w:rsid w:val="00A54D41"/>
    <w:rsid w:val="00A5561C"/>
    <w:rsid w:val="00A55CB0"/>
    <w:rsid w:val="00A5678B"/>
    <w:rsid w:val="00A57DA7"/>
    <w:rsid w:val="00A6123D"/>
    <w:rsid w:val="00A61AC2"/>
    <w:rsid w:val="00A628EB"/>
    <w:rsid w:val="00A62F98"/>
    <w:rsid w:val="00A642F9"/>
    <w:rsid w:val="00A64C0A"/>
    <w:rsid w:val="00A64D95"/>
    <w:rsid w:val="00A65F51"/>
    <w:rsid w:val="00A668AE"/>
    <w:rsid w:val="00A66C37"/>
    <w:rsid w:val="00A66D83"/>
    <w:rsid w:val="00A67C78"/>
    <w:rsid w:val="00A7012C"/>
    <w:rsid w:val="00A70A28"/>
    <w:rsid w:val="00A70F35"/>
    <w:rsid w:val="00A7208D"/>
    <w:rsid w:val="00A7263A"/>
    <w:rsid w:val="00A727AC"/>
    <w:rsid w:val="00A72EA3"/>
    <w:rsid w:val="00A73A56"/>
    <w:rsid w:val="00A73CFF"/>
    <w:rsid w:val="00A74C66"/>
    <w:rsid w:val="00A74C9F"/>
    <w:rsid w:val="00A74D0B"/>
    <w:rsid w:val="00A752CD"/>
    <w:rsid w:val="00A75AA6"/>
    <w:rsid w:val="00A75CD6"/>
    <w:rsid w:val="00A75E03"/>
    <w:rsid w:val="00A75F64"/>
    <w:rsid w:val="00A7623E"/>
    <w:rsid w:val="00A776DF"/>
    <w:rsid w:val="00A77766"/>
    <w:rsid w:val="00A80009"/>
    <w:rsid w:val="00A80039"/>
    <w:rsid w:val="00A800CF"/>
    <w:rsid w:val="00A82391"/>
    <w:rsid w:val="00A82533"/>
    <w:rsid w:val="00A82811"/>
    <w:rsid w:val="00A82D21"/>
    <w:rsid w:val="00A833AE"/>
    <w:rsid w:val="00A85C97"/>
    <w:rsid w:val="00A860AD"/>
    <w:rsid w:val="00A86986"/>
    <w:rsid w:val="00A869EA"/>
    <w:rsid w:val="00A86A31"/>
    <w:rsid w:val="00A8766D"/>
    <w:rsid w:val="00A87CBE"/>
    <w:rsid w:val="00A9058C"/>
    <w:rsid w:val="00A909F1"/>
    <w:rsid w:val="00A90CC9"/>
    <w:rsid w:val="00A911F3"/>
    <w:rsid w:val="00A913CB"/>
    <w:rsid w:val="00A91B7B"/>
    <w:rsid w:val="00A91DCC"/>
    <w:rsid w:val="00A91EA9"/>
    <w:rsid w:val="00A92393"/>
    <w:rsid w:val="00A92C2F"/>
    <w:rsid w:val="00A93235"/>
    <w:rsid w:val="00A93CC4"/>
    <w:rsid w:val="00A93D6B"/>
    <w:rsid w:val="00A94585"/>
    <w:rsid w:val="00A949BA"/>
    <w:rsid w:val="00A952C5"/>
    <w:rsid w:val="00A952E8"/>
    <w:rsid w:val="00A958E6"/>
    <w:rsid w:val="00A9733C"/>
    <w:rsid w:val="00A979BF"/>
    <w:rsid w:val="00A97E57"/>
    <w:rsid w:val="00AA05A1"/>
    <w:rsid w:val="00AA1979"/>
    <w:rsid w:val="00AA296A"/>
    <w:rsid w:val="00AA2EF3"/>
    <w:rsid w:val="00AA33EC"/>
    <w:rsid w:val="00AA3F6A"/>
    <w:rsid w:val="00AA4300"/>
    <w:rsid w:val="00AA4CA3"/>
    <w:rsid w:val="00AA4D95"/>
    <w:rsid w:val="00AA500B"/>
    <w:rsid w:val="00AA5FF0"/>
    <w:rsid w:val="00AA6D4D"/>
    <w:rsid w:val="00AB02D3"/>
    <w:rsid w:val="00AB02EB"/>
    <w:rsid w:val="00AB047A"/>
    <w:rsid w:val="00AB04E4"/>
    <w:rsid w:val="00AB08A3"/>
    <w:rsid w:val="00AB0C36"/>
    <w:rsid w:val="00AB0EDF"/>
    <w:rsid w:val="00AB15DF"/>
    <w:rsid w:val="00AB1C51"/>
    <w:rsid w:val="00AB2D74"/>
    <w:rsid w:val="00AB3B15"/>
    <w:rsid w:val="00AB471C"/>
    <w:rsid w:val="00AB4BD5"/>
    <w:rsid w:val="00AB506E"/>
    <w:rsid w:val="00AB50FD"/>
    <w:rsid w:val="00AB60CA"/>
    <w:rsid w:val="00AB638C"/>
    <w:rsid w:val="00AB6A7E"/>
    <w:rsid w:val="00AB6F14"/>
    <w:rsid w:val="00AB7B0B"/>
    <w:rsid w:val="00AB7CE8"/>
    <w:rsid w:val="00AC0B5B"/>
    <w:rsid w:val="00AC0C66"/>
    <w:rsid w:val="00AC1D8B"/>
    <w:rsid w:val="00AC1E3C"/>
    <w:rsid w:val="00AC2515"/>
    <w:rsid w:val="00AC2574"/>
    <w:rsid w:val="00AC2D6F"/>
    <w:rsid w:val="00AC3775"/>
    <w:rsid w:val="00AC5DD8"/>
    <w:rsid w:val="00AC5DDB"/>
    <w:rsid w:val="00AC5DF0"/>
    <w:rsid w:val="00AC60B8"/>
    <w:rsid w:val="00AC650F"/>
    <w:rsid w:val="00AC6EFA"/>
    <w:rsid w:val="00AC741A"/>
    <w:rsid w:val="00AC7814"/>
    <w:rsid w:val="00AC7BE6"/>
    <w:rsid w:val="00AC7C45"/>
    <w:rsid w:val="00AC7C9B"/>
    <w:rsid w:val="00AD08F3"/>
    <w:rsid w:val="00AD0932"/>
    <w:rsid w:val="00AD1859"/>
    <w:rsid w:val="00AD27EE"/>
    <w:rsid w:val="00AD29BD"/>
    <w:rsid w:val="00AD31CD"/>
    <w:rsid w:val="00AD50E2"/>
    <w:rsid w:val="00AD5279"/>
    <w:rsid w:val="00AD5D96"/>
    <w:rsid w:val="00AD611B"/>
    <w:rsid w:val="00AD68AE"/>
    <w:rsid w:val="00AD6AB3"/>
    <w:rsid w:val="00AD6C79"/>
    <w:rsid w:val="00AD76AC"/>
    <w:rsid w:val="00AD7A4B"/>
    <w:rsid w:val="00AE05E9"/>
    <w:rsid w:val="00AE0BDC"/>
    <w:rsid w:val="00AE1038"/>
    <w:rsid w:val="00AE1C88"/>
    <w:rsid w:val="00AE23D9"/>
    <w:rsid w:val="00AE34B0"/>
    <w:rsid w:val="00AE351C"/>
    <w:rsid w:val="00AE3727"/>
    <w:rsid w:val="00AE3E1D"/>
    <w:rsid w:val="00AE40ED"/>
    <w:rsid w:val="00AE43E9"/>
    <w:rsid w:val="00AE53A4"/>
    <w:rsid w:val="00AE562E"/>
    <w:rsid w:val="00AE64A0"/>
    <w:rsid w:val="00AE6F59"/>
    <w:rsid w:val="00AE76E8"/>
    <w:rsid w:val="00AE7DA3"/>
    <w:rsid w:val="00AF09C9"/>
    <w:rsid w:val="00AF0E02"/>
    <w:rsid w:val="00AF1065"/>
    <w:rsid w:val="00AF1765"/>
    <w:rsid w:val="00AF252B"/>
    <w:rsid w:val="00AF2997"/>
    <w:rsid w:val="00AF2B5E"/>
    <w:rsid w:val="00AF4013"/>
    <w:rsid w:val="00AF407E"/>
    <w:rsid w:val="00AF41D2"/>
    <w:rsid w:val="00AF433B"/>
    <w:rsid w:val="00AF5CEC"/>
    <w:rsid w:val="00AF6324"/>
    <w:rsid w:val="00AF6AA3"/>
    <w:rsid w:val="00AF6BEC"/>
    <w:rsid w:val="00AF6C99"/>
    <w:rsid w:val="00AF7962"/>
    <w:rsid w:val="00B00465"/>
    <w:rsid w:val="00B01580"/>
    <w:rsid w:val="00B01A21"/>
    <w:rsid w:val="00B01A3B"/>
    <w:rsid w:val="00B02A1F"/>
    <w:rsid w:val="00B02AFB"/>
    <w:rsid w:val="00B03106"/>
    <w:rsid w:val="00B04131"/>
    <w:rsid w:val="00B04832"/>
    <w:rsid w:val="00B048D4"/>
    <w:rsid w:val="00B04FBD"/>
    <w:rsid w:val="00B05248"/>
    <w:rsid w:val="00B054B7"/>
    <w:rsid w:val="00B05528"/>
    <w:rsid w:val="00B05CFE"/>
    <w:rsid w:val="00B05E3A"/>
    <w:rsid w:val="00B06158"/>
    <w:rsid w:val="00B0635A"/>
    <w:rsid w:val="00B06CFD"/>
    <w:rsid w:val="00B0712F"/>
    <w:rsid w:val="00B0725A"/>
    <w:rsid w:val="00B073B1"/>
    <w:rsid w:val="00B114CC"/>
    <w:rsid w:val="00B12A0A"/>
    <w:rsid w:val="00B12A6F"/>
    <w:rsid w:val="00B1547D"/>
    <w:rsid w:val="00B161A4"/>
    <w:rsid w:val="00B161CE"/>
    <w:rsid w:val="00B1633E"/>
    <w:rsid w:val="00B218F7"/>
    <w:rsid w:val="00B21BDF"/>
    <w:rsid w:val="00B21C8E"/>
    <w:rsid w:val="00B22048"/>
    <w:rsid w:val="00B22092"/>
    <w:rsid w:val="00B221F0"/>
    <w:rsid w:val="00B2403B"/>
    <w:rsid w:val="00B24945"/>
    <w:rsid w:val="00B25FF0"/>
    <w:rsid w:val="00B26CE5"/>
    <w:rsid w:val="00B303E1"/>
    <w:rsid w:val="00B31000"/>
    <w:rsid w:val="00B3253B"/>
    <w:rsid w:val="00B32970"/>
    <w:rsid w:val="00B331D6"/>
    <w:rsid w:val="00B345CE"/>
    <w:rsid w:val="00B34D37"/>
    <w:rsid w:val="00B34D4C"/>
    <w:rsid w:val="00B34ECC"/>
    <w:rsid w:val="00B3521B"/>
    <w:rsid w:val="00B3598A"/>
    <w:rsid w:val="00B35C1C"/>
    <w:rsid w:val="00B36D3D"/>
    <w:rsid w:val="00B370DC"/>
    <w:rsid w:val="00B373E4"/>
    <w:rsid w:val="00B37519"/>
    <w:rsid w:val="00B40460"/>
    <w:rsid w:val="00B40A5D"/>
    <w:rsid w:val="00B40CB5"/>
    <w:rsid w:val="00B41137"/>
    <w:rsid w:val="00B416CD"/>
    <w:rsid w:val="00B41876"/>
    <w:rsid w:val="00B4188A"/>
    <w:rsid w:val="00B41EDA"/>
    <w:rsid w:val="00B42287"/>
    <w:rsid w:val="00B425FE"/>
    <w:rsid w:val="00B42A4F"/>
    <w:rsid w:val="00B4377C"/>
    <w:rsid w:val="00B43A66"/>
    <w:rsid w:val="00B43C3A"/>
    <w:rsid w:val="00B45675"/>
    <w:rsid w:val="00B46232"/>
    <w:rsid w:val="00B46630"/>
    <w:rsid w:val="00B46CC1"/>
    <w:rsid w:val="00B50460"/>
    <w:rsid w:val="00B50A07"/>
    <w:rsid w:val="00B51504"/>
    <w:rsid w:val="00B52535"/>
    <w:rsid w:val="00B52852"/>
    <w:rsid w:val="00B53E03"/>
    <w:rsid w:val="00B578E6"/>
    <w:rsid w:val="00B604F4"/>
    <w:rsid w:val="00B607BC"/>
    <w:rsid w:val="00B60918"/>
    <w:rsid w:val="00B609B2"/>
    <w:rsid w:val="00B623D0"/>
    <w:rsid w:val="00B626ED"/>
    <w:rsid w:val="00B62C49"/>
    <w:rsid w:val="00B633A9"/>
    <w:rsid w:val="00B64924"/>
    <w:rsid w:val="00B64C03"/>
    <w:rsid w:val="00B656B3"/>
    <w:rsid w:val="00B65878"/>
    <w:rsid w:val="00B659A6"/>
    <w:rsid w:val="00B66A2E"/>
    <w:rsid w:val="00B7021B"/>
    <w:rsid w:val="00B7032B"/>
    <w:rsid w:val="00B70DFE"/>
    <w:rsid w:val="00B7245D"/>
    <w:rsid w:val="00B72547"/>
    <w:rsid w:val="00B72B1E"/>
    <w:rsid w:val="00B7355A"/>
    <w:rsid w:val="00B736F2"/>
    <w:rsid w:val="00B74294"/>
    <w:rsid w:val="00B74375"/>
    <w:rsid w:val="00B74BF4"/>
    <w:rsid w:val="00B756C2"/>
    <w:rsid w:val="00B7635C"/>
    <w:rsid w:val="00B765A8"/>
    <w:rsid w:val="00B76AB9"/>
    <w:rsid w:val="00B76AD2"/>
    <w:rsid w:val="00B76E39"/>
    <w:rsid w:val="00B8038C"/>
    <w:rsid w:val="00B81568"/>
    <w:rsid w:val="00B824AC"/>
    <w:rsid w:val="00B8299B"/>
    <w:rsid w:val="00B82FA7"/>
    <w:rsid w:val="00B83A8B"/>
    <w:rsid w:val="00B83BED"/>
    <w:rsid w:val="00B864CF"/>
    <w:rsid w:val="00B86A55"/>
    <w:rsid w:val="00B86D14"/>
    <w:rsid w:val="00B875E7"/>
    <w:rsid w:val="00B9222B"/>
    <w:rsid w:val="00B924D7"/>
    <w:rsid w:val="00B92AFF"/>
    <w:rsid w:val="00B930FE"/>
    <w:rsid w:val="00B931DE"/>
    <w:rsid w:val="00B93DEF"/>
    <w:rsid w:val="00B94042"/>
    <w:rsid w:val="00B9411B"/>
    <w:rsid w:val="00B943E0"/>
    <w:rsid w:val="00B94B5F"/>
    <w:rsid w:val="00B951AA"/>
    <w:rsid w:val="00B95275"/>
    <w:rsid w:val="00B95ACB"/>
    <w:rsid w:val="00B95D36"/>
    <w:rsid w:val="00B963F2"/>
    <w:rsid w:val="00B96896"/>
    <w:rsid w:val="00B979AD"/>
    <w:rsid w:val="00B979C5"/>
    <w:rsid w:val="00B979F8"/>
    <w:rsid w:val="00B97D94"/>
    <w:rsid w:val="00BA0ECE"/>
    <w:rsid w:val="00BA2522"/>
    <w:rsid w:val="00BA2EFE"/>
    <w:rsid w:val="00BA34D1"/>
    <w:rsid w:val="00BA355E"/>
    <w:rsid w:val="00BA35D4"/>
    <w:rsid w:val="00BA42C7"/>
    <w:rsid w:val="00BA4919"/>
    <w:rsid w:val="00BA5F51"/>
    <w:rsid w:val="00BA771F"/>
    <w:rsid w:val="00BA7C2E"/>
    <w:rsid w:val="00BB15E8"/>
    <w:rsid w:val="00BB16C2"/>
    <w:rsid w:val="00BB2713"/>
    <w:rsid w:val="00BB305C"/>
    <w:rsid w:val="00BB345E"/>
    <w:rsid w:val="00BB363D"/>
    <w:rsid w:val="00BB3F99"/>
    <w:rsid w:val="00BB457C"/>
    <w:rsid w:val="00BB4B96"/>
    <w:rsid w:val="00BB4C51"/>
    <w:rsid w:val="00BB5A07"/>
    <w:rsid w:val="00BB5F7C"/>
    <w:rsid w:val="00BB6ABC"/>
    <w:rsid w:val="00BB6E81"/>
    <w:rsid w:val="00BB723A"/>
    <w:rsid w:val="00BB73E5"/>
    <w:rsid w:val="00BC097C"/>
    <w:rsid w:val="00BC0C10"/>
    <w:rsid w:val="00BC153E"/>
    <w:rsid w:val="00BC15CD"/>
    <w:rsid w:val="00BC20B6"/>
    <w:rsid w:val="00BC21F6"/>
    <w:rsid w:val="00BC26CC"/>
    <w:rsid w:val="00BC2E20"/>
    <w:rsid w:val="00BC3002"/>
    <w:rsid w:val="00BC3A6D"/>
    <w:rsid w:val="00BC3C42"/>
    <w:rsid w:val="00BC3E40"/>
    <w:rsid w:val="00BC443F"/>
    <w:rsid w:val="00BC4D86"/>
    <w:rsid w:val="00BC519A"/>
    <w:rsid w:val="00BC5BB4"/>
    <w:rsid w:val="00BC6620"/>
    <w:rsid w:val="00BC6E63"/>
    <w:rsid w:val="00BC702C"/>
    <w:rsid w:val="00BD0281"/>
    <w:rsid w:val="00BD036E"/>
    <w:rsid w:val="00BD0B43"/>
    <w:rsid w:val="00BD0F9F"/>
    <w:rsid w:val="00BD0FDE"/>
    <w:rsid w:val="00BD11B1"/>
    <w:rsid w:val="00BD13C3"/>
    <w:rsid w:val="00BD194A"/>
    <w:rsid w:val="00BD2CFB"/>
    <w:rsid w:val="00BD35B2"/>
    <w:rsid w:val="00BD38A6"/>
    <w:rsid w:val="00BD3A79"/>
    <w:rsid w:val="00BD3E86"/>
    <w:rsid w:val="00BD5004"/>
    <w:rsid w:val="00BD5230"/>
    <w:rsid w:val="00BD5625"/>
    <w:rsid w:val="00BD58B8"/>
    <w:rsid w:val="00BD5B7C"/>
    <w:rsid w:val="00BD6A5B"/>
    <w:rsid w:val="00BD6ED6"/>
    <w:rsid w:val="00BD71B4"/>
    <w:rsid w:val="00BE0340"/>
    <w:rsid w:val="00BE0DB7"/>
    <w:rsid w:val="00BE118E"/>
    <w:rsid w:val="00BE13EA"/>
    <w:rsid w:val="00BE1495"/>
    <w:rsid w:val="00BE2EE5"/>
    <w:rsid w:val="00BE3A14"/>
    <w:rsid w:val="00BE3D13"/>
    <w:rsid w:val="00BE4734"/>
    <w:rsid w:val="00BE4FB9"/>
    <w:rsid w:val="00BE6035"/>
    <w:rsid w:val="00BE61CE"/>
    <w:rsid w:val="00BE74D0"/>
    <w:rsid w:val="00BE7ACE"/>
    <w:rsid w:val="00BE7F12"/>
    <w:rsid w:val="00BF0008"/>
    <w:rsid w:val="00BF0933"/>
    <w:rsid w:val="00BF1117"/>
    <w:rsid w:val="00BF1612"/>
    <w:rsid w:val="00BF16D6"/>
    <w:rsid w:val="00BF176F"/>
    <w:rsid w:val="00BF246E"/>
    <w:rsid w:val="00BF282B"/>
    <w:rsid w:val="00BF2F9E"/>
    <w:rsid w:val="00BF34AA"/>
    <w:rsid w:val="00BF38C7"/>
    <w:rsid w:val="00BF3E9A"/>
    <w:rsid w:val="00BF405B"/>
    <w:rsid w:val="00BF42CD"/>
    <w:rsid w:val="00BF462D"/>
    <w:rsid w:val="00BF5373"/>
    <w:rsid w:val="00BF5664"/>
    <w:rsid w:val="00BF56A9"/>
    <w:rsid w:val="00BF59D6"/>
    <w:rsid w:val="00BF5D78"/>
    <w:rsid w:val="00BF6426"/>
    <w:rsid w:val="00BF648A"/>
    <w:rsid w:val="00BF799F"/>
    <w:rsid w:val="00C00BF1"/>
    <w:rsid w:val="00C00FC6"/>
    <w:rsid w:val="00C02864"/>
    <w:rsid w:val="00C02EEC"/>
    <w:rsid w:val="00C036F8"/>
    <w:rsid w:val="00C03EB8"/>
    <w:rsid w:val="00C04B57"/>
    <w:rsid w:val="00C05E38"/>
    <w:rsid w:val="00C05F1E"/>
    <w:rsid w:val="00C05FC0"/>
    <w:rsid w:val="00C07119"/>
    <w:rsid w:val="00C07493"/>
    <w:rsid w:val="00C1126D"/>
    <w:rsid w:val="00C12A03"/>
    <w:rsid w:val="00C13589"/>
    <w:rsid w:val="00C14546"/>
    <w:rsid w:val="00C14D99"/>
    <w:rsid w:val="00C15712"/>
    <w:rsid w:val="00C171F0"/>
    <w:rsid w:val="00C171FC"/>
    <w:rsid w:val="00C17F6D"/>
    <w:rsid w:val="00C2018B"/>
    <w:rsid w:val="00C202A6"/>
    <w:rsid w:val="00C20A76"/>
    <w:rsid w:val="00C21044"/>
    <w:rsid w:val="00C21BBB"/>
    <w:rsid w:val="00C21D74"/>
    <w:rsid w:val="00C2223D"/>
    <w:rsid w:val="00C22439"/>
    <w:rsid w:val="00C22695"/>
    <w:rsid w:val="00C226C5"/>
    <w:rsid w:val="00C2290D"/>
    <w:rsid w:val="00C23BC9"/>
    <w:rsid w:val="00C23DA3"/>
    <w:rsid w:val="00C24A3F"/>
    <w:rsid w:val="00C25E7E"/>
    <w:rsid w:val="00C264BE"/>
    <w:rsid w:val="00C267FA"/>
    <w:rsid w:val="00C26B06"/>
    <w:rsid w:val="00C26B2C"/>
    <w:rsid w:val="00C26C2A"/>
    <w:rsid w:val="00C26C4F"/>
    <w:rsid w:val="00C26FCF"/>
    <w:rsid w:val="00C27B12"/>
    <w:rsid w:val="00C30828"/>
    <w:rsid w:val="00C316B9"/>
    <w:rsid w:val="00C31836"/>
    <w:rsid w:val="00C31BCD"/>
    <w:rsid w:val="00C31D38"/>
    <w:rsid w:val="00C31E4D"/>
    <w:rsid w:val="00C33ADD"/>
    <w:rsid w:val="00C33BDF"/>
    <w:rsid w:val="00C34197"/>
    <w:rsid w:val="00C34311"/>
    <w:rsid w:val="00C3441C"/>
    <w:rsid w:val="00C347AB"/>
    <w:rsid w:val="00C34C72"/>
    <w:rsid w:val="00C35982"/>
    <w:rsid w:val="00C3668E"/>
    <w:rsid w:val="00C36B7C"/>
    <w:rsid w:val="00C371EE"/>
    <w:rsid w:val="00C3725C"/>
    <w:rsid w:val="00C37956"/>
    <w:rsid w:val="00C40924"/>
    <w:rsid w:val="00C41229"/>
    <w:rsid w:val="00C41332"/>
    <w:rsid w:val="00C4136A"/>
    <w:rsid w:val="00C42F93"/>
    <w:rsid w:val="00C43BA0"/>
    <w:rsid w:val="00C45231"/>
    <w:rsid w:val="00C46B58"/>
    <w:rsid w:val="00C47390"/>
    <w:rsid w:val="00C479FA"/>
    <w:rsid w:val="00C47D71"/>
    <w:rsid w:val="00C5040B"/>
    <w:rsid w:val="00C505FB"/>
    <w:rsid w:val="00C516C6"/>
    <w:rsid w:val="00C535B4"/>
    <w:rsid w:val="00C535D8"/>
    <w:rsid w:val="00C536E5"/>
    <w:rsid w:val="00C536E8"/>
    <w:rsid w:val="00C53BD7"/>
    <w:rsid w:val="00C540F5"/>
    <w:rsid w:val="00C541B5"/>
    <w:rsid w:val="00C54F56"/>
    <w:rsid w:val="00C54FBC"/>
    <w:rsid w:val="00C55216"/>
    <w:rsid w:val="00C55BBA"/>
    <w:rsid w:val="00C55F63"/>
    <w:rsid w:val="00C562DF"/>
    <w:rsid w:val="00C57E04"/>
    <w:rsid w:val="00C60011"/>
    <w:rsid w:val="00C601A9"/>
    <w:rsid w:val="00C60D5F"/>
    <w:rsid w:val="00C6172A"/>
    <w:rsid w:val="00C61BCF"/>
    <w:rsid w:val="00C61FE0"/>
    <w:rsid w:val="00C63EA6"/>
    <w:rsid w:val="00C64113"/>
    <w:rsid w:val="00C647C2"/>
    <w:rsid w:val="00C652B7"/>
    <w:rsid w:val="00C66104"/>
    <w:rsid w:val="00C676C1"/>
    <w:rsid w:val="00C677C9"/>
    <w:rsid w:val="00C67B37"/>
    <w:rsid w:val="00C67E32"/>
    <w:rsid w:val="00C70C30"/>
    <w:rsid w:val="00C7185A"/>
    <w:rsid w:val="00C71A02"/>
    <w:rsid w:val="00C71CDB"/>
    <w:rsid w:val="00C728AE"/>
    <w:rsid w:val="00C731F4"/>
    <w:rsid w:val="00C736F9"/>
    <w:rsid w:val="00C73824"/>
    <w:rsid w:val="00C73D36"/>
    <w:rsid w:val="00C74868"/>
    <w:rsid w:val="00C752FF"/>
    <w:rsid w:val="00C769C9"/>
    <w:rsid w:val="00C77209"/>
    <w:rsid w:val="00C77D82"/>
    <w:rsid w:val="00C80B60"/>
    <w:rsid w:val="00C81021"/>
    <w:rsid w:val="00C81699"/>
    <w:rsid w:val="00C81DB4"/>
    <w:rsid w:val="00C82598"/>
    <w:rsid w:val="00C82C68"/>
    <w:rsid w:val="00C82CDC"/>
    <w:rsid w:val="00C82DE5"/>
    <w:rsid w:val="00C83DE5"/>
    <w:rsid w:val="00C846CA"/>
    <w:rsid w:val="00C8476A"/>
    <w:rsid w:val="00C84A53"/>
    <w:rsid w:val="00C84AE7"/>
    <w:rsid w:val="00C84D6F"/>
    <w:rsid w:val="00C8551D"/>
    <w:rsid w:val="00C8620C"/>
    <w:rsid w:val="00C86259"/>
    <w:rsid w:val="00C8658E"/>
    <w:rsid w:val="00C86E30"/>
    <w:rsid w:val="00C86E5A"/>
    <w:rsid w:val="00C876EC"/>
    <w:rsid w:val="00C90061"/>
    <w:rsid w:val="00C9079F"/>
    <w:rsid w:val="00C9180E"/>
    <w:rsid w:val="00C9257B"/>
    <w:rsid w:val="00C93066"/>
    <w:rsid w:val="00C93CAA"/>
    <w:rsid w:val="00C946BE"/>
    <w:rsid w:val="00C94853"/>
    <w:rsid w:val="00C951C2"/>
    <w:rsid w:val="00CA002F"/>
    <w:rsid w:val="00CA07CA"/>
    <w:rsid w:val="00CA095D"/>
    <w:rsid w:val="00CA0CFA"/>
    <w:rsid w:val="00CA0D05"/>
    <w:rsid w:val="00CA0DF7"/>
    <w:rsid w:val="00CA19F7"/>
    <w:rsid w:val="00CA215C"/>
    <w:rsid w:val="00CA2184"/>
    <w:rsid w:val="00CA354C"/>
    <w:rsid w:val="00CA3D4C"/>
    <w:rsid w:val="00CA3E1C"/>
    <w:rsid w:val="00CA485B"/>
    <w:rsid w:val="00CA4BFE"/>
    <w:rsid w:val="00CA5371"/>
    <w:rsid w:val="00CA5684"/>
    <w:rsid w:val="00CA5D14"/>
    <w:rsid w:val="00CA6F9C"/>
    <w:rsid w:val="00CA79AC"/>
    <w:rsid w:val="00CA7AFB"/>
    <w:rsid w:val="00CB12EA"/>
    <w:rsid w:val="00CB28F8"/>
    <w:rsid w:val="00CB2CE2"/>
    <w:rsid w:val="00CB2D9A"/>
    <w:rsid w:val="00CB3451"/>
    <w:rsid w:val="00CB34C1"/>
    <w:rsid w:val="00CB3651"/>
    <w:rsid w:val="00CB3778"/>
    <w:rsid w:val="00CB4338"/>
    <w:rsid w:val="00CB4FB3"/>
    <w:rsid w:val="00CB59C6"/>
    <w:rsid w:val="00CB6F33"/>
    <w:rsid w:val="00CB7482"/>
    <w:rsid w:val="00CC0084"/>
    <w:rsid w:val="00CC048B"/>
    <w:rsid w:val="00CC0ACF"/>
    <w:rsid w:val="00CC1C6B"/>
    <w:rsid w:val="00CC1CF7"/>
    <w:rsid w:val="00CC2123"/>
    <w:rsid w:val="00CC2609"/>
    <w:rsid w:val="00CC3EA8"/>
    <w:rsid w:val="00CC4066"/>
    <w:rsid w:val="00CC4E16"/>
    <w:rsid w:val="00CC513E"/>
    <w:rsid w:val="00CC59A3"/>
    <w:rsid w:val="00CC5CF4"/>
    <w:rsid w:val="00CC66BC"/>
    <w:rsid w:val="00CC6FDC"/>
    <w:rsid w:val="00CC7CEA"/>
    <w:rsid w:val="00CC7E98"/>
    <w:rsid w:val="00CC7F24"/>
    <w:rsid w:val="00CD2394"/>
    <w:rsid w:val="00CD3041"/>
    <w:rsid w:val="00CD3158"/>
    <w:rsid w:val="00CD3B4D"/>
    <w:rsid w:val="00CD3CC9"/>
    <w:rsid w:val="00CD4510"/>
    <w:rsid w:val="00CD476A"/>
    <w:rsid w:val="00CD50B6"/>
    <w:rsid w:val="00CD51B7"/>
    <w:rsid w:val="00CD6500"/>
    <w:rsid w:val="00CD685E"/>
    <w:rsid w:val="00CD6B38"/>
    <w:rsid w:val="00CD74F6"/>
    <w:rsid w:val="00CE0501"/>
    <w:rsid w:val="00CE0E5E"/>
    <w:rsid w:val="00CE13FE"/>
    <w:rsid w:val="00CE1A93"/>
    <w:rsid w:val="00CE273C"/>
    <w:rsid w:val="00CE294D"/>
    <w:rsid w:val="00CE2A11"/>
    <w:rsid w:val="00CE2B58"/>
    <w:rsid w:val="00CE31FE"/>
    <w:rsid w:val="00CE33F2"/>
    <w:rsid w:val="00CE3983"/>
    <w:rsid w:val="00CE3E22"/>
    <w:rsid w:val="00CE535F"/>
    <w:rsid w:val="00CE57B2"/>
    <w:rsid w:val="00CE624D"/>
    <w:rsid w:val="00CE6AC7"/>
    <w:rsid w:val="00CE6E25"/>
    <w:rsid w:val="00CE7775"/>
    <w:rsid w:val="00CF0726"/>
    <w:rsid w:val="00CF0736"/>
    <w:rsid w:val="00CF0AA3"/>
    <w:rsid w:val="00CF0DE2"/>
    <w:rsid w:val="00CF0F72"/>
    <w:rsid w:val="00CF12C6"/>
    <w:rsid w:val="00CF1BD2"/>
    <w:rsid w:val="00CF2204"/>
    <w:rsid w:val="00CF2F2B"/>
    <w:rsid w:val="00CF2FAB"/>
    <w:rsid w:val="00CF32C6"/>
    <w:rsid w:val="00CF37CD"/>
    <w:rsid w:val="00CF37CF"/>
    <w:rsid w:val="00CF3BD3"/>
    <w:rsid w:val="00CF420D"/>
    <w:rsid w:val="00CF45A4"/>
    <w:rsid w:val="00CF4A75"/>
    <w:rsid w:val="00CF4DFF"/>
    <w:rsid w:val="00CF52D2"/>
    <w:rsid w:val="00CF5B25"/>
    <w:rsid w:val="00CF5FCA"/>
    <w:rsid w:val="00CF6844"/>
    <w:rsid w:val="00CF75C0"/>
    <w:rsid w:val="00CF7612"/>
    <w:rsid w:val="00CF764C"/>
    <w:rsid w:val="00CF787A"/>
    <w:rsid w:val="00D005E1"/>
    <w:rsid w:val="00D00609"/>
    <w:rsid w:val="00D00610"/>
    <w:rsid w:val="00D00ADD"/>
    <w:rsid w:val="00D01790"/>
    <w:rsid w:val="00D019DA"/>
    <w:rsid w:val="00D01D16"/>
    <w:rsid w:val="00D023CA"/>
    <w:rsid w:val="00D02643"/>
    <w:rsid w:val="00D02923"/>
    <w:rsid w:val="00D02935"/>
    <w:rsid w:val="00D02C3B"/>
    <w:rsid w:val="00D03606"/>
    <w:rsid w:val="00D03DD3"/>
    <w:rsid w:val="00D04523"/>
    <w:rsid w:val="00D04BBE"/>
    <w:rsid w:val="00D04BD9"/>
    <w:rsid w:val="00D05571"/>
    <w:rsid w:val="00D06655"/>
    <w:rsid w:val="00D06F7F"/>
    <w:rsid w:val="00D074A8"/>
    <w:rsid w:val="00D07BC5"/>
    <w:rsid w:val="00D07D1D"/>
    <w:rsid w:val="00D10442"/>
    <w:rsid w:val="00D105AD"/>
    <w:rsid w:val="00D108EA"/>
    <w:rsid w:val="00D1180F"/>
    <w:rsid w:val="00D11A98"/>
    <w:rsid w:val="00D1200A"/>
    <w:rsid w:val="00D13B84"/>
    <w:rsid w:val="00D15F66"/>
    <w:rsid w:val="00D15F87"/>
    <w:rsid w:val="00D16222"/>
    <w:rsid w:val="00D164A4"/>
    <w:rsid w:val="00D16B15"/>
    <w:rsid w:val="00D2044E"/>
    <w:rsid w:val="00D205D0"/>
    <w:rsid w:val="00D206BF"/>
    <w:rsid w:val="00D207D8"/>
    <w:rsid w:val="00D2165B"/>
    <w:rsid w:val="00D21B12"/>
    <w:rsid w:val="00D21F5F"/>
    <w:rsid w:val="00D22114"/>
    <w:rsid w:val="00D221E7"/>
    <w:rsid w:val="00D2240E"/>
    <w:rsid w:val="00D22672"/>
    <w:rsid w:val="00D23672"/>
    <w:rsid w:val="00D249B4"/>
    <w:rsid w:val="00D24A91"/>
    <w:rsid w:val="00D24CF7"/>
    <w:rsid w:val="00D25089"/>
    <w:rsid w:val="00D26307"/>
    <w:rsid w:val="00D2750A"/>
    <w:rsid w:val="00D275D2"/>
    <w:rsid w:val="00D27B2A"/>
    <w:rsid w:val="00D3049D"/>
    <w:rsid w:val="00D304A9"/>
    <w:rsid w:val="00D3068B"/>
    <w:rsid w:val="00D31311"/>
    <w:rsid w:val="00D31521"/>
    <w:rsid w:val="00D32801"/>
    <w:rsid w:val="00D32F1A"/>
    <w:rsid w:val="00D32F25"/>
    <w:rsid w:val="00D33637"/>
    <w:rsid w:val="00D33CD1"/>
    <w:rsid w:val="00D340CF"/>
    <w:rsid w:val="00D34644"/>
    <w:rsid w:val="00D35719"/>
    <w:rsid w:val="00D3767A"/>
    <w:rsid w:val="00D4042A"/>
    <w:rsid w:val="00D40D69"/>
    <w:rsid w:val="00D41488"/>
    <w:rsid w:val="00D41FEC"/>
    <w:rsid w:val="00D422A5"/>
    <w:rsid w:val="00D422C3"/>
    <w:rsid w:val="00D42EF2"/>
    <w:rsid w:val="00D43A98"/>
    <w:rsid w:val="00D442B6"/>
    <w:rsid w:val="00D459FC"/>
    <w:rsid w:val="00D45BB8"/>
    <w:rsid w:val="00D46525"/>
    <w:rsid w:val="00D46A60"/>
    <w:rsid w:val="00D47002"/>
    <w:rsid w:val="00D515BB"/>
    <w:rsid w:val="00D523C0"/>
    <w:rsid w:val="00D52809"/>
    <w:rsid w:val="00D53516"/>
    <w:rsid w:val="00D537B0"/>
    <w:rsid w:val="00D53CC6"/>
    <w:rsid w:val="00D53EF6"/>
    <w:rsid w:val="00D55A80"/>
    <w:rsid w:val="00D56333"/>
    <w:rsid w:val="00D565C9"/>
    <w:rsid w:val="00D56C4C"/>
    <w:rsid w:val="00D5749A"/>
    <w:rsid w:val="00D57ECA"/>
    <w:rsid w:val="00D605EC"/>
    <w:rsid w:val="00D6094F"/>
    <w:rsid w:val="00D60ACD"/>
    <w:rsid w:val="00D61821"/>
    <w:rsid w:val="00D6212D"/>
    <w:rsid w:val="00D62F3E"/>
    <w:rsid w:val="00D63B63"/>
    <w:rsid w:val="00D6571E"/>
    <w:rsid w:val="00D65B46"/>
    <w:rsid w:val="00D667A1"/>
    <w:rsid w:val="00D66F8D"/>
    <w:rsid w:val="00D71508"/>
    <w:rsid w:val="00D7179A"/>
    <w:rsid w:val="00D729EF"/>
    <w:rsid w:val="00D72BEB"/>
    <w:rsid w:val="00D72C06"/>
    <w:rsid w:val="00D72E50"/>
    <w:rsid w:val="00D73604"/>
    <w:rsid w:val="00D747D7"/>
    <w:rsid w:val="00D76682"/>
    <w:rsid w:val="00D768A0"/>
    <w:rsid w:val="00D76A97"/>
    <w:rsid w:val="00D76D80"/>
    <w:rsid w:val="00D76E47"/>
    <w:rsid w:val="00D7750B"/>
    <w:rsid w:val="00D77512"/>
    <w:rsid w:val="00D806D3"/>
    <w:rsid w:val="00D80E0C"/>
    <w:rsid w:val="00D81AC4"/>
    <w:rsid w:val="00D8221D"/>
    <w:rsid w:val="00D8243F"/>
    <w:rsid w:val="00D82A24"/>
    <w:rsid w:val="00D82EB0"/>
    <w:rsid w:val="00D835B0"/>
    <w:rsid w:val="00D84521"/>
    <w:rsid w:val="00D84568"/>
    <w:rsid w:val="00D84A3E"/>
    <w:rsid w:val="00D84F05"/>
    <w:rsid w:val="00D86B95"/>
    <w:rsid w:val="00D86C77"/>
    <w:rsid w:val="00D90145"/>
    <w:rsid w:val="00D90F79"/>
    <w:rsid w:val="00D913FC"/>
    <w:rsid w:val="00D9186A"/>
    <w:rsid w:val="00D919C7"/>
    <w:rsid w:val="00D919CB"/>
    <w:rsid w:val="00D91D3A"/>
    <w:rsid w:val="00D91E70"/>
    <w:rsid w:val="00D92487"/>
    <w:rsid w:val="00D92D30"/>
    <w:rsid w:val="00D938FE"/>
    <w:rsid w:val="00D93E0E"/>
    <w:rsid w:val="00D94335"/>
    <w:rsid w:val="00D94EE6"/>
    <w:rsid w:val="00D95555"/>
    <w:rsid w:val="00D95A3B"/>
    <w:rsid w:val="00D9725F"/>
    <w:rsid w:val="00DA12A4"/>
    <w:rsid w:val="00DA1807"/>
    <w:rsid w:val="00DA1C3A"/>
    <w:rsid w:val="00DA1EEA"/>
    <w:rsid w:val="00DA2D42"/>
    <w:rsid w:val="00DA3579"/>
    <w:rsid w:val="00DA359E"/>
    <w:rsid w:val="00DA501B"/>
    <w:rsid w:val="00DA52AC"/>
    <w:rsid w:val="00DA65BF"/>
    <w:rsid w:val="00DA73E6"/>
    <w:rsid w:val="00DA75D0"/>
    <w:rsid w:val="00DA793F"/>
    <w:rsid w:val="00DA7BE2"/>
    <w:rsid w:val="00DA7F1D"/>
    <w:rsid w:val="00DB008D"/>
    <w:rsid w:val="00DB01C6"/>
    <w:rsid w:val="00DB0571"/>
    <w:rsid w:val="00DB1EA8"/>
    <w:rsid w:val="00DB2DF0"/>
    <w:rsid w:val="00DB36AB"/>
    <w:rsid w:val="00DB3D35"/>
    <w:rsid w:val="00DB4E9E"/>
    <w:rsid w:val="00DB5B3F"/>
    <w:rsid w:val="00DB5E2A"/>
    <w:rsid w:val="00DB7567"/>
    <w:rsid w:val="00DB7E41"/>
    <w:rsid w:val="00DB7F4A"/>
    <w:rsid w:val="00DC02E5"/>
    <w:rsid w:val="00DC047A"/>
    <w:rsid w:val="00DC07C3"/>
    <w:rsid w:val="00DC1E0D"/>
    <w:rsid w:val="00DC1F66"/>
    <w:rsid w:val="00DC2BEB"/>
    <w:rsid w:val="00DC2CF7"/>
    <w:rsid w:val="00DC2F12"/>
    <w:rsid w:val="00DC36E9"/>
    <w:rsid w:val="00DC3E9D"/>
    <w:rsid w:val="00DC4EFC"/>
    <w:rsid w:val="00DC51C1"/>
    <w:rsid w:val="00DD2EFC"/>
    <w:rsid w:val="00DD3076"/>
    <w:rsid w:val="00DD3530"/>
    <w:rsid w:val="00DD3866"/>
    <w:rsid w:val="00DD3EFC"/>
    <w:rsid w:val="00DD532A"/>
    <w:rsid w:val="00DD56D4"/>
    <w:rsid w:val="00DD5D86"/>
    <w:rsid w:val="00DD670B"/>
    <w:rsid w:val="00DD6A67"/>
    <w:rsid w:val="00DD6B37"/>
    <w:rsid w:val="00DD6CF4"/>
    <w:rsid w:val="00DD6EAB"/>
    <w:rsid w:val="00DD7163"/>
    <w:rsid w:val="00DE0D00"/>
    <w:rsid w:val="00DE2052"/>
    <w:rsid w:val="00DE25E2"/>
    <w:rsid w:val="00DE2A37"/>
    <w:rsid w:val="00DE2F40"/>
    <w:rsid w:val="00DE47FB"/>
    <w:rsid w:val="00DE4C45"/>
    <w:rsid w:val="00DE4E0D"/>
    <w:rsid w:val="00DE4FCB"/>
    <w:rsid w:val="00DE51D2"/>
    <w:rsid w:val="00DE5560"/>
    <w:rsid w:val="00DE5A8E"/>
    <w:rsid w:val="00DE5AD8"/>
    <w:rsid w:val="00DE6612"/>
    <w:rsid w:val="00DE6AF0"/>
    <w:rsid w:val="00DE704D"/>
    <w:rsid w:val="00DE7091"/>
    <w:rsid w:val="00DE7271"/>
    <w:rsid w:val="00DE77FC"/>
    <w:rsid w:val="00DE7FAF"/>
    <w:rsid w:val="00DF07B4"/>
    <w:rsid w:val="00DF0BF8"/>
    <w:rsid w:val="00DF0D87"/>
    <w:rsid w:val="00DF1CD0"/>
    <w:rsid w:val="00DF320E"/>
    <w:rsid w:val="00DF3780"/>
    <w:rsid w:val="00DF509B"/>
    <w:rsid w:val="00DF621C"/>
    <w:rsid w:val="00DF63A4"/>
    <w:rsid w:val="00DF693C"/>
    <w:rsid w:val="00DF6EF9"/>
    <w:rsid w:val="00DF7B76"/>
    <w:rsid w:val="00E0011E"/>
    <w:rsid w:val="00E00863"/>
    <w:rsid w:val="00E00B95"/>
    <w:rsid w:val="00E01543"/>
    <w:rsid w:val="00E0250B"/>
    <w:rsid w:val="00E03E7B"/>
    <w:rsid w:val="00E045F6"/>
    <w:rsid w:val="00E04CD3"/>
    <w:rsid w:val="00E04F95"/>
    <w:rsid w:val="00E058A3"/>
    <w:rsid w:val="00E07578"/>
    <w:rsid w:val="00E0760B"/>
    <w:rsid w:val="00E07D68"/>
    <w:rsid w:val="00E111D9"/>
    <w:rsid w:val="00E119E4"/>
    <w:rsid w:val="00E11DDD"/>
    <w:rsid w:val="00E12004"/>
    <w:rsid w:val="00E1203C"/>
    <w:rsid w:val="00E12555"/>
    <w:rsid w:val="00E12962"/>
    <w:rsid w:val="00E12EE7"/>
    <w:rsid w:val="00E13308"/>
    <w:rsid w:val="00E14155"/>
    <w:rsid w:val="00E14E86"/>
    <w:rsid w:val="00E15B7E"/>
    <w:rsid w:val="00E16DD4"/>
    <w:rsid w:val="00E16E79"/>
    <w:rsid w:val="00E17327"/>
    <w:rsid w:val="00E1766E"/>
    <w:rsid w:val="00E17EA9"/>
    <w:rsid w:val="00E20A54"/>
    <w:rsid w:val="00E211B1"/>
    <w:rsid w:val="00E21967"/>
    <w:rsid w:val="00E23458"/>
    <w:rsid w:val="00E2359A"/>
    <w:rsid w:val="00E236E6"/>
    <w:rsid w:val="00E246EC"/>
    <w:rsid w:val="00E24FE4"/>
    <w:rsid w:val="00E253D9"/>
    <w:rsid w:val="00E26C5E"/>
    <w:rsid w:val="00E26F36"/>
    <w:rsid w:val="00E2751A"/>
    <w:rsid w:val="00E277AC"/>
    <w:rsid w:val="00E301AC"/>
    <w:rsid w:val="00E30309"/>
    <w:rsid w:val="00E309CC"/>
    <w:rsid w:val="00E30A5A"/>
    <w:rsid w:val="00E30A73"/>
    <w:rsid w:val="00E30E21"/>
    <w:rsid w:val="00E31511"/>
    <w:rsid w:val="00E31B75"/>
    <w:rsid w:val="00E32644"/>
    <w:rsid w:val="00E33092"/>
    <w:rsid w:val="00E34404"/>
    <w:rsid w:val="00E3473F"/>
    <w:rsid w:val="00E34CC3"/>
    <w:rsid w:val="00E363CB"/>
    <w:rsid w:val="00E364E2"/>
    <w:rsid w:val="00E366AE"/>
    <w:rsid w:val="00E36A53"/>
    <w:rsid w:val="00E36F72"/>
    <w:rsid w:val="00E370B2"/>
    <w:rsid w:val="00E379C2"/>
    <w:rsid w:val="00E40463"/>
    <w:rsid w:val="00E40D27"/>
    <w:rsid w:val="00E41906"/>
    <w:rsid w:val="00E41AA9"/>
    <w:rsid w:val="00E428C2"/>
    <w:rsid w:val="00E436AC"/>
    <w:rsid w:val="00E44EC2"/>
    <w:rsid w:val="00E45066"/>
    <w:rsid w:val="00E451EC"/>
    <w:rsid w:val="00E4528E"/>
    <w:rsid w:val="00E46A32"/>
    <w:rsid w:val="00E50096"/>
    <w:rsid w:val="00E5101E"/>
    <w:rsid w:val="00E51533"/>
    <w:rsid w:val="00E51612"/>
    <w:rsid w:val="00E53359"/>
    <w:rsid w:val="00E53375"/>
    <w:rsid w:val="00E53539"/>
    <w:rsid w:val="00E53569"/>
    <w:rsid w:val="00E537BE"/>
    <w:rsid w:val="00E53AAD"/>
    <w:rsid w:val="00E54D94"/>
    <w:rsid w:val="00E557E1"/>
    <w:rsid w:val="00E55869"/>
    <w:rsid w:val="00E5635E"/>
    <w:rsid w:val="00E57A9C"/>
    <w:rsid w:val="00E57AD8"/>
    <w:rsid w:val="00E60013"/>
    <w:rsid w:val="00E6159D"/>
    <w:rsid w:val="00E61831"/>
    <w:rsid w:val="00E61B7C"/>
    <w:rsid w:val="00E61E45"/>
    <w:rsid w:val="00E6397C"/>
    <w:rsid w:val="00E63B2D"/>
    <w:rsid w:val="00E63E00"/>
    <w:rsid w:val="00E63E28"/>
    <w:rsid w:val="00E64270"/>
    <w:rsid w:val="00E64FB1"/>
    <w:rsid w:val="00E656AB"/>
    <w:rsid w:val="00E66898"/>
    <w:rsid w:val="00E71684"/>
    <w:rsid w:val="00E71C8C"/>
    <w:rsid w:val="00E720E3"/>
    <w:rsid w:val="00E72775"/>
    <w:rsid w:val="00E74B47"/>
    <w:rsid w:val="00E7540D"/>
    <w:rsid w:val="00E7621A"/>
    <w:rsid w:val="00E763E3"/>
    <w:rsid w:val="00E76846"/>
    <w:rsid w:val="00E76A9B"/>
    <w:rsid w:val="00E76C41"/>
    <w:rsid w:val="00E76E80"/>
    <w:rsid w:val="00E76F6A"/>
    <w:rsid w:val="00E771C7"/>
    <w:rsid w:val="00E772AB"/>
    <w:rsid w:val="00E77389"/>
    <w:rsid w:val="00E806E8"/>
    <w:rsid w:val="00E8071F"/>
    <w:rsid w:val="00E80C11"/>
    <w:rsid w:val="00E81BC4"/>
    <w:rsid w:val="00E82C5F"/>
    <w:rsid w:val="00E83D30"/>
    <w:rsid w:val="00E84014"/>
    <w:rsid w:val="00E842EE"/>
    <w:rsid w:val="00E84774"/>
    <w:rsid w:val="00E855C0"/>
    <w:rsid w:val="00E85CDE"/>
    <w:rsid w:val="00E86584"/>
    <w:rsid w:val="00E86805"/>
    <w:rsid w:val="00E901EE"/>
    <w:rsid w:val="00E90296"/>
    <w:rsid w:val="00E902A8"/>
    <w:rsid w:val="00E9035C"/>
    <w:rsid w:val="00E906F6"/>
    <w:rsid w:val="00E90EAD"/>
    <w:rsid w:val="00E91691"/>
    <w:rsid w:val="00E921BA"/>
    <w:rsid w:val="00E92C95"/>
    <w:rsid w:val="00E93301"/>
    <w:rsid w:val="00E93A2B"/>
    <w:rsid w:val="00E93AB2"/>
    <w:rsid w:val="00E94B9E"/>
    <w:rsid w:val="00E94C47"/>
    <w:rsid w:val="00E95782"/>
    <w:rsid w:val="00E95BA0"/>
    <w:rsid w:val="00E96379"/>
    <w:rsid w:val="00E968FF"/>
    <w:rsid w:val="00E96A38"/>
    <w:rsid w:val="00E97D71"/>
    <w:rsid w:val="00EA0CA6"/>
    <w:rsid w:val="00EA0D23"/>
    <w:rsid w:val="00EA0E4D"/>
    <w:rsid w:val="00EA1021"/>
    <w:rsid w:val="00EA11B9"/>
    <w:rsid w:val="00EA2B85"/>
    <w:rsid w:val="00EA2D11"/>
    <w:rsid w:val="00EA3EA9"/>
    <w:rsid w:val="00EA4614"/>
    <w:rsid w:val="00EA47AC"/>
    <w:rsid w:val="00EA4995"/>
    <w:rsid w:val="00EA5316"/>
    <w:rsid w:val="00EA5B23"/>
    <w:rsid w:val="00EA7A58"/>
    <w:rsid w:val="00EB0A3D"/>
    <w:rsid w:val="00EB1320"/>
    <w:rsid w:val="00EB18EE"/>
    <w:rsid w:val="00EB1915"/>
    <w:rsid w:val="00EB1A55"/>
    <w:rsid w:val="00EB1F7E"/>
    <w:rsid w:val="00EB3A81"/>
    <w:rsid w:val="00EB4133"/>
    <w:rsid w:val="00EB42F2"/>
    <w:rsid w:val="00EB44A9"/>
    <w:rsid w:val="00EB4D88"/>
    <w:rsid w:val="00EB5343"/>
    <w:rsid w:val="00EB6025"/>
    <w:rsid w:val="00EB655A"/>
    <w:rsid w:val="00EB6788"/>
    <w:rsid w:val="00EB6FD6"/>
    <w:rsid w:val="00EB7168"/>
    <w:rsid w:val="00EB73D1"/>
    <w:rsid w:val="00EB74B9"/>
    <w:rsid w:val="00EB7A83"/>
    <w:rsid w:val="00EC00C5"/>
    <w:rsid w:val="00EC0A1B"/>
    <w:rsid w:val="00EC0CD7"/>
    <w:rsid w:val="00EC12DA"/>
    <w:rsid w:val="00EC149F"/>
    <w:rsid w:val="00EC1892"/>
    <w:rsid w:val="00EC1BCC"/>
    <w:rsid w:val="00EC41E0"/>
    <w:rsid w:val="00EC4EE4"/>
    <w:rsid w:val="00EC4F62"/>
    <w:rsid w:val="00EC5D6C"/>
    <w:rsid w:val="00EC620B"/>
    <w:rsid w:val="00EC6555"/>
    <w:rsid w:val="00ED0DB4"/>
    <w:rsid w:val="00ED1072"/>
    <w:rsid w:val="00ED13AE"/>
    <w:rsid w:val="00ED19F4"/>
    <w:rsid w:val="00ED1B40"/>
    <w:rsid w:val="00ED1BE2"/>
    <w:rsid w:val="00ED1D74"/>
    <w:rsid w:val="00ED1E54"/>
    <w:rsid w:val="00ED2C6C"/>
    <w:rsid w:val="00ED2CE6"/>
    <w:rsid w:val="00ED2DB7"/>
    <w:rsid w:val="00ED377B"/>
    <w:rsid w:val="00ED40BD"/>
    <w:rsid w:val="00ED4443"/>
    <w:rsid w:val="00ED469D"/>
    <w:rsid w:val="00ED54BC"/>
    <w:rsid w:val="00ED5840"/>
    <w:rsid w:val="00ED5854"/>
    <w:rsid w:val="00ED58D1"/>
    <w:rsid w:val="00ED5D35"/>
    <w:rsid w:val="00ED5FAB"/>
    <w:rsid w:val="00ED6DA3"/>
    <w:rsid w:val="00ED74C7"/>
    <w:rsid w:val="00ED7EB1"/>
    <w:rsid w:val="00ED7FB2"/>
    <w:rsid w:val="00EE1052"/>
    <w:rsid w:val="00EE1493"/>
    <w:rsid w:val="00EE1BED"/>
    <w:rsid w:val="00EE2615"/>
    <w:rsid w:val="00EE266F"/>
    <w:rsid w:val="00EE27D9"/>
    <w:rsid w:val="00EE28A2"/>
    <w:rsid w:val="00EE2EC0"/>
    <w:rsid w:val="00EE537E"/>
    <w:rsid w:val="00EE72C9"/>
    <w:rsid w:val="00EE75F2"/>
    <w:rsid w:val="00EF038F"/>
    <w:rsid w:val="00EF0925"/>
    <w:rsid w:val="00EF0D01"/>
    <w:rsid w:val="00EF1997"/>
    <w:rsid w:val="00EF23F6"/>
    <w:rsid w:val="00EF4886"/>
    <w:rsid w:val="00EF4B67"/>
    <w:rsid w:val="00EF4D20"/>
    <w:rsid w:val="00EF5045"/>
    <w:rsid w:val="00EF50BA"/>
    <w:rsid w:val="00EF586C"/>
    <w:rsid w:val="00EF5C4B"/>
    <w:rsid w:val="00EF7254"/>
    <w:rsid w:val="00EF74D6"/>
    <w:rsid w:val="00EF7608"/>
    <w:rsid w:val="00EF7638"/>
    <w:rsid w:val="00EF7F8E"/>
    <w:rsid w:val="00F0108B"/>
    <w:rsid w:val="00F01155"/>
    <w:rsid w:val="00F01657"/>
    <w:rsid w:val="00F024EC"/>
    <w:rsid w:val="00F02948"/>
    <w:rsid w:val="00F030CD"/>
    <w:rsid w:val="00F035C3"/>
    <w:rsid w:val="00F0449B"/>
    <w:rsid w:val="00F048C7"/>
    <w:rsid w:val="00F04A09"/>
    <w:rsid w:val="00F0581C"/>
    <w:rsid w:val="00F05CD2"/>
    <w:rsid w:val="00F06B6C"/>
    <w:rsid w:val="00F07402"/>
    <w:rsid w:val="00F0755E"/>
    <w:rsid w:val="00F076E3"/>
    <w:rsid w:val="00F1022F"/>
    <w:rsid w:val="00F10F10"/>
    <w:rsid w:val="00F119D7"/>
    <w:rsid w:val="00F11B94"/>
    <w:rsid w:val="00F11CC7"/>
    <w:rsid w:val="00F147D1"/>
    <w:rsid w:val="00F14DD6"/>
    <w:rsid w:val="00F15ED7"/>
    <w:rsid w:val="00F168AE"/>
    <w:rsid w:val="00F16F4B"/>
    <w:rsid w:val="00F17388"/>
    <w:rsid w:val="00F2022C"/>
    <w:rsid w:val="00F2112D"/>
    <w:rsid w:val="00F213AE"/>
    <w:rsid w:val="00F21623"/>
    <w:rsid w:val="00F2218A"/>
    <w:rsid w:val="00F2258F"/>
    <w:rsid w:val="00F226B3"/>
    <w:rsid w:val="00F226FE"/>
    <w:rsid w:val="00F229D2"/>
    <w:rsid w:val="00F23435"/>
    <w:rsid w:val="00F237E7"/>
    <w:rsid w:val="00F25ABD"/>
    <w:rsid w:val="00F25D36"/>
    <w:rsid w:val="00F26410"/>
    <w:rsid w:val="00F273EB"/>
    <w:rsid w:val="00F27484"/>
    <w:rsid w:val="00F27B26"/>
    <w:rsid w:val="00F30C65"/>
    <w:rsid w:val="00F30DE0"/>
    <w:rsid w:val="00F30E1C"/>
    <w:rsid w:val="00F31A3B"/>
    <w:rsid w:val="00F326E0"/>
    <w:rsid w:val="00F3278B"/>
    <w:rsid w:val="00F32B7D"/>
    <w:rsid w:val="00F32F7E"/>
    <w:rsid w:val="00F33AB3"/>
    <w:rsid w:val="00F33D29"/>
    <w:rsid w:val="00F33FDA"/>
    <w:rsid w:val="00F34242"/>
    <w:rsid w:val="00F343D1"/>
    <w:rsid w:val="00F3447D"/>
    <w:rsid w:val="00F34483"/>
    <w:rsid w:val="00F34A04"/>
    <w:rsid w:val="00F35EE9"/>
    <w:rsid w:val="00F36E67"/>
    <w:rsid w:val="00F379AC"/>
    <w:rsid w:val="00F40041"/>
    <w:rsid w:val="00F421F6"/>
    <w:rsid w:val="00F43116"/>
    <w:rsid w:val="00F43231"/>
    <w:rsid w:val="00F43F02"/>
    <w:rsid w:val="00F44838"/>
    <w:rsid w:val="00F45FDB"/>
    <w:rsid w:val="00F47E48"/>
    <w:rsid w:val="00F50448"/>
    <w:rsid w:val="00F50557"/>
    <w:rsid w:val="00F50D50"/>
    <w:rsid w:val="00F519D8"/>
    <w:rsid w:val="00F52334"/>
    <w:rsid w:val="00F525D4"/>
    <w:rsid w:val="00F5269C"/>
    <w:rsid w:val="00F53251"/>
    <w:rsid w:val="00F53513"/>
    <w:rsid w:val="00F53AEF"/>
    <w:rsid w:val="00F540BF"/>
    <w:rsid w:val="00F54214"/>
    <w:rsid w:val="00F547AA"/>
    <w:rsid w:val="00F54ADC"/>
    <w:rsid w:val="00F54FC3"/>
    <w:rsid w:val="00F55052"/>
    <w:rsid w:val="00F563F3"/>
    <w:rsid w:val="00F564ED"/>
    <w:rsid w:val="00F56C64"/>
    <w:rsid w:val="00F571F4"/>
    <w:rsid w:val="00F5744A"/>
    <w:rsid w:val="00F579A2"/>
    <w:rsid w:val="00F57A3C"/>
    <w:rsid w:val="00F57C45"/>
    <w:rsid w:val="00F57F2E"/>
    <w:rsid w:val="00F6242D"/>
    <w:rsid w:val="00F624CA"/>
    <w:rsid w:val="00F63919"/>
    <w:rsid w:val="00F6391B"/>
    <w:rsid w:val="00F646F7"/>
    <w:rsid w:val="00F649EB"/>
    <w:rsid w:val="00F64D6A"/>
    <w:rsid w:val="00F6577D"/>
    <w:rsid w:val="00F6620D"/>
    <w:rsid w:val="00F662DB"/>
    <w:rsid w:val="00F663EA"/>
    <w:rsid w:val="00F664F1"/>
    <w:rsid w:val="00F6666D"/>
    <w:rsid w:val="00F67544"/>
    <w:rsid w:val="00F70527"/>
    <w:rsid w:val="00F711E7"/>
    <w:rsid w:val="00F71410"/>
    <w:rsid w:val="00F715B0"/>
    <w:rsid w:val="00F7229A"/>
    <w:rsid w:val="00F72BB4"/>
    <w:rsid w:val="00F72BE7"/>
    <w:rsid w:val="00F73029"/>
    <w:rsid w:val="00F742D2"/>
    <w:rsid w:val="00F74589"/>
    <w:rsid w:val="00F75149"/>
    <w:rsid w:val="00F752FB"/>
    <w:rsid w:val="00F754AA"/>
    <w:rsid w:val="00F75734"/>
    <w:rsid w:val="00F75C44"/>
    <w:rsid w:val="00F75F60"/>
    <w:rsid w:val="00F7631D"/>
    <w:rsid w:val="00F764C6"/>
    <w:rsid w:val="00F77112"/>
    <w:rsid w:val="00F774EA"/>
    <w:rsid w:val="00F8038C"/>
    <w:rsid w:val="00F80F56"/>
    <w:rsid w:val="00F81747"/>
    <w:rsid w:val="00F81FC3"/>
    <w:rsid w:val="00F8217D"/>
    <w:rsid w:val="00F827E5"/>
    <w:rsid w:val="00F83EA3"/>
    <w:rsid w:val="00F84722"/>
    <w:rsid w:val="00F85449"/>
    <w:rsid w:val="00F862B9"/>
    <w:rsid w:val="00F86C37"/>
    <w:rsid w:val="00F871C0"/>
    <w:rsid w:val="00F87236"/>
    <w:rsid w:val="00F87F6E"/>
    <w:rsid w:val="00F90079"/>
    <w:rsid w:val="00F906E9"/>
    <w:rsid w:val="00F908F1"/>
    <w:rsid w:val="00F911FD"/>
    <w:rsid w:val="00F91897"/>
    <w:rsid w:val="00F91B2E"/>
    <w:rsid w:val="00F91C4C"/>
    <w:rsid w:val="00F92D80"/>
    <w:rsid w:val="00F93053"/>
    <w:rsid w:val="00F931E7"/>
    <w:rsid w:val="00F93715"/>
    <w:rsid w:val="00F93720"/>
    <w:rsid w:val="00F9473F"/>
    <w:rsid w:val="00F94906"/>
    <w:rsid w:val="00F94B24"/>
    <w:rsid w:val="00F95038"/>
    <w:rsid w:val="00F9640B"/>
    <w:rsid w:val="00F97349"/>
    <w:rsid w:val="00FA0645"/>
    <w:rsid w:val="00FA064C"/>
    <w:rsid w:val="00FA1281"/>
    <w:rsid w:val="00FA1447"/>
    <w:rsid w:val="00FA1D26"/>
    <w:rsid w:val="00FA252F"/>
    <w:rsid w:val="00FA2887"/>
    <w:rsid w:val="00FA2FA5"/>
    <w:rsid w:val="00FA31C3"/>
    <w:rsid w:val="00FA353A"/>
    <w:rsid w:val="00FA3AE6"/>
    <w:rsid w:val="00FA3C22"/>
    <w:rsid w:val="00FA43B2"/>
    <w:rsid w:val="00FA49F2"/>
    <w:rsid w:val="00FA52AA"/>
    <w:rsid w:val="00FA5A8C"/>
    <w:rsid w:val="00FA5CD4"/>
    <w:rsid w:val="00FA677E"/>
    <w:rsid w:val="00FA6BE5"/>
    <w:rsid w:val="00FA6C0D"/>
    <w:rsid w:val="00FA6CA5"/>
    <w:rsid w:val="00FA6DE0"/>
    <w:rsid w:val="00FA6E57"/>
    <w:rsid w:val="00FA7853"/>
    <w:rsid w:val="00FA7B40"/>
    <w:rsid w:val="00FB0374"/>
    <w:rsid w:val="00FB08CE"/>
    <w:rsid w:val="00FB0CAA"/>
    <w:rsid w:val="00FB0E4F"/>
    <w:rsid w:val="00FB100B"/>
    <w:rsid w:val="00FB126A"/>
    <w:rsid w:val="00FB14FF"/>
    <w:rsid w:val="00FB1ECA"/>
    <w:rsid w:val="00FB20D4"/>
    <w:rsid w:val="00FB2471"/>
    <w:rsid w:val="00FB29BA"/>
    <w:rsid w:val="00FB2EEC"/>
    <w:rsid w:val="00FB419F"/>
    <w:rsid w:val="00FB5140"/>
    <w:rsid w:val="00FB54BA"/>
    <w:rsid w:val="00FB599B"/>
    <w:rsid w:val="00FB5BA9"/>
    <w:rsid w:val="00FB5BD2"/>
    <w:rsid w:val="00FB5E05"/>
    <w:rsid w:val="00FB7460"/>
    <w:rsid w:val="00FC0393"/>
    <w:rsid w:val="00FC03D2"/>
    <w:rsid w:val="00FC09CE"/>
    <w:rsid w:val="00FC0B61"/>
    <w:rsid w:val="00FC118D"/>
    <w:rsid w:val="00FC14F3"/>
    <w:rsid w:val="00FC410D"/>
    <w:rsid w:val="00FC4E56"/>
    <w:rsid w:val="00FC562B"/>
    <w:rsid w:val="00FC5EA5"/>
    <w:rsid w:val="00FC69B0"/>
    <w:rsid w:val="00FC6B03"/>
    <w:rsid w:val="00FC6B15"/>
    <w:rsid w:val="00FC726F"/>
    <w:rsid w:val="00FC77C5"/>
    <w:rsid w:val="00FD0325"/>
    <w:rsid w:val="00FD0BB8"/>
    <w:rsid w:val="00FD160C"/>
    <w:rsid w:val="00FD277B"/>
    <w:rsid w:val="00FD29D5"/>
    <w:rsid w:val="00FD473C"/>
    <w:rsid w:val="00FD506F"/>
    <w:rsid w:val="00FD51CB"/>
    <w:rsid w:val="00FD5346"/>
    <w:rsid w:val="00FD6209"/>
    <w:rsid w:val="00FD6519"/>
    <w:rsid w:val="00FD719A"/>
    <w:rsid w:val="00FE004E"/>
    <w:rsid w:val="00FE01A5"/>
    <w:rsid w:val="00FE0B4E"/>
    <w:rsid w:val="00FE1118"/>
    <w:rsid w:val="00FE12BE"/>
    <w:rsid w:val="00FE1311"/>
    <w:rsid w:val="00FE1B45"/>
    <w:rsid w:val="00FE2118"/>
    <w:rsid w:val="00FE24A1"/>
    <w:rsid w:val="00FE3B69"/>
    <w:rsid w:val="00FE3C67"/>
    <w:rsid w:val="00FE3FC5"/>
    <w:rsid w:val="00FE4C5C"/>
    <w:rsid w:val="00FE4E8C"/>
    <w:rsid w:val="00FE6049"/>
    <w:rsid w:val="00FE635F"/>
    <w:rsid w:val="00FE78F1"/>
    <w:rsid w:val="00FE7C55"/>
    <w:rsid w:val="00FF07D5"/>
    <w:rsid w:val="00FF0B76"/>
    <w:rsid w:val="00FF0BDA"/>
    <w:rsid w:val="00FF0DB1"/>
    <w:rsid w:val="00FF117C"/>
    <w:rsid w:val="00FF1328"/>
    <w:rsid w:val="00FF1951"/>
    <w:rsid w:val="00FF2EB5"/>
    <w:rsid w:val="00FF2FE5"/>
    <w:rsid w:val="00FF3058"/>
    <w:rsid w:val="00FF33BE"/>
    <w:rsid w:val="00FF33DF"/>
    <w:rsid w:val="00FF376D"/>
    <w:rsid w:val="00FF4214"/>
    <w:rsid w:val="00FF4246"/>
    <w:rsid w:val="00FF5114"/>
    <w:rsid w:val="00FF52FA"/>
    <w:rsid w:val="00FF6093"/>
    <w:rsid w:val="00FF60C6"/>
    <w:rsid w:val="00FF61D8"/>
    <w:rsid w:val="00FF7529"/>
    <w:rsid w:val="00FF783D"/>
    <w:rsid w:val="00FF7A9E"/>
  </w:rsids>
  <m:mathPr>
    <m:mathFont m:val="Cambria Math"/>
    <m:brkBin m:val="before"/>
    <m:brkBinSub m:val="--"/>
    <m:smallFrac/>
    <m:dispDef/>
    <m:lMargin m:val="0"/>
    <m:rMargin m:val="0"/>
    <m:defJc m:val="centerGroup"/>
    <m:wrapIndent m:val="1440"/>
    <m:intLim m:val="subSup"/>
    <m:naryLim m:val="undOvr"/>
  </m:mathPr>
  <w:themeFontLang w:val="en-US" w:eastAsia="ko-KR"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1EE78"/>
  <w15:docId w15:val="{A9EB474D-CE13-4A0B-AF72-D2A27FA4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1B4"/>
    <w:pPr>
      <w:ind w:right="-360"/>
    </w:pPr>
    <w:rPr>
      <w:sz w:val="24"/>
      <w:szCs w:val="24"/>
    </w:rPr>
  </w:style>
  <w:style w:type="paragraph" w:styleId="Heading1">
    <w:name w:val="heading 1"/>
    <w:basedOn w:val="Normal"/>
    <w:next w:val="Normal"/>
    <w:link w:val="Heading1Char"/>
    <w:uiPriority w:val="9"/>
    <w:qFormat/>
    <w:rsid w:val="00B864C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unhideWhenUsed/>
    <w:qFormat/>
    <w:rsid w:val="005369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C7D36"/>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36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6F36F7"/>
    <w:pPr>
      <w:spacing w:before="100" w:beforeAutospacing="1" w:after="100" w:afterAutospacing="1"/>
      <w:ind w:right="0"/>
    </w:pPr>
    <w:rPr>
      <w:rFonts w:eastAsia="Times New Roman"/>
    </w:rPr>
  </w:style>
  <w:style w:type="character" w:styleId="Hyperlink">
    <w:name w:val="Hyperlink"/>
    <w:uiPriority w:val="99"/>
    <w:unhideWhenUsed/>
    <w:rsid w:val="006F36F7"/>
    <w:rPr>
      <w:color w:val="0000FF"/>
      <w:u w:val="single"/>
    </w:rPr>
  </w:style>
  <w:style w:type="character" w:styleId="CommentReference">
    <w:name w:val="annotation reference"/>
    <w:unhideWhenUsed/>
    <w:rsid w:val="00333FD4"/>
    <w:rPr>
      <w:sz w:val="16"/>
      <w:szCs w:val="16"/>
    </w:rPr>
  </w:style>
  <w:style w:type="paragraph" w:styleId="CommentText">
    <w:name w:val="annotation text"/>
    <w:basedOn w:val="Normal"/>
    <w:link w:val="CommentTextChar"/>
    <w:unhideWhenUsed/>
    <w:rsid w:val="00333FD4"/>
    <w:pPr>
      <w:ind w:right="0"/>
      <w:jc w:val="center"/>
    </w:pPr>
    <w:rPr>
      <w:rFonts w:eastAsia="Arial"/>
      <w:sz w:val="20"/>
      <w:szCs w:val="20"/>
      <w:lang w:val="x-none" w:eastAsia="x-none"/>
    </w:rPr>
  </w:style>
  <w:style w:type="character" w:customStyle="1" w:styleId="CommentTextChar">
    <w:name w:val="Comment Text Char"/>
    <w:link w:val="CommentText"/>
    <w:rsid w:val="00333FD4"/>
    <w:rPr>
      <w:rFonts w:ascii="Times New Roman" w:eastAsia="Arial" w:hAnsi="Times New Roman" w:cs="Times New Roman"/>
      <w:sz w:val="20"/>
      <w:szCs w:val="20"/>
    </w:rPr>
  </w:style>
  <w:style w:type="paragraph" w:styleId="BalloonText">
    <w:name w:val="Balloon Text"/>
    <w:basedOn w:val="Normal"/>
    <w:link w:val="BalloonTextChar"/>
    <w:uiPriority w:val="99"/>
    <w:semiHidden/>
    <w:unhideWhenUsed/>
    <w:rsid w:val="00333FD4"/>
    <w:rPr>
      <w:rFonts w:ascii="Tahoma" w:hAnsi="Tahoma"/>
      <w:sz w:val="16"/>
      <w:szCs w:val="16"/>
      <w:lang w:val="x-none" w:eastAsia="x-none"/>
    </w:rPr>
  </w:style>
  <w:style w:type="character" w:customStyle="1" w:styleId="BalloonTextChar">
    <w:name w:val="Balloon Text Char"/>
    <w:link w:val="BalloonText"/>
    <w:uiPriority w:val="99"/>
    <w:semiHidden/>
    <w:rsid w:val="00333FD4"/>
    <w:rPr>
      <w:rFonts w:ascii="Tahoma" w:hAnsi="Tahoma" w:cs="Tahoma"/>
      <w:sz w:val="16"/>
      <w:szCs w:val="16"/>
    </w:rPr>
  </w:style>
  <w:style w:type="paragraph" w:styleId="ListParagraph">
    <w:name w:val="List Paragraph"/>
    <w:basedOn w:val="Normal"/>
    <w:uiPriority w:val="34"/>
    <w:qFormat/>
    <w:rsid w:val="00E763E3"/>
    <w:pPr>
      <w:ind w:left="720"/>
      <w:contextualSpacing/>
    </w:pPr>
  </w:style>
  <w:style w:type="paragraph" w:styleId="Header">
    <w:name w:val="header"/>
    <w:basedOn w:val="Normal"/>
    <w:link w:val="HeaderChar"/>
    <w:uiPriority w:val="99"/>
    <w:unhideWhenUsed/>
    <w:rsid w:val="006B3B68"/>
    <w:pPr>
      <w:tabs>
        <w:tab w:val="center" w:pos="4680"/>
        <w:tab w:val="right" w:pos="9360"/>
      </w:tabs>
    </w:pPr>
  </w:style>
  <w:style w:type="character" w:customStyle="1" w:styleId="HeaderChar">
    <w:name w:val="Header Char"/>
    <w:basedOn w:val="DefaultParagraphFont"/>
    <w:link w:val="Header"/>
    <w:uiPriority w:val="99"/>
    <w:rsid w:val="006B3B68"/>
  </w:style>
  <w:style w:type="paragraph" w:styleId="Footer">
    <w:name w:val="footer"/>
    <w:basedOn w:val="Normal"/>
    <w:link w:val="FooterChar"/>
    <w:uiPriority w:val="99"/>
    <w:unhideWhenUsed/>
    <w:rsid w:val="006B3B68"/>
    <w:pPr>
      <w:tabs>
        <w:tab w:val="center" w:pos="4680"/>
        <w:tab w:val="right" w:pos="9360"/>
      </w:tabs>
    </w:pPr>
  </w:style>
  <w:style w:type="character" w:customStyle="1" w:styleId="FooterChar">
    <w:name w:val="Footer Char"/>
    <w:basedOn w:val="DefaultParagraphFont"/>
    <w:link w:val="Footer"/>
    <w:uiPriority w:val="99"/>
    <w:rsid w:val="006B3B68"/>
  </w:style>
  <w:style w:type="paragraph" w:customStyle="1" w:styleId="Num-DocParagraph">
    <w:name w:val="Num-Doc Paragraph"/>
    <w:basedOn w:val="BodyText"/>
    <w:rsid w:val="001F60E2"/>
    <w:pPr>
      <w:tabs>
        <w:tab w:val="left" w:pos="850"/>
        <w:tab w:val="left" w:pos="1191"/>
        <w:tab w:val="left" w:pos="1531"/>
      </w:tabs>
      <w:spacing w:after="240"/>
      <w:ind w:right="0"/>
      <w:jc w:val="both"/>
    </w:pPr>
    <w:rPr>
      <w:rFonts w:eastAsia="Times New Roman"/>
      <w:lang w:val="en-GB" w:eastAsia="zh-CN"/>
    </w:rPr>
  </w:style>
  <w:style w:type="paragraph" w:styleId="BodyText">
    <w:name w:val="Body Text"/>
    <w:basedOn w:val="Normal"/>
    <w:link w:val="BodyTextChar"/>
    <w:uiPriority w:val="99"/>
    <w:semiHidden/>
    <w:unhideWhenUsed/>
    <w:rsid w:val="001F60E2"/>
    <w:pPr>
      <w:spacing w:after="120"/>
    </w:pPr>
  </w:style>
  <w:style w:type="character" w:customStyle="1" w:styleId="BodyTextChar">
    <w:name w:val="Body Text Char"/>
    <w:basedOn w:val="DefaultParagraphFont"/>
    <w:link w:val="BodyText"/>
    <w:uiPriority w:val="99"/>
    <w:semiHidden/>
    <w:rsid w:val="001F60E2"/>
  </w:style>
  <w:style w:type="paragraph" w:styleId="CommentSubject">
    <w:name w:val="annotation subject"/>
    <w:basedOn w:val="CommentText"/>
    <w:next w:val="CommentText"/>
    <w:link w:val="CommentSubjectChar"/>
    <w:uiPriority w:val="99"/>
    <w:semiHidden/>
    <w:unhideWhenUsed/>
    <w:rsid w:val="00775293"/>
    <w:pPr>
      <w:ind w:right="-360"/>
      <w:jc w:val="left"/>
    </w:pPr>
    <w:rPr>
      <w:rFonts w:eastAsia="Calibri"/>
      <w:b/>
      <w:bCs/>
      <w:lang w:val="en-US" w:eastAsia="en-US"/>
    </w:rPr>
  </w:style>
  <w:style w:type="character" w:customStyle="1" w:styleId="CommentSubjectChar">
    <w:name w:val="Comment Subject Char"/>
    <w:link w:val="CommentSubject"/>
    <w:uiPriority w:val="99"/>
    <w:semiHidden/>
    <w:rsid w:val="00775293"/>
    <w:rPr>
      <w:rFonts w:ascii="Times New Roman" w:eastAsia="Arial" w:hAnsi="Times New Roman" w:cs="Times New Roman"/>
      <w:b/>
      <w:bCs/>
      <w:sz w:val="20"/>
      <w:szCs w:val="20"/>
    </w:rPr>
  </w:style>
  <w:style w:type="paragraph" w:styleId="FootnoteText">
    <w:name w:val="footnote text"/>
    <w:basedOn w:val="Normal"/>
    <w:link w:val="FootnoteTextChar"/>
    <w:uiPriority w:val="99"/>
    <w:semiHidden/>
    <w:unhideWhenUsed/>
    <w:rsid w:val="000907FD"/>
    <w:rPr>
      <w:sz w:val="20"/>
      <w:szCs w:val="20"/>
    </w:rPr>
  </w:style>
  <w:style w:type="character" w:customStyle="1" w:styleId="FootnoteTextChar">
    <w:name w:val="Footnote Text Char"/>
    <w:basedOn w:val="DefaultParagraphFont"/>
    <w:link w:val="FootnoteText"/>
    <w:uiPriority w:val="99"/>
    <w:semiHidden/>
    <w:rsid w:val="000907FD"/>
  </w:style>
  <w:style w:type="character" w:styleId="FootnoteReference">
    <w:name w:val="footnote reference"/>
    <w:uiPriority w:val="99"/>
    <w:unhideWhenUsed/>
    <w:rsid w:val="000907FD"/>
    <w:rPr>
      <w:vertAlign w:val="superscript"/>
    </w:rPr>
  </w:style>
  <w:style w:type="character" w:styleId="EndnoteReference">
    <w:name w:val="endnote reference"/>
    <w:uiPriority w:val="99"/>
    <w:semiHidden/>
    <w:unhideWhenUsed/>
    <w:rsid w:val="000907FD"/>
    <w:rPr>
      <w:vertAlign w:val="superscript"/>
    </w:rPr>
  </w:style>
  <w:style w:type="character" w:customStyle="1" w:styleId="Heading3Char">
    <w:name w:val="Heading 3 Char"/>
    <w:link w:val="Heading3"/>
    <w:uiPriority w:val="9"/>
    <w:rsid w:val="003C7D36"/>
    <w:rPr>
      <w:rFonts w:ascii="Calibri Light" w:eastAsia="Times New Roman" w:hAnsi="Calibri Light" w:cs="Times New Roman"/>
      <w:b/>
      <w:bCs/>
      <w:sz w:val="26"/>
      <w:szCs w:val="26"/>
    </w:rPr>
  </w:style>
  <w:style w:type="character" w:customStyle="1" w:styleId="Heading2Char">
    <w:name w:val="Heading 2 Char"/>
    <w:basedOn w:val="DefaultParagraphFont"/>
    <w:link w:val="Heading2"/>
    <w:uiPriority w:val="99"/>
    <w:rsid w:val="005369E4"/>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5369E4"/>
  </w:style>
  <w:style w:type="table" w:customStyle="1" w:styleId="TableGrid1">
    <w:name w:val="Table Grid1"/>
    <w:basedOn w:val="TableNormal"/>
    <w:next w:val="TableGrid"/>
    <w:uiPriority w:val="39"/>
    <w:rsid w:val="005369E4"/>
    <w:pPr>
      <w:jc w:val="both"/>
    </w:pPr>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65EF4"/>
    <w:rPr>
      <w:sz w:val="24"/>
      <w:szCs w:val="24"/>
    </w:rPr>
  </w:style>
  <w:style w:type="character" w:customStyle="1" w:styleId="NormalWebChar">
    <w:name w:val="Normal (Web) Char"/>
    <w:link w:val="NormalWeb"/>
    <w:uiPriority w:val="99"/>
    <w:locked/>
    <w:rsid w:val="00C93CAA"/>
    <w:rPr>
      <w:rFonts w:eastAsia="Times New Roman"/>
      <w:sz w:val="24"/>
      <w:szCs w:val="24"/>
    </w:rPr>
  </w:style>
  <w:style w:type="paragraph" w:customStyle="1" w:styleId="Noidung">
    <w:name w:val="Noi dung"/>
    <w:basedOn w:val="Normal"/>
    <w:link w:val="NoidungChar"/>
    <w:qFormat/>
    <w:rsid w:val="00FA252F"/>
    <w:pPr>
      <w:spacing w:before="120" w:after="120"/>
      <w:ind w:right="0" w:firstLine="720"/>
      <w:jc w:val="both"/>
    </w:pPr>
    <w:rPr>
      <w:sz w:val="28"/>
      <w:szCs w:val="22"/>
    </w:rPr>
  </w:style>
  <w:style w:type="character" w:customStyle="1" w:styleId="NoidungChar">
    <w:name w:val="Noi dung Char"/>
    <w:link w:val="Noidung"/>
    <w:rsid w:val="00FA252F"/>
    <w:rPr>
      <w:sz w:val="28"/>
      <w:szCs w:val="22"/>
    </w:rPr>
  </w:style>
  <w:style w:type="character" w:customStyle="1" w:styleId="normal-h1">
    <w:name w:val="normal-h1"/>
    <w:rsid w:val="002E38C9"/>
    <w:rPr>
      <w:rFonts w:ascii="Times New Roman" w:hAnsi="Times New Roman" w:cs="Times New Roman" w:hint="default"/>
      <w:sz w:val="28"/>
      <w:szCs w:val="28"/>
    </w:rPr>
  </w:style>
  <w:style w:type="character" w:customStyle="1" w:styleId="Heading1Char">
    <w:name w:val="Heading 1 Char"/>
    <w:basedOn w:val="DefaultParagraphFont"/>
    <w:link w:val="Heading1"/>
    <w:uiPriority w:val="9"/>
    <w:rsid w:val="00B864CF"/>
    <w:rPr>
      <w:rFonts w:asciiTheme="majorHAnsi" w:eastAsiaTheme="majorEastAsia" w:hAnsiTheme="majorHAnsi" w:cstheme="majorBidi"/>
      <w:color w:val="2E74B5" w:themeColor="accent1" w:themeShade="BF"/>
      <w:sz w:val="32"/>
      <w:szCs w:val="32"/>
    </w:rPr>
  </w:style>
  <w:style w:type="character" w:customStyle="1" w:styleId="BodyTextChar1">
    <w:name w:val="Body Text Char1"/>
    <w:uiPriority w:val="99"/>
    <w:rsid w:val="00F0755E"/>
    <w:rPr>
      <w:rFonts w:ascii="Times New Roman" w:hAnsi="Times New Roman" w:cs="Times New Roman"/>
      <w:color w:val="1D1A25"/>
      <w:sz w:val="26"/>
      <w:szCs w:val="26"/>
      <w:shd w:val="clear" w:color="auto" w:fill="FFFFFF"/>
    </w:rPr>
  </w:style>
  <w:style w:type="character" w:styleId="Emphasis">
    <w:name w:val="Emphasis"/>
    <w:uiPriority w:val="20"/>
    <w:qFormat/>
    <w:rsid w:val="00FC726F"/>
    <w:rPr>
      <w:i/>
      <w:iCs/>
    </w:rPr>
  </w:style>
  <w:style w:type="character" w:customStyle="1" w:styleId="demuc4">
    <w:name w:val="demuc4"/>
    <w:basedOn w:val="DefaultParagraphFont"/>
    <w:rsid w:val="00CF0F72"/>
  </w:style>
  <w:style w:type="character" w:styleId="PlaceholderText">
    <w:name w:val="Placeholder Text"/>
    <w:basedOn w:val="DefaultParagraphFont"/>
    <w:uiPriority w:val="99"/>
    <w:semiHidden/>
    <w:rsid w:val="002505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516">
      <w:bodyDiv w:val="1"/>
      <w:marLeft w:val="0"/>
      <w:marRight w:val="0"/>
      <w:marTop w:val="0"/>
      <w:marBottom w:val="0"/>
      <w:divBdr>
        <w:top w:val="none" w:sz="0" w:space="0" w:color="auto"/>
        <w:left w:val="none" w:sz="0" w:space="0" w:color="auto"/>
        <w:bottom w:val="none" w:sz="0" w:space="0" w:color="auto"/>
        <w:right w:val="none" w:sz="0" w:space="0" w:color="auto"/>
      </w:divBdr>
    </w:div>
    <w:div w:id="20474068">
      <w:bodyDiv w:val="1"/>
      <w:marLeft w:val="0"/>
      <w:marRight w:val="0"/>
      <w:marTop w:val="0"/>
      <w:marBottom w:val="0"/>
      <w:divBdr>
        <w:top w:val="none" w:sz="0" w:space="0" w:color="auto"/>
        <w:left w:val="none" w:sz="0" w:space="0" w:color="auto"/>
        <w:bottom w:val="none" w:sz="0" w:space="0" w:color="auto"/>
        <w:right w:val="none" w:sz="0" w:space="0" w:color="auto"/>
      </w:divBdr>
    </w:div>
    <w:div w:id="32003436">
      <w:bodyDiv w:val="1"/>
      <w:marLeft w:val="0"/>
      <w:marRight w:val="0"/>
      <w:marTop w:val="0"/>
      <w:marBottom w:val="0"/>
      <w:divBdr>
        <w:top w:val="none" w:sz="0" w:space="0" w:color="auto"/>
        <w:left w:val="none" w:sz="0" w:space="0" w:color="auto"/>
        <w:bottom w:val="none" w:sz="0" w:space="0" w:color="auto"/>
        <w:right w:val="none" w:sz="0" w:space="0" w:color="auto"/>
      </w:divBdr>
    </w:div>
    <w:div w:id="44647456">
      <w:bodyDiv w:val="1"/>
      <w:marLeft w:val="0"/>
      <w:marRight w:val="0"/>
      <w:marTop w:val="0"/>
      <w:marBottom w:val="0"/>
      <w:divBdr>
        <w:top w:val="none" w:sz="0" w:space="0" w:color="auto"/>
        <w:left w:val="none" w:sz="0" w:space="0" w:color="auto"/>
        <w:bottom w:val="none" w:sz="0" w:space="0" w:color="auto"/>
        <w:right w:val="none" w:sz="0" w:space="0" w:color="auto"/>
      </w:divBdr>
    </w:div>
    <w:div w:id="113451181">
      <w:bodyDiv w:val="1"/>
      <w:marLeft w:val="0"/>
      <w:marRight w:val="0"/>
      <w:marTop w:val="0"/>
      <w:marBottom w:val="0"/>
      <w:divBdr>
        <w:top w:val="none" w:sz="0" w:space="0" w:color="auto"/>
        <w:left w:val="none" w:sz="0" w:space="0" w:color="auto"/>
        <w:bottom w:val="none" w:sz="0" w:space="0" w:color="auto"/>
        <w:right w:val="none" w:sz="0" w:space="0" w:color="auto"/>
      </w:divBdr>
    </w:div>
    <w:div w:id="141385720">
      <w:bodyDiv w:val="1"/>
      <w:marLeft w:val="0"/>
      <w:marRight w:val="0"/>
      <w:marTop w:val="0"/>
      <w:marBottom w:val="0"/>
      <w:divBdr>
        <w:top w:val="none" w:sz="0" w:space="0" w:color="auto"/>
        <w:left w:val="none" w:sz="0" w:space="0" w:color="auto"/>
        <w:bottom w:val="none" w:sz="0" w:space="0" w:color="auto"/>
        <w:right w:val="none" w:sz="0" w:space="0" w:color="auto"/>
      </w:divBdr>
    </w:div>
    <w:div w:id="148787643">
      <w:bodyDiv w:val="1"/>
      <w:marLeft w:val="0"/>
      <w:marRight w:val="0"/>
      <w:marTop w:val="0"/>
      <w:marBottom w:val="0"/>
      <w:divBdr>
        <w:top w:val="none" w:sz="0" w:space="0" w:color="auto"/>
        <w:left w:val="none" w:sz="0" w:space="0" w:color="auto"/>
        <w:bottom w:val="none" w:sz="0" w:space="0" w:color="auto"/>
        <w:right w:val="none" w:sz="0" w:space="0" w:color="auto"/>
      </w:divBdr>
    </w:div>
    <w:div w:id="200291107">
      <w:bodyDiv w:val="1"/>
      <w:marLeft w:val="0"/>
      <w:marRight w:val="0"/>
      <w:marTop w:val="0"/>
      <w:marBottom w:val="0"/>
      <w:divBdr>
        <w:top w:val="none" w:sz="0" w:space="0" w:color="auto"/>
        <w:left w:val="none" w:sz="0" w:space="0" w:color="auto"/>
        <w:bottom w:val="none" w:sz="0" w:space="0" w:color="auto"/>
        <w:right w:val="none" w:sz="0" w:space="0" w:color="auto"/>
      </w:divBdr>
    </w:div>
    <w:div w:id="200671509">
      <w:bodyDiv w:val="1"/>
      <w:marLeft w:val="0"/>
      <w:marRight w:val="0"/>
      <w:marTop w:val="0"/>
      <w:marBottom w:val="0"/>
      <w:divBdr>
        <w:top w:val="none" w:sz="0" w:space="0" w:color="auto"/>
        <w:left w:val="none" w:sz="0" w:space="0" w:color="auto"/>
        <w:bottom w:val="none" w:sz="0" w:space="0" w:color="auto"/>
        <w:right w:val="none" w:sz="0" w:space="0" w:color="auto"/>
      </w:divBdr>
    </w:div>
    <w:div w:id="228004391">
      <w:bodyDiv w:val="1"/>
      <w:marLeft w:val="0"/>
      <w:marRight w:val="0"/>
      <w:marTop w:val="0"/>
      <w:marBottom w:val="0"/>
      <w:divBdr>
        <w:top w:val="none" w:sz="0" w:space="0" w:color="auto"/>
        <w:left w:val="none" w:sz="0" w:space="0" w:color="auto"/>
        <w:bottom w:val="none" w:sz="0" w:space="0" w:color="auto"/>
        <w:right w:val="none" w:sz="0" w:space="0" w:color="auto"/>
      </w:divBdr>
    </w:div>
    <w:div w:id="244849686">
      <w:bodyDiv w:val="1"/>
      <w:marLeft w:val="0"/>
      <w:marRight w:val="0"/>
      <w:marTop w:val="0"/>
      <w:marBottom w:val="0"/>
      <w:divBdr>
        <w:top w:val="none" w:sz="0" w:space="0" w:color="auto"/>
        <w:left w:val="none" w:sz="0" w:space="0" w:color="auto"/>
        <w:bottom w:val="none" w:sz="0" w:space="0" w:color="auto"/>
        <w:right w:val="none" w:sz="0" w:space="0" w:color="auto"/>
      </w:divBdr>
    </w:div>
    <w:div w:id="281814632">
      <w:bodyDiv w:val="1"/>
      <w:marLeft w:val="0"/>
      <w:marRight w:val="0"/>
      <w:marTop w:val="0"/>
      <w:marBottom w:val="0"/>
      <w:divBdr>
        <w:top w:val="none" w:sz="0" w:space="0" w:color="auto"/>
        <w:left w:val="none" w:sz="0" w:space="0" w:color="auto"/>
        <w:bottom w:val="none" w:sz="0" w:space="0" w:color="auto"/>
        <w:right w:val="none" w:sz="0" w:space="0" w:color="auto"/>
      </w:divBdr>
    </w:div>
    <w:div w:id="294141472">
      <w:bodyDiv w:val="1"/>
      <w:marLeft w:val="0"/>
      <w:marRight w:val="0"/>
      <w:marTop w:val="0"/>
      <w:marBottom w:val="0"/>
      <w:divBdr>
        <w:top w:val="none" w:sz="0" w:space="0" w:color="auto"/>
        <w:left w:val="none" w:sz="0" w:space="0" w:color="auto"/>
        <w:bottom w:val="none" w:sz="0" w:space="0" w:color="auto"/>
        <w:right w:val="none" w:sz="0" w:space="0" w:color="auto"/>
      </w:divBdr>
    </w:div>
    <w:div w:id="331953408">
      <w:bodyDiv w:val="1"/>
      <w:marLeft w:val="0"/>
      <w:marRight w:val="0"/>
      <w:marTop w:val="0"/>
      <w:marBottom w:val="0"/>
      <w:divBdr>
        <w:top w:val="none" w:sz="0" w:space="0" w:color="auto"/>
        <w:left w:val="none" w:sz="0" w:space="0" w:color="auto"/>
        <w:bottom w:val="none" w:sz="0" w:space="0" w:color="auto"/>
        <w:right w:val="none" w:sz="0" w:space="0" w:color="auto"/>
      </w:divBdr>
    </w:div>
    <w:div w:id="333604926">
      <w:bodyDiv w:val="1"/>
      <w:marLeft w:val="0"/>
      <w:marRight w:val="0"/>
      <w:marTop w:val="0"/>
      <w:marBottom w:val="0"/>
      <w:divBdr>
        <w:top w:val="none" w:sz="0" w:space="0" w:color="auto"/>
        <w:left w:val="none" w:sz="0" w:space="0" w:color="auto"/>
        <w:bottom w:val="none" w:sz="0" w:space="0" w:color="auto"/>
        <w:right w:val="none" w:sz="0" w:space="0" w:color="auto"/>
      </w:divBdr>
    </w:div>
    <w:div w:id="345594237">
      <w:bodyDiv w:val="1"/>
      <w:marLeft w:val="0"/>
      <w:marRight w:val="0"/>
      <w:marTop w:val="0"/>
      <w:marBottom w:val="0"/>
      <w:divBdr>
        <w:top w:val="none" w:sz="0" w:space="0" w:color="auto"/>
        <w:left w:val="none" w:sz="0" w:space="0" w:color="auto"/>
        <w:bottom w:val="none" w:sz="0" w:space="0" w:color="auto"/>
        <w:right w:val="none" w:sz="0" w:space="0" w:color="auto"/>
      </w:divBdr>
    </w:div>
    <w:div w:id="400100766">
      <w:bodyDiv w:val="1"/>
      <w:marLeft w:val="0"/>
      <w:marRight w:val="0"/>
      <w:marTop w:val="0"/>
      <w:marBottom w:val="0"/>
      <w:divBdr>
        <w:top w:val="none" w:sz="0" w:space="0" w:color="auto"/>
        <w:left w:val="none" w:sz="0" w:space="0" w:color="auto"/>
        <w:bottom w:val="none" w:sz="0" w:space="0" w:color="auto"/>
        <w:right w:val="none" w:sz="0" w:space="0" w:color="auto"/>
      </w:divBdr>
    </w:div>
    <w:div w:id="426316276">
      <w:bodyDiv w:val="1"/>
      <w:marLeft w:val="0"/>
      <w:marRight w:val="0"/>
      <w:marTop w:val="0"/>
      <w:marBottom w:val="0"/>
      <w:divBdr>
        <w:top w:val="none" w:sz="0" w:space="0" w:color="auto"/>
        <w:left w:val="none" w:sz="0" w:space="0" w:color="auto"/>
        <w:bottom w:val="none" w:sz="0" w:space="0" w:color="auto"/>
        <w:right w:val="none" w:sz="0" w:space="0" w:color="auto"/>
      </w:divBdr>
    </w:div>
    <w:div w:id="440731212">
      <w:bodyDiv w:val="1"/>
      <w:marLeft w:val="0"/>
      <w:marRight w:val="0"/>
      <w:marTop w:val="0"/>
      <w:marBottom w:val="0"/>
      <w:divBdr>
        <w:top w:val="none" w:sz="0" w:space="0" w:color="auto"/>
        <w:left w:val="none" w:sz="0" w:space="0" w:color="auto"/>
        <w:bottom w:val="none" w:sz="0" w:space="0" w:color="auto"/>
        <w:right w:val="none" w:sz="0" w:space="0" w:color="auto"/>
      </w:divBdr>
    </w:div>
    <w:div w:id="477693534">
      <w:bodyDiv w:val="1"/>
      <w:marLeft w:val="0"/>
      <w:marRight w:val="0"/>
      <w:marTop w:val="0"/>
      <w:marBottom w:val="0"/>
      <w:divBdr>
        <w:top w:val="none" w:sz="0" w:space="0" w:color="auto"/>
        <w:left w:val="none" w:sz="0" w:space="0" w:color="auto"/>
        <w:bottom w:val="none" w:sz="0" w:space="0" w:color="auto"/>
        <w:right w:val="none" w:sz="0" w:space="0" w:color="auto"/>
      </w:divBdr>
    </w:div>
    <w:div w:id="565923203">
      <w:bodyDiv w:val="1"/>
      <w:marLeft w:val="0"/>
      <w:marRight w:val="0"/>
      <w:marTop w:val="0"/>
      <w:marBottom w:val="0"/>
      <w:divBdr>
        <w:top w:val="none" w:sz="0" w:space="0" w:color="auto"/>
        <w:left w:val="none" w:sz="0" w:space="0" w:color="auto"/>
        <w:bottom w:val="none" w:sz="0" w:space="0" w:color="auto"/>
        <w:right w:val="none" w:sz="0" w:space="0" w:color="auto"/>
      </w:divBdr>
    </w:div>
    <w:div w:id="646785119">
      <w:bodyDiv w:val="1"/>
      <w:marLeft w:val="0"/>
      <w:marRight w:val="0"/>
      <w:marTop w:val="0"/>
      <w:marBottom w:val="0"/>
      <w:divBdr>
        <w:top w:val="none" w:sz="0" w:space="0" w:color="auto"/>
        <w:left w:val="none" w:sz="0" w:space="0" w:color="auto"/>
        <w:bottom w:val="none" w:sz="0" w:space="0" w:color="auto"/>
        <w:right w:val="none" w:sz="0" w:space="0" w:color="auto"/>
      </w:divBdr>
    </w:div>
    <w:div w:id="719549462">
      <w:bodyDiv w:val="1"/>
      <w:marLeft w:val="0"/>
      <w:marRight w:val="0"/>
      <w:marTop w:val="0"/>
      <w:marBottom w:val="0"/>
      <w:divBdr>
        <w:top w:val="none" w:sz="0" w:space="0" w:color="auto"/>
        <w:left w:val="none" w:sz="0" w:space="0" w:color="auto"/>
        <w:bottom w:val="none" w:sz="0" w:space="0" w:color="auto"/>
        <w:right w:val="none" w:sz="0" w:space="0" w:color="auto"/>
      </w:divBdr>
    </w:div>
    <w:div w:id="830294300">
      <w:bodyDiv w:val="1"/>
      <w:marLeft w:val="0"/>
      <w:marRight w:val="0"/>
      <w:marTop w:val="0"/>
      <w:marBottom w:val="0"/>
      <w:divBdr>
        <w:top w:val="none" w:sz="0" w:space="0" w:color="auto"/>
        <w:left w:val="none" w:sz="0" w:space="0" w:color="auto"/>
        <w:bottom w:val="none" w:sz="0" w:space="0" w:color="auto"/>
        <w:right w:val="none" w:sz="0" w:space="0" w:color="auto"/>
      </w:divBdr>
    </w:div>
    <w:div w:id="835610981">
      <w:bodyDiv w:val="1"/>
      <w:marLeft w:val="0"/>
      <w:marRight w:val="0"/>
      <w:marTop w:val="0"/>
      <w:marBottom w:val="0"/>
      <w:divBdr>
        <w:top w:val="none" w:sz="0" w:space="0" w:color="auto"/>
        <w:left w:val="none" w:sz="0" w:space="0" w:color="auto"/>
        <w:bottom w:val="none" w:sz="0" w:space="0" w:color="auto"/>
        <w:right w:val="none" w:sz="0" w:space="0" w:color="auto"/>
      </w:divBdr>
    </w:div>
    <w:div w:id="892233808">
      <w:bodyDiv w:val="1"/>
      <w:marLeft w:val="0"/>
      <w:marRight w:val="0"/>
      <w:marTop w:val="0"/>
      <w:marBottom w:val="0"/>
      <w:divBdr>
        <w:top w:val="none" w:sz="0" w:space="0" w:color="auto"/>
        <w:left w:val="none" w:sz="0" w:space="0" w:color="auto"/>
        <w:bottom w:val="none" w:sz="0" w:space="0" w:color="auto"/>
        <w:right w:val="none" w:sz="0" w:space="0" w:color="auto"/>
      </w:divBdr>
    </w:div>
    <w:div w:id="996954254">
      <w:bodyDiv w:val="1"/>
      <w:marLeft w:val="0"/>
      <w:marRight w:val="0"/>
      <w:marTop w:val="0"/>
      <w:marBottom w:val="0"/>
      <w:divBdr>
        <w:top w:val="none" w:sz="0" w:space="0" w:color="auto"/>
        <w:left w:val="none" w:sz="0" w:space="0" w:color="auto"/>
        <w:bottom w:val="none" w:sz="0" w:space="0" w:color="auto"/>
        <w:right w:val="none" w:sz="0" w:space="0" w:color="auto"/>
      </w:divBdr>
    </w:div>
    <w:div w:id="1070540973">
      <w:bodyDiv w:val="1"/>
      <w:marLeft w:val="0"/>
      <w:marRight w:val="0"/>
      <w:marTop w:val="0"/>
      <w:marBottom w:val="0"/>
      <w:divBdr>
        <w:top w:val="none" w:sz="0" w:space="0" w:color="auto"/>
        <w:left w:val="none" w:sz="0" w:space="0" w:color="auto"/>
        <w:bottom w:val="none" w:sz="0" w:space="0" w:color="auto"/>
        <w:right w:val="none" w:sz="0" w:space="0" w:color="auto"/>
      </w:divBdr>
    </w:div>
    <w:div w:id="1101338948">
      <w:bodyDiv w:val="1"/>
      <w:marLeft w:val="0"/>
      <w:marRight w:val="0"/>
      <w:marTop w:val="0"/>
      <w:marBottom w:val="0"/>
      <w:divBdr>
        <w:top w:val="none" w:sz="0" w:space="0" w:color="auto"/>
        <w:left w:val="none" w:sz="0" w:space="0" w:color="auto"/>
        <w:bottom w:val="none" w:sz="0" w:space="0" w:color="auto"/>
        <w:right w:val="none" w:sz="0" w:space="0" w:color="auto"/>
      </w:divBdr>
    </w:div>
    <w:div w:id="1126199280">
      <w:bodyDiv w:val="1"/>
      <w:marLeft w:val="0"/>
      <w:marRight w:val="0"/>
      <w:marTop w:val="0"/>
      <w:marBottom w:val="0"/>
      <w:divBdr>
        <w:top w:val="none" w:sz="0" w:space="0" w:color="auto"/>
        <w:left w:val="none" w:sz="0" w:space="0" w:color="auto"/>
        <w:bottom w:val="none" w:sz="0" w:space="0" w:color="auto"/>
        <w:right w:val="none" w:sz="0" w:space="0" w:color="auto"/>
      </w:divBdr>
    </w:div>
    <w:div w:id="1205798514">
      <w:bodyDiv w:val="1"/>
      <w:marLeft w:val="0"/>
      <w:marRight w:val="0"/>
      <w:marTop w:val="0"/>
      <w:marBottom w:val="0"/>
      <w:divBdr>
        <w:top w:val="none" w:sz="0" w:space="0" w:color="auto"/>
        <w:left w:val="none" w:sz="0" w:space="0" w:color="auto"/>
        <w:bottom w:val="none" w:sz="0" w:space="0" w:color="auto"/>
        <w:right w:val="none" w:sz="0" w:space="0" w:color="auto"/>
      </w:divBdr>
    </w:div>
    <w:div w:id="1217622098">
      <w:bodyDiv w:val="1"/>
      <w:marLeft w:val="0"/>
      <w:marRight w:val="0"/>
      <w:marTop w:val="0"/>
      <w:marBottom w:val="0"/>
      <w:divBdr>
        <w:top w:val="none" w:sz="0" w:space="0" w:color="auto"/>
        <w:left w:val="none" w:sz="0" w:space="0" w:color="auto"/>
        <w:bottom w:val="none" w:sz="0" w:space="0" w:color="auto"/>
        <w:right w:val="none" w:sz="0" w:space="0" w:color="auto"/>
      </w:divBdr>
    </w:div>
    <w:div w:id="1234972504">
      <w:bodyDiv w:val="1"/>
      <w:marLeft w:val="0"/>
      <w:marRight w:val="0"/>
      <w:marTop w:val="0"/>
      <w:marBottom w:val="0"/>
      <w:divBdr>
        <w:top w:val="none" w:sz="0" w:space="0" w:color="auto"/>
        <w:left w:val="none" w:sz="0" w:space="0" w:color="auto"/>
        <w:bottom w:val="none" w:sz="0" w:space="0" w:color="auto"/>
        <w:right w:val="none" w:sz="0" w:space="0" w:color="auto"/>
      </w:divBdr>
    </w:div>
    <w:div w:id="1246039115">
      <w:bodyDiv w:val="1"/>
      <w:marLeft w:val="0"/>
      <w:marRight w:val="0"/>
      <w:marTop w:val="0"/>
      <w:marBottom w:val="0"/>
      <w:divBdr>
        <w:top w:val="none" w:sz="0" w:space="0" w:color="auto"/>
        <w:left w:val="none" w:sz="0" w:space="0" w:color="auto"/>
        <w:bottom w:val="none" w:sz="0" w:space="0" w:color="auto"/>
        <w:right w:val="none" w:sz="0" w:space="0" w:color="auto"/>
      </w:divBdr>
    </w:div>
    <w:div w:id="1376390970">
      <w:bodyDiv w:val="1"/>
      <w:marLeft w:val="0"/>
      <w:marRight w:val="0"/>
      <w:marTop w:val="0"/>
      <w:marBottom w:val="0"/>
      <w:divBdr>
        <w:top w:val="none" w:sz="0" w:space="0" w:color="auto"/>
        <w:left w:val="none" w:sz="0" w:space="0" w:color="auto"/>
        <w:bottom w:val="none" w:sz="0" w:space="0" w:color="auto"/>
        <w:right w:val="none" w:sz="0" w:space="0" w:color="auto"/>
      </w:divBdr>
    </w:div>
    <w:div w:id="1417946693">
      <w:bodyDiv w:val="1"/>
      <w:marLeft w:val="0"/>
      <w:marRight w:val="0"/>
      <w:marTop w:val="0"/>
      <w:marBottom w:val="0"/>
      <w:divBdr>
        <w:top w:val="none" w:sz="0" w:space="0" w:color="auto"/>
        <w:left w:val="none" w:sz="0" w:space="0" w:color="auto"/>
        <w:bottom w:val="none" w:sz="0" w:space="0" w:color="auto"/>
        <w:right w:val="none" w:sz="0" w:space="0" w:color="auto"/>
      </w:divBdr>
    </w:div>
    <w:div w:id="1425690784">
      <w:bodyDiv w:val="1"/>
      <w:marLeft w:val="0"/>
      <w:marRight w:val="0"/>
      <w:marTop w:val="0"/>
      <w:marBottom w:val="0"/>
      <w:divBdr>
        <w:top w:val="none" w:sz="0" w:space="0" w:color="auto"/>
        <w:left w:val="none" w:sz="0" w:space="0" w:color="auto"/>
        <w:bottom w:val="none" w:sz="0" w:space="0" w:color="auto"/>
        <w:right w:val="none" w:sz="0" w:space="0" w:color="auto"/>
      </w:divBdr>
    </w:div>
    <w:div w:id="1445424955">
      <w:bodyDiv w:val="1"/>
      <w:marLeft w:val="0"/>
      <w:marRight w:val="0"/>
      <w:marTop w:val="0"/>
      <w:marBottom w:val="0"/>
      <w:divBdr>
        <w:top w:val="none" w:sz="0" w:space="0" w:color="auto"/>
        <w:left w:val="none" w:sz="0" w:space="0" w:color="auto"/>
        <w:bottom w:val="none" w:sz="0" w:space="0" w:color="auto"/>
        <w:right w:val="none" w:sz="0" w:space="0" w:color="auto"/>
      </w:divBdr>
    </w:div>
    <w:div w:id="1486506763">
      <w:bodyDiv w:val="1"/>
      <w:marLeft w:val="0"/>
      <w:marRight w:val="0"/>
      <w:marTop w:val="0"/>
      <w:marBottom w:val="0"/>
      <w:divBdr>
        <w:top w:val="none" w:sz="0" w:space="0" w:color="auto"/>
        <w:left w:val="none" w:sz="0" w:space="0" w:color="auto"/>
        <w:bottom w:val="none" w:sz="0" w:space="0" w:color="auto"/>
        <w:right w:val="none" w:sz="0" w:space="0" w:color="auto"/>
      </w:divBdr>
    </w:div>
    <w:div w:id="1492477790">
      <w:bodyDiv w:val="1"/>
      <w:marLeft w:val="0"/>
      <w:marRight w:val="0"/>
      <w:marTop w:val="0"/>
      <w:marBottom w:val="0"/>
      <w:divBdr>
        <w:top w:val="none" w:sz="0" w:space="0" w:color="auto"/>
        <w:left w:val="none" w:sz="0" w:space="0" w:color="auto"/>
        <w:bottom w:val="none" w:sz="0" w:space="0" w:color="auto"/>
        <w:right w:val="none" w:sz="0" w:space="0" w:color="auto"/>
      </w:divBdr>
    </w:div>
    <w:div w:id="1493333798">
      <w:bodyDiv w:val="1"/>
      <w:marLeft w:val="0"/>
      <w:marRight w:val="0"/>
      <w:marTop w:val="0"/>
      <w:marBottom w:val="0"/>
      <w:divBdr>
        <w:top w:val="none" w:sz="0" w:space="0" w:color="auto"/>
        <w:left w:val="none" w:sz="0" w:space="0" w:color="auto"/>
        <w:bottom w:val="none" w:sz="0" w:space="0" w:color="auto"/>
        <w:right w:val="none" w:sz="0" w:space="0" w:color="auto"/>
      </w:divBdr>
    </w:div>
    <w:div w:id="1620456568">
      <w:bodyDiv w:val="1"/>
      <w:marLeft w:val="0"/>
      <w:marRight w:val="0"/>
      <w:marTop w:val="0"/>
      <w:marBottom w:val="0"/>
      <w:divBdr>
        <w:top w:val="none" w:sz="0" w:space="0" w:color="auto"/>
        <w:left w:val="none" w:sz="0" w:space="0" w:color="auto"/>
        <w:bottom w:val="none" w:sz="0" w:space="0" w:color="auto"/>
        <w:right w:val="none" w:sz="0" w:space="0" w:color="auto"/>
      </w:divBdr>
    </w:div>
    <w:div w:id="1666282071">
      <w:bodyDiv w:val="1"/>
      <w:marLeft w:val="0"/>
      <w:marRight w:val="0"/>
      <w:marTop w:val="0"/>
      <w:marBottom w:val="0"/>
      <w:divBdr>
        <w:top w:val="none" w:sz="0" w:space="0" w:color="auto"/>
        <w:left w:val="none" w:sz="0" w:space="0" w:color="auto"/>
        <w:bottom w:val="none" w:sz="0" w:space="0" w:color="auto"/>
        <w:right w:val="none" w:sz="0" w:space="0" w:color="auto"/>
      </w:divBdr>
    </w:div>
    <w:div w:id="1701122308">
      <w:bodyDiv w:val="1"/>
      <w:marLeft w:val="0"/>
      <w:marRight w:val="0"/>
      <w:marTop w:val="0"/>
      <w:marBottom w:val="0"/>
      <w:divBdr>
        <w:top w:val="none" w:sz="0" w:space="0" w:color="auto"/>
        <w:left w:val="none" w:sz="0" w:space="0" w:color="auto"/>
        <w:bottom w:val="none" w:sz="0" w:space="0" w:color="auto"/>
        <w:right w:val="none" w:sz="0" w:space="0" w:color="auto"/>
      </w:divBdr>
    </w:div>
    <w:div w:id="1749762148">
      <w:bodyDiv w:val="1"/>
      <w:marLeft w:val="0"/>
      <w:marRight w:val="0"/>
      <w:marTop w:val="0"/>
      <w:marBottom w:val="0"/>
      <w:divBdr>
        <w:top w:val="none" w:sz="0" w:space="0" w:color="auto"/>
        <w:left w:val="none" w:sz="0" w:space="0" w:color="auto"/>
        <w:bottom w:val="none" w:sz="0" w:space="0" w:color="auto"/>
        <w:right w:val="none" w:sz="0" w:space="0" w:color="auto"/>
      </w:divBdr>
    </w:div>
    <w:div w:id="1768846742">
      <w:bodyDiv w:val="1"/>
      <w:marLeft w:val="0"/>
      <w:marRight w:val="0"/>
      <w:marTop w:val="0"/>
      <w:marBottom w:val="0"/>
      <w:divBdr>
        <w:top w:val="none" w:sz="0" w:space="0" w:color="auto"/>
        <w:left w:val="none" w:sz="0" w:space="0" w:color="auto"/>
        <w:bottom w:val="none" w:sz="0" w:space="0" w:color="auto"/>
        <w:right w:val="none" w:sz="0" w:space="0" w:color="auto"/>
      </w:divBdr>
    </w:div>
    <w:div w:id="1783567597">
      <w:bodyDiv w:val="1"/>
      <w:marLeft w:val="0"/>
      <w:marRight w:val="0"/>
      <w:marTop w:val="0"/>
      <w:marBottom w:val="0"/>
      <w:divBdr>
        <w:top w:val="none" w:sz="0" w:space="0" w:color="auto"/>
        <w:left w:val="none" w:sz="0" w:space="0" w:color="auto"/>
        <w:bottom w:val="none" w:sz="0" w:space="0" w:color="auto"/>
        <w:right w:val="none" w:sz="0" w:space="0" w:color="auto"/>
      </w:divBdr>
    </w:div>
    <w:div w:id="1896161034">
      <w:bodyDiv w:val="1"/>
      <w:marLeft w:val="0"/>
      <w:marRight w:val="0"/>
      <w:marTop w:val="0"/>
      <w:marBottom w:val="0"/>
      <w:divBdr>
        <w:top w:val="none" w:sz="0" w:space="0" w:color="auto"/>
        <w:left w:val="none" w:sz="0" w:space="0" w:color="auto"/>
        <w:bottom w:val="none" w:sz="0" w:space="0" w:color="auto"/>
        <w:right w:val="none" w:sz="0" w:space="0" w:color="auto"/>
      </w:divBdr>
    </w:div>
    <w:div w:id="1994068648">
      <w:bodyDiv w:val="1"/>
      <w:marLeft w:val="0"/>
      <w:marRight w:val="0"/>
      <w:marTop w:val="0"/>
      <w:marBottom w:val="0"/>
      <w:divBdr>
        <w:top w:val="none" w:sz="0" w:space="0" w:color="auto"/>
        <w:left w:val="none" w:sz="0" w:space="0" w:color="auto"/>
        <w:bottom w:val="none" w:sz="0" w:space="0" w:color="auto"/>
        <w:right w:val="none" w:sz="0" w:space="0" w:color="auto"/>
      </w:divBdr>
    </w:div>
    <w:div w:id="2123180649">
      <w:bodyDiv w:val="1"/>
      <w:marLeft w:val="0"/>
      <w:marRight w:val="0"/>
      <w:marTop w:val="0"/>
      <w:marBottom w:val="0"/>
      <w:divBdr>
        <w:top w:val="none" w:sz="0" w:space="0" w:color="auto"/>
        <w:left w:val="none" w:sz="0" w:space="0" w:color="auto"/>
        <w:bottom w:val="none" w:sz="0" w:space="0" w:color="auto"/>
        <w:right w:val="none" w:sz="0" w:space="0" w:color="auto"/>
      </w:divBdr>
    </w:div>
    <w:div w:id="213949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9EE12-7527-4378-ABCD-2CBDB5322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DF10CF4-8F93-4028-90D1-2692C15810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2808C1-A1C2-4931-BE99-837DD509B30D}">
  <ds:schemaRefs>
    <ds:schemaRef ds:uri="http://schemas.microsoft.com/sharepoint/v3/contenttype/forms"/>
  </ds:schemaRefs>
</ds:datastoreItem>
</file>

<file path=customXml/itemProps4.xml><?xml version="1.0" encoding="utf-8"?>
<ds:datastoreItem xmlns:ds="http://schemas.openxmlformats.org/officeDocument/2006/customXml" ds:itemID="{3D528FE6-BC74-4AA6-9382-73F607C7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7628</Words>
  <Characters>43480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51006</CharactersWithSpaces>
  <SharedDoc>false</SharedDoc>
  <HLinks>
    <vt:vector size="24" baseType="variant">
      <vt:variant>
        <vt:i4>983132</vt:i4>
      </vt:variant>
      <vt:variant>
        <vt:i4>9</vt:i4>
      </vt:variant>
      <vt:variant>
        <vt:i4>0</vt:i4>
      </vt:variant>
      <vt:variant>
        <vt:i4>5</vt:i4>
      </vt:variant>
      <vt:variant>
        <vt:lpwstr>https://thuvienphapluat.vn/van-ban/tien-te-ngan-hang/thong-tu-24-2011-tt-nhnn-thuc-thi-phuong-an-don-gian-hoa-thu-tuc-hanh-chinh-128613.aspx</vt:lpwstr>
      </vt:variant>
      <vt:variant>
        <vt:lpwstr/>
      </vt:variant>
      <vt:variant>
        <vt:i4>2424935</vt:i4>
      </vt:variant>
      <vt:variant>
        <vt:i4>6</vt:i4>
      </vt:variant>
      <vt:variant>
        <vt:i4>0</vt:i4>
      </vt:variant>
      <vt:variant>
        <vt:i4>5</vt:i4>
      </vt:variant>
      <vt:variant>
        <vt:lpwstr>https://thuvienphapluat.vn/van-ban/doanh-nghiep/quyet-dinh-951-2003-qd-nhnn-thanh-lap-hoat-dong-cong-ty-kieu-hoi-thuoc-ngan-hang-thuong-mai-co-phan-cua-nha-nuoc-va-nhan-dan-51282.aspx</vt:lpwstr>
      </vt:variant>
      <vt:variant>
        <vt:lpwstr/>
      </vt:variant>
      <vt:variant>
        <vt:i4>6750258</vt:i4>
      </vt:variant>
      <vt:variant>
        <vt:i4>3</vt:i4>
      </vt:variant>
      <vt:variant>
        <vt:i4>0</vt:i4>
      </vt:variant>
      <vt:variant>
        <vt:i4>5</vt:i4>
      </vt:variant>
      <vt:variant>
        <vt:lpwstr>https://thuvienphapluat.vn/van-ban/doanh-nghiep/quyet-dinh-1389-2001-qd-nhnn-thanh-lap-cong-ty-quan-ly-no-va-khai-thac-tai-san-thuoc-ngan-hang-thuong-mai-7448.aspx</vt:lpwstr>
      </vt:variant>
      <vt:variant>
        <vt:lpwstr/>
      </vt:variant>
      <vt:variant>
        <vt:i4>6946942</vt:i4>
      </vt:variant>
      <vt:variant>
        <vt:i4>0</vt:i4>
      </vt:variant>
      <vt:variant>
        <vt:i4>0</vt:i4>
      </vt:variant>
      <vt:variant>
        <vt:i4>5</vt:i4>
      </vt:variant>
      <vt:variant>
        <vt:lpwstr>https://thuvienphapluat.vn/van-ban/doanh-nghiep/thong-tu-04-1999-tt-nhnn5-huong-dan-viec-thanh-lap-cong-ty-chung-khoan-cua-ngan-hang-thuong-mai-45932.aspx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phuong1111</dc:creator>
  <cp:keywords/>
  <dc:description/>
  <cp:lastModifiedBy>Ly Minh Tri (TTGSNH)</cp:lastModifiedBy>
  <cp:revision>119</cp:revision>
  <cp:lastPrinted>2026-05-06T07:10:00Z</cp:lastPrinted>
  <dcterms:created xsi:type="dcterms:W3CDTF">2026-04-24T06:31:00Z</dcterms:created>
  <dcterms:modified xsi:type="dcterms:W3CDTF">2026-05-14T11:18:00Z</dcterms:modified>
</cp:coreProperties>
</file>