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D8" w:rsidRPr="00940E12" w:rsidRDefault="00E026BB" w:rsidP="00940E12">
      <w:pPr>
        <w:spacing w:before="120" w:after="0" w:line="240" w:lineRule="auto"/>
        <w:jc w:val="both"/>
        <w:rPr>
          <w:rFonts w:ascii="Arial" w:hAnsi="Arial" w:cs="Arial"/>
          <w:sz w:val="20"/>
          <w:szCs w:val="20"/>
        </w:rPr>
      </w:pPr>
      <w:bookmarkStart w:id="0" w:name="_GoBack"/>
      <w:bookmarkEnd w:id="0"/>
      <w:r w:rsidRPr="00940E12">
        <w:rPr>
          <w:rFonts w:ascii="Arial" w:hAnsi="Arial" w:cs="Arial"/>
          <w:sz w:val="20"/>
          <w:szCs w:val="20"/>
        </w:rPr>
        <w:t>Theo nội dung của văn bản này</w:t>
      </w:r>
      <w:r w:rsidRPr="00940E12">
        <w:rPr>
          <w:rFonts w:ascii="Arial" w:hAnsi="Arial" w:cs="Arial"/>
          <w:sz w:val="20"/>
          <w:szCs w:val="20"/>
        </w:rPr>
        <w:t xml:space="preserve">, </w:t>
      </w:r>
      <w:r w:rsidR="00B850D4" w:rsidRPr="00940E12">
        <w:rPr>
          <w:rFonts w:ascii="Arial" w:hAnsi="Arial" w:cs="Arial"/>
          <w:sz w:val="20"/>
          <w:szCs w:val="20"/>
        </w:rPr>
        <w:t>n</w:t>
      </w:r>
      <w:r w:rsidR="006C671D" w:rsidRPr="00940E12">
        <w:rPr>
          <w:rFonts w:ascii="Arial" w:hAnsi="Arial" w:cs="Arial"/>
          <w:sz w:val="20"/>
          <w:szCs w:val="20"/>
        </w:rPr>
        <w:t>hằm đảm bảo an ninh, an toàn, ngăn ngừa, hạn chế các thiệt hại có thể</w:t>
      </w:r>
      <w:r w:rsidR="00E72A8E" w:rsidRPr="00940E12">
        <w:rPr>
          <w:rFonts w:ascii="Arial" w:hAnsi="Arial" w:cs="Arial"/>
          <w:sz w:val="20"/>
          <w:szCs w:val="20"/>
        </w:rPr>
        <w:t xml:space="preserve"> </w:t>
      </w:r>
      <w:r w:rsidR="006C671D" w:rsidRPr="00940E12">
        <w:rPr>
          <w:rFonts w:ascii="Arial" w:hAnsi="Arial" w:cs="Arial"/>
          <w:sz w:val="20"/>
          <w:szCs w:val="20"/>
        </w:rPr>
        <w:t>phát  sinh  trong  quá  trình  cung ứng, sử dụng dịch vụ thẻ</w:t>
      </w:r>
      <w:r w:rsidR="001F23FC" w:rsidRPr="00940E12">
        <w:rPr>
          <w:rFonts w:ascii="Arial" w:hAnsi="Arial" w:cs="Arial"/>
          <w:sz w:val="20"/>
          <w:szCs w:val="20"/>
        </w:rPr>
        <w:t xml:space="preserve">, </w:t>
      </w:r>
      <w:r w:rsidR="006C671D" w:rsidRPr="00940E12">
        <w:rPr>
          <w:rFonts w:ascii="Arial" w:hAnsi="Arial" w:cs="Arial"/>
          <w:sz w:val="20"/>
          <w:szCs w:val="20"/>
        </w:rPr>
        <w:t>NHN</w:t>
      </w:r>
      <w:r w:rsidR="001F23FC" w:rsidRPr="00940E12">
        <w:rPr>
          <w:rFonts w:ascii="Arial" w:hAnsi="Arial" w:cs="Arial"/>
          <w:sz w:val="20"/>
          <w:szCs w:val="20"/>
        </w:rPr>
        <w:t>N</w:t>
      </w:r>
      <w:r w:rsidR="006C671D" w:rsidRPr="00940E12">
        <w:rPr>
          <w:rFonts w:ascii="Arial" w:hAnsi="Arial" w:cs="Arial"/>
          <w:sz w:val="20"/>
          <w:szCs w:val="20"/>
        </w:rPr>
        <w:t xml:space="preserve"> đã ban hành Thông tư số 41/2018/TT-NHNN ngày 28/12/2018 của NHNN sửa đổi bổ sung Thông tư số 19/2016/TT-NHNN  ngày  30/6/2016  của NHNN quy định về hoạt động thẻ ngân hàng (Thông tư số 41), trong đó quy định lộ trình chuyển đổi sang công nghệ chip đối với thiết bị chấp nhận thẻ đang hoạt động tại Việt Nam và các thẻ từ nội địa đang lưu hành do các tổ chức phát hành thẻ (TCPHT)  tại Việt Nam phát hành. Vừa qua NHNN nhận được thông tin phản ánh trên một số báo về việc “các thẻ ATM từ sẽ chính thức bị ngừng hỗ trợ và không được chấp nhận trên các điểm giao dịch trên toàn quốc dựa theo Thông tư 41/2018/TT-NHNN củ</w:t>
      </w:r>
      <w:r w:rsidR="00CB5C44" w:rsidRPr="00940E12">
        <w:rPr>
          <w:rFonts w:ascii="Arial" w:hAnsi="Arial" w:cs="Arial"/>
          <w:sz w:val="20"/>
          <w:szCs w:val="20"/>
        </w:rPr>
        <w:t xml:space="preserve">a NHNN”. </w:t>
      </w:r>
      <w:r w:rsidR="006C671D" w:rsidRPr="00940E12">
        <w:rPr>
          <w:rFonts w:ascii="Arial" w:hAnsi="Arial" w:cs="Arial"/>
          <w:sz w:val="20"/>
          <w:szCs w:val="20"/>
        </w:rPr>
        <w:t xml:space="preserve">Căn cứ  quy định  pháp  luật  hiện hành, NHNN  đề nghị các TCPHT, tổ chức thanh toán thẻ (TCTTT)  và tổ chức chuyển mạch thẻ,  bù trừ điện tử thẻ lưu ý và triển khai thực hiện một số  nội </w:t>
      </w:r>
      <w:r w:rsidR="00BB4102" w:rsidRPr="00940E12">
        <w:rPr>
          <w:rFonts w:ascii="Arial" w:hAnsi="Arial" w:cs="Arial"/>
          <w:sz w:val="20"/>
          <w:szCs w:val="20"/>
        </w:rPr>
        <w:t>dung sau:</w:t>
      </w:r>
    </w:p>
    <w:p w:rsidR="00756FEA" w:rsidRPr="00940E12" w:rsidRDefault="006C671D" w:rsidP="00940E12">
      <w:pPr>
        <w:spacing w:before="120" w:after="0" w:line="240" w:lineRule="auto"/>
        <w:jc w:val="both"/>
        <w:rPr>
          <w:rFonts w:ascii="Arial" w:hAnsi="Arial" w:cs="Arial"/>
          <w:sz w:val="20"/>
          <w:szCs w:val="20"/>
        </w:rPr>
      </w:pPr>
      <w:r w:rsidRPr="00940E12">
        <w:rPr>
          <w:rFonts w:ascii="Arial" w:hAnsi="Arial" w:cs="Arial"/>
          <w:sz w:val="20"/>
          <w:szCs w:val="20"/>
        </w:rPr>
        <w:t>Tại Thông tư số 19/2016/TT-NHNN ngày 30/6/2016 của NHNN quy định hoạt động thẻ ngân hàng (đã được sửa đổi, bổ sung) có quy định lộ trình chuyển đổi từ thẻ từ sang thẻ chip nội địa đối với các TCPHT, TCTTT, cụ thể</w:t>
      </w:r>
      <w:r w:rsidR="00F4148A" w:rsidRPr="00940E12">
        <w:rPr>
          <w:rFonts w:ascii="Arial" w:hAnsi="Arial" w:cs="Arial"/>
          <w:sz w:val="20"/>
          <w:szCs w:val="20"/>
        </w:rPr>
        <w:t xml:space="preserve">: </w:t>
      </w:r>
      <w:r w:rsidRPr="00940E12">
        <w:rPr>
          <w:rFonts w:ascii="Arial" w:hAnsi="Arial" w:cs="Arial"/>
          <w:sz w:val="20"/>
          <w:szCs w:val="20"/>
        </w:rPr>
        <w:t xml:space="preserve">TCPHT  thực hiện chuyển đổi thẻ có BIN do Ngân hàng Nhà nước cấp (thẻ nội địa) đang lưu hành tuân thủ tiêu chuẩn cơ sở (TCCS) về thẻ chip nội địa và từ 31/03/2021 các TCPHT thực hiện phát hành thẻ nội địa đang lưu hành phải tuân thủ TCCS về thẻ chip nội địa. TCTTT thực hiện chuyển đổi ATM và thiết bị chấp nhận thẻ tại điểm bán đang hoạt động tại Việt Nam tuân thủ TCCS về thẻ chip nội địa. </w:t>
      </w:r>
    </w:p>
    <w:p w:rsidR="00E043CD" w:rsidRPr="00940E12" w:rsidRDefault="006C671D" w:rsidP="00940E12">
      <w:pPr>
        <w:spacing w:before="120" w:after="0" w:line="240" w:lineRule="auto"/>
        <w:jc w:val="both"/>
        <w:rPr>
          <w:rFonts w:ascii="Arial" w:hAnsi="Arial" w:cs="Arial"/>
          <w:sz w:val="20"/>
          <w:szCs w:val="20"/>
        </w:rPr>
      </w:pPr>
      <w:r w:rsidRPr="00940E12">
        <w:rPr>
          <w:rFonts w:ascii="Arial" w:hAnsi="Arial" w:cs="Arial"/>
          <w:sz w:val="20"/>
          <w:szCs w:val="20"/>
        </w:rPr>
        <w:t xml:space="preserve">Như vậy, để đẩy nhanh lộ trình chuyển đổi sang thẻ chip nội địa, Thông tư số 19 (đã được sửa đổi bổ sung) quy định trách nhiệm của tổ chức phát hành thẻ (TCPHT) trong thực hiện lộ trình chuyển đổi từ thẻ từ nội địa sang thẻ chip nội địa đang lưu hành và dừng phát hành thẻ từ nội địa sau thời điểm 31/3/2021, không có quy định về việc dừng hoặc từ chối giao dịch thẻ đối với thẻ từ nội địa đang lưu hành (thẻ còn đang thời hạn sử dụng) do các TCPHT tại Việt Nam phát hành; đồng thời quy định trách nhiệm các tổ chức thanh toán thẻ (TCTTT) trong  thực hiện lộ trình chuyển đổi ATM và thiết bị chấp nhận thẻ tại điểm bán (POS) đang hoạt động tại Việt Nam tuân thủ Tiêu chuẩn cơ sở về thẻ chip nội địa, không có quy định về việc từ chối chấp nhận giao dịch thẻ đối với thẻ từ nội địa đang lưu hành. </w:t>
      </w:r>
    </w:p>
    <w:p w:rsidR="00AA6DC0" w:rsidRPr="00940E12" w:rsidRDefault="007A343C" w:rsidP="00940E12">
      <w:pPr>
        <w:spacing w:before="120" w:after="0" w:line="240" w:lineRule="auto"/>
        <w:jc w:val="both"/>
        <w:rPr>
          <w:rFonts w:ascii="Arial" w:hAnsi="Arial" w:cs="Arial"/>
          <w:sz w:val="20"/>
          <w:szCs w:val="20"/>
        </w:rPr>
      </w:pPr>
      <w:r w:rsidRPr="00940E12">
        <w:rPr>
          <w:rFonts w:ascii="Arial" w:hAnsi="Arial" w:cs="Arial"/>
          <w:sz w:val="20"/>
          <w:szCs w:val="20"/>
        </w:rPr>
        <w:t xml:space="preserve">NHNN yêu cầu, </w:t>
      </w:r>
      <w:r w:rsidR="006C671D" w:rsidRPr="00940E12">
        <w:rPr>
          <w:rFonts w:ascii="Arial" w:hAnsi="Arial" w:cs="Arial"/>
          <w:sz w:val="20"/>
          <w:szCs w:val="20"/>
        </w:rPr>
        <w:t xml:space="preserve">các TCPHT, TCTTT cần rà soát quy định pháp luật, hợp đồng hoặc thỏa thuận giữa TCPHT với chủ thẻ về việc phát hành và sử dụng thẻ ngân hàng, đảm bảo các giao dịch thẻ của chủ thẻ diễn ra thông suốt, an toàn, không ảnh hưởng đến quyền lợi của chủ thẻ và không đưa ra các chính sách, quy định trái với quy định pháp luật về hoạt động thẻ ngân hàng. Triển khai các biện pháp truyền thông đúng đắn, hợp lý về việc khách hàng có thẻ từ nội địa (thẻ còn đang thời hạn sử dụng) nhưng chưa được các TCPHT chuyển đổi sang thẻ chip hoặc do khách hàng chưa đến được địa điểm của TCPHT để thực hiện chuyển đổi hoặc nhận thẻ chip thì sau ngày 31/12/2021 vẫn có thể sử dụng thẻ từ để thực hiện các giao dịch thẻ tại ATM, POS, kênh Internet (Internet Banking), di động (Mobile Banking), quầy giao dịch theo đúng quy định pháp luật. </w:t>
      </w:r>
    </w:p>
    <w:p w:rsidR="0024332E" w:rsidRPr="00940E12" w:rsidRDefault="006C671D" w:rsidP="00940E12">
      <w:pPr>
        <w:spacing w:before="120" w:after="0" w:line="240" w:lineRule="auto"/>
        <w:jc w:val="both"/>
        <w:rPr>
          <w:rFonts w:ascii="Arial" w:hAnsi="Arial" w:cs="Arial"/>
          <w:sz w:val="20"/>
          <w:szCs w:val="20"/>
        </w:rPr>
      </w:pPr>
      <w:r w:rsidRPr="00940E12">
        <w:rPr>
          <w:rFonts w:ascii="Arial" w:hAnsi="Arial" w:cs="Arial"/>
          <w:sz w:val="20"/>
          <w:szCs w:val="20"/>
        </w:rPr>
        <w:t>Để tránh hiểu lầm, gây hoang mang ảnh hưởng đến quyền lợi của khách hàng, uy tín của hoạt động ngân hàng nói chung và hoạt động thẻ ngân hàng nói riêng, các TCPHT, TCPTT cần tăng cường chính sách khuyến khích, hỗ trợ khách hàng thực hiện chuyển đổi từ thẻ từ nội địa sang thẻ chip nội địa; tuyên truyền các tiện ích, tính năng ưu việt, an toàn của thẻ chip nội địa và rủi ro liên quan đến việc tiếp tục sử dụng thẻ từ nội địa; đồng thời hướng dẫn khách hàng là chủ thẻ sử dụng các kênh thanh toán điện tử</w:t>
      </w:r>
      <w:r w:rsidR="00345385" w:rsidRPr="00940E12">
        <w:rPr>
          <w:rFonts w:ascii="Arial" w:hAnsi="Arial" w:cs="Arial"/>
          <w:sz w:val="20"/>
          <w:szCs w:val="20"/>
        </w:rPr>
        <w:t xml:space="preserve"> khác như Internet  Banking, </w:t>
      </w:r>
      <w:r w:rsidR="00607602" w:rsidRPr="00940E12">
        <w:rPr>
          <w:rFonts w:ascii="Arial" w:hAnsi="Arial" w:cs="Arial"/>
          <w:sz w:val="20"/>
          <w:szCs w:val="20"/>
        </w:rPr>
        <w:t xml:space="preserve">Mobile  Banking, </w:t>
      </w:r>
      <w:r w:rsidRPr="00940E12">
        <w:rPr>
          <w:rFonts w:ascii="Arial" w:hAnsi="Arial" w:cs="Arial"/>
          <w:sz w:val="20"/>
          <w:szCs w:val="20"/>
        </w:rPr>
        <w:t>QR Code... từ đó có cách tiếp cận, biện pháp phù hợp để chủ thẻ sớm thực hiện chuyển đổi sang thẻ chip nội đị</w:t>
      </w:r>
      <w:r w:rsidR="0024332E" w:rsidRPr="00940E12">
        <w:rPr>
          <w:rFonts w:ascii="Arial" w:hAnsi="Arial" w:cs="Arial"/>
          <w:sz w:val="20"/>
          <w:szCs w:val="20"/>
        </w:rPr>
        <w:t>a.</w:t>
      </w:r>
    </w:p>
    <w:p w:rsidR="009E1BEE" w:rsidRPr="00940E12" w:rsidRDefault="006C671D" w:rsidP="00940E12">
      <w:pPr>
        <w:spacing w:before="120" w:after="0" w:line="240" w:lineRule="auto"/>
        <w:jc w:val="both"/>
        <w:rPr>
          <w:rFonts w:ascii="Arial" w:hAnsi="Arial" w:cs="Arial"/>
          <w:sz w:val="20"/>
          <w:szCs w:val="20"/>
        </w:rPr>
      </w:pPr>
      <w:r w:rsidRPr="00940E12">
        <w:rPr>
          <w:rFonts w:ascii="Arial" w:hAnsi="Arial" w:cs="Arial"/>
          <w:sz w:val="20"/>
          <w:szCs w:val="20"/>
        </w:rPr>
        <w:t>Phối hợp với Chi hội Thẻ ngân hàng (Hiệp hội Ngân hàng Việt Nam) và Công ty cổ phần thanh toán quốc gia Việt Nam (Napas) xây dựng và ban hành Quy định chuyển đổi trách nhiệm trong việc thực hiện chuyển đổi từ thẻ từ sang thẻ chip nội địa, chính thức áp dụng từ ngày 01/01/2022.</w:t>
      </w:r>
    </w:p>
    <w:p w:rsidR="00FF5582" w:rsidRPr="00940E12" w:rsidRDefault="009E1BEE" w:rsidP="00940E12">
      <w:pPr>
        <w:spacing w:before="120" w:after="0" w:line="240" w:lineRule="auto"/>
        <w:jc w:val="both"/>
        <w:rPr>
          <w:rFonts w:ascii="Arial" w:hAnsi="Arial" w:cs="Arial"/>
          <w:sz w:val="20"/>
          <w:szCs w:val="20"/>
        </w:rPr>
      </w:pPr>
      <w:r w:rsidRPr="00940E12">
        <w:rPr>
          <w:rFonts w:ascii="Arial" w:hAnsi="Arial" w:cs="Arial"/>
          <w:sz w:val="20"/>
          <w:szCs w:val="20"/>
        </w:rPr>
        <w:t>NN</w:t>
      </w:r>
    </w:p>
    <w:sectPr w:rsidR="00FF5582" w:rsidRPr="00940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1D"/>
    <w:rsid w:val="00010D2B"/>
    <w:rsid w:val="00011433"/>
    <w:rsid w:val="00027F44"/>
    <w:rsid w:val="0005289F"/>
    <w:rsid w:val="00064C0E"/>
    <w:rsid w:val="0009589E"/>
    <w:rsid w:val="000E7659"/>
    <w:rsid w:val="000F3C5E"/>
    <w:rsid w:val="001373C7"/>
    <w:rsid w:val="00195800"/>
    <w:rsid w:val="001F23FC"/>
    <w:rsid w:val="00214118"/>
    <w:rsid w:val="00242A4B"/>
    <w:rsid w:val="0024332E"/>
    <w:rsid w:val="00245D00"/>
    <w:rsid w:val="002700D2"/>
    <w:rsid w:val="0028483B"/>
    <w:rsid w:val="002E4E98"/>
    <w:rsid w:val="00321940"/>
    <w:rsid w:val="00345385"/>
    <w:rsid w:val="003705FC"/>
    <w:rsid w:val="003856E2"/>
    <w:rsid w:val="00395DC9"/>
    <w:rsid w:val="003A134B"/>
    <w:rsid w:val="003C2233"/>
    <w:rsid w:val="004005D7"/>
    <w:rsid w:val="00436579"/>
    <w:rsid w:val="00485DB2"/>
    <w:rsid w:val="004C5B1E"/>
    <w:rsid w:val="004D2360"/>
    <w:rsid w:val="00522A93"/>
    <w:rsid w:val="00567EB2"/>
    <w:rsid w:val="005879E6"/>
    <w:rsid w:val="005B1E4A"/>
    <w:rsid w:val="005E0A49"/>
    <w:rsid w:val="005E2496"/>
    <w:rsid w:val="005F2FC6"/>
    <w:rsid w:val="00604303"/>
    <w:rsid w:val="0060752A"/>
    <w:rsid w:val="00607602"/>
    <w:rsid w:val="0061730D"/>
    <w:rsid w:val="00643D99"/>
    <w:rsid w:val="00651710"/>
    <w:rsid w:val="00661A70"/>
    <w:rsid w:val="006632BD"/>
    <w:rsid w:val="006C671D"/>
    <w:rsid w:val="006D6347"/>
    <w:rsid w:val="006E6B1D"/>
    <w:rsid w:val="0073607C"/>
    <w:rsid w:val="00756FEA"/>
    <w:rsid w:val="007672DF"/>
    <w:rsid w:val="007A204C"/>
    <w:rsid w:val="007A343C"/>
    <w:rsid w:val="007A4008"/>
    <w:rsid w:val="007D6D30"/>
    <w:rsid w:val="007E5DFB"/>
    <w:rsid w:val="00836788"/>
    <w:rsid w:val="008522EC"/>
    <w:rsid w:val="008859DB"/>
    <w:rsid w:val="008F2FBD"/>
    <w:rsid w:val="00940E12"/>
    <w:rsid w:val="009967DB"/>
    <w:rsid w:val="009B71D8"/>
    <w:rsid w:val="009D7F1F"/>
    <w:rsid w:val="009E1BEE"/>
    <w:rsid w:val="009F4E12"/>
    <w:rsid w:val="00A01F69"/>
    <w:rsid w:val="00A240A9"/>
    <w:rsid w:val="00A43F0D"/>
    <w:rsid w:val="00AA6577"/>
    <w:rsid w:val="00AA6DC0"/>
    <w:rsid w:val="00AB5291"/>
    <w:rsid w:val="00AE20B3"/>
    <w:rsid w:val="00B14EDC"/>
    <w:rsid w:val="00B304E0"/>
    <w:rsid w:val="00B850D4"/>
    <w:rsid w:val="00B92D5B"/>
    <w:rsid w:val="00BB4102"/>
    <w:rsid w:val="00C1445F"/>
    <w:rsid w:val="00C34E3C"/>
    <w:rsid w:val="00C45F3B"/>
    <w:rsid w:val="00CA2790"/>
    <w:rsid w:val="00CB5C44"/>
    <w:rsid w:val="00CE337B"/>
    <w:rsid w:val="00CE3F49"/>
    <w:rsid w:val="00D15036"/>
    <w:rsid w:val="00D77D81"/>
    <w:rsid w:val="00DC1001"/>
    <w:rsid w:val="00E026BB"/>
    <w:rsid w:val="00E043CD"/>
    <w:rsid w:val="00E162A1"/>
    <w:rsid w:val="00E72A8E"/>
    <w:rsid w:val="00ED07FF"/>
    <w:rsid w:val="00ED3E7B"/>
    <w:rsid w:val="00F4148A"/>
    <w:rsid w:val="00F45F9D"/>
    <w:rsid w:val="00FB71D0"/>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5B1A-7590-415D-B838-ABDBBD7F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Quyet (VTTh)</dc:creator>
  <cp:keywords/>
  <dc:description/>
  <cp:lastModifiedBy>Nguyen Ngoc Quyet (VTTh)</cp:lastModifiedBy>
  <cp:revision>105</cp:revision>
  <dcterms:created xsi:type="dcterms:W3CDTF">2021-11-30T10:31:00Z</dcterms:created>
  <dcterms:modified xsi:type="dcterms:W3CDTF">2021-11-30T11:24:00Z</dcterms:modified>
</cp:coreProperties>
</file>