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CA39"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Mục tiêu của Chương trình hành động nhằm tổ chức thể chế hóa và thực hiện đầy đủ các quan điểm, mục tiêu, nhiệm vụ và giải pháp đã đề ra trong Nghị quyết số 57-NQ/TW ngày 22/12/2024 của Bộ Chính trị về đột phá phát triển khoa học, công nghệ, đổi mới sáng tạo và chuyển đổi số quốc gia (Nghị quyết số 57-NQ/TW).</w:t>
      </w:r>
    </w:p>
    <w:p w14:paraId="156ED6A9"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Đồng thời, xác định nhiệm vụ cụ thể để các Bộ, ngành, địa phương xây dựng kế hoạch hành động, tổ chức triển khai, kiểm tra, giám sát, đánh giá việc thực hiện Nghị quyết số 57-NQ/TW, hiện thực hóa mục tiêu đưa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14:paraId="582DBEBA"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Nhằm đạt được mục tiêu Nghị quyết số 57-NQ/TW đề ra, Chính phủ yêu cầu trong thời gian tới, bên cạnh các nhiệm vụ thường xuyên, các Bộ, cơ quan ngang Bộ, cơ quan thuộc Chính phủ, UBND các tỉnh, thành phố trực thuộc Trung ương cần cụ thể hóa và tổ chức triển khai thực hiện các nhiệm vụ sau:</w:t>
      </w:r>
    </w:p>
    <w:p w14:paraId="6DFABB49" w14:textId="77777777" w:rsidR="007677D7" w:rsidRPr="007677D7" w:rsidRDefault="007677D7" w:rsidP="007677D7">
      <w:pPr>
        <w:spacing w:before="120" w:after="0" w:line="240" w:lineRule="auto"/>
        <w:jc w:val="both"/>
        <w:rPr>
          <w:rFonts w:ascii="Arial" w:hAnsi="Arial" w:cs="Arial"/>
          <w:b/>
          <w:bCs/>
          <w:sz w:val="20"/>
          <w:szCs w:val="20"/>
          <w:lang w:val="en-AS"/>
        </w:rPr>
      </w:pPr>
      <w:r w:rsidRPr="007677D7">
        <w:rPr>
          <w:rFonts w:ascii="Arial" w:hAnsi="Arial" w:cs="Arial"/>
          <w:b/>
          <w:bCs/>
          <w:sz w:val="20"/>
          <w:szCs w:val="20"/>
          <w:lang w:val="en-AS"/>
        </w:rP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14:paraId="46EFD7EE"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Xây dựng và đẩy mạnh quảng bá thương hiệu quốc gia về đổi mới sáng tạo; xây dựng nền tảng số, công cụ số để thực hiện đo lường trực tuyến mức độ hoàn thành nhiệm vụ chuyển đổi số; xây dựng kế hoạch triển khai chương trình hành động của Chính phủ với các mục tiêu được lượng hóa cụ thể; giao trách nhiệm người đứng đầu các đơn vị trực tiếp phụ trách, chỉ đạo; phấn đấu bố trí tỉ lệ cán bộ có chuyên môn, kinh nghiệm về khoa học kỹ thuật trong đội ngũ lãnh đạo từng cơ quan, đơn vị nhà nước, hướng tới tối thiểu đạt 25%.</w:t>
      </w:r>
    </w:p>
    <w:p w14:paraId="7A3B9B67"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Rà soát, sửa đổi quy định về khuyến khích, bảo vệ cán bộ năng động, sáng tạo, dám nghĩ, dám làm, dám chịu trách nhiệm vì lợi ích chung theo hướng bổ sung, điều chỉnh để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14:paraId="5BC5A55E" w14:textId="77777777" w:rsidR="007677D7" w:rsidRPr="007677D7" w:rsidRDefault="007677D7" w:rsidP="007677D7">
      <w:pPr>
        <w:spacing w:before="120" w:after="0" w:line="240" w:lineRule="auto"/>
        <w:jc w:val="both"/>
        <w:rPr>
          <w:rFonts w:ascii="Arial" w:hAnsi="Arial" w:cs="Arial"/>
          <w:b/>
          <w:bCs/>
          <w:sz w:val="20"/>
          <w:szCs w:val="20"/>
          <w:lang w:val="en-AS"/>
        </w:rPr>
      </w:pPr>
      <w:r w:rsidRPr="007677D7">
        <w:rPr>
          <w:rFonts w:ascii="Arial" w:hAnsi="Arial" w:cs="Arial"/>
          <w:b/>
          <w:bCs/>
          <w:sz w:val="20"/>
          <w:szCs w:val="20"/>
          <w:lang w:val="en-AS"/>
        </w:rP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14:paraId="4865F72B"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Rà soát, tháo gỡ các điểm nghẽn, rào cản về thể chế, chính sách trong phát triển khoa học, công nghệ, đổi mới sáng tạo, chuyển đổi số và nguồn nhân lực chất lượng cao; hoàn thiện quy định pháp luật để bảo đảm hành lang pháp lý cho hoạt động của mọi ngành, lĩnh vực trên môi trường số.</w:t>
      </w:r>
    </w:p>
    <w:p w14:paraId="0AC7F54E"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Sửa đổi quy định pháp luật để tháo gỡ điểm nghẽn trong hoạt động khoa học, công nghệ và đổi mới sáng tạo theo hướng chấp nhận rủi ro, đầu tư mạo hiểm và độ trễ trong nghiên cứu khoa học, phát triển công nghệ, đổi mới sáng tạo. Sửa đổi Luật Khoa học và Công nghệ (2013) và các luật có liên quan trong dự án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w:t>
      </w:r>
    </w:p>
    <w:p w14:paraId="341A6C28"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Bổ sung các chính sách tháo gỡ điểm nghẽn và hoàn thiện Luật Công nghiệp công nghệ số; rà soát, sắp xếp tổ chức bộ máy, chức năng, nhiệm vụ, quyền hạn của các cơ quan nhà nước từ Trung ương đến địa phương để đảm bảo thống nhất, nâng cao hiệu quả quản lý nhà nước về khoa học, công nghệ, đổi mới sáng tạo và chuyển đổi số...</w:t>
      </w:r>
    </w:p>
    <w:p w14:paraId="74B4048F" w14:textId="77777777" w:rsidR="007677D7" w:rsidRPr="007677D7" w:rsidRDefault="007677D7" w:rsidP="007677D7">
      <w:pPr>
        <w:spacing w:before="120" w:after="0" w:line="240" w:lineRule="auto"/>
        <w:jc w:val="both"/>
        <w:rPr>
          <w:rFonts w:ascii="Arial" w:hAnsi="Arial" w:cs="Arial"/>
          <w:b/>
          <w:bCs/>
          <w:sz w:val="20"/>
          <w:szCs w:val="20"/>
          <w:lang w:val="en-AS"/>
        </w:rPr>
      </w:pPr>
      <w:r w:rsidRPr="007677D7">
        <w:rPr>
          <w:rFonts w:ascii="Arial" w:hAnsi="Arial" w:cs="Arial"/>
          <w:b/>
          <w:bCs/>
          <w:sz w:val="20"/>
          <w:szCs w:val="20"/>
          <w:lang w:val="en-AS"/>
        </w:rPr>
        <w:t>3- Tăng cường đầu tư, hoàn thiện hạ tầng cho khoa học, công nghệ, đổi mới sáng tạo và chuyển đổi số quốc gia. </w:t>
      </w:r>
    </w:p>
    <w:p w14:paraId="391FCD79"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 xml:space="preserve">Phát triển mạng lưới kết nối các trung tâm đổi mới sáng tạo, khởi nghiệp sáng tạo, tập trung vào các công nghệ chiến lược và chuyển đổi số. Thực hiện các chương trình, dự án thúc đẩy các lĩnh vực công nghệ, đổi mới sáng tạo trọng tâm của Trung tâm Đổi mới sáng tạo Quốc gia. Phấn đấu đến năm 2030, có ít nhất </w:t>
      </w:r>
      <w:r w:rsidRPr="007677D7">
        <w:rPr>
          <w:rFonts w:ascii="Arial" w:hAnsi="Arial" w:cs="Arial"/>
          <w:sz w:val="20"/>
          <w:szCs w:val="20"/>
          <w:lang w:val="en-AS"/>
        </w:rPr>
        <w:lastRenderedPageBreak/>
        <w:t>05 dự án, chương trình trong lĩnh vực bán dẫn, trí tuệ nhân tạo, công nghệ số, nhà máy thông minh, đô thị thông minh,... được triển khai.</w:t>
      </w:r>
    </w:p>
    <w:p w14:paraId="141A679D"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Xây dựng, triển khai Chương trình phát triển kinh tế số, xã hội số với các mục tiêu được lượng hóa cụ thể; xây dựng cơ chế, chính sách hỗ trợ, khuyến khích các tổ chức, cá nhân, doanh nghiệp đầu tư, xây dựng các phòng thí nghiệm, trung tâm nghiên cứu và phát triển khoa học, công nghệ; thí điểm triển khai bản sao số cho một số thành phố trực thuộc Trung ương.</w:t>
      </w:r>
    </w:p>
    <w:p w14:paraId="54059E8B"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Xây dựng ngành công nghiệp Internet vạn vật (IoT) và một số khu công nghiệp chuyên biệt phát triển IoT; Chuyển đổi số các khu công nghiệp, cụm công nghiệp theo hướng tăng cường ứng dụng Internet vạn vật (IoT) để trở thành khu công nghiệp, cụm công nghiệp thông minh; Thúc đẩy, phát triển một số ngành, lĩnh vực ứng dụng công nghiệp Internet vạn vật (IoT) như sản xuất, thương mại, năng lượng, nông nghiệp, giao thông, y tế,...</w:t>
      </w:r>
    </w:p>
    <w:p w14:paraId="76A01049" w14:textId="77777777" w:rsidR="007677D7" w:rsidRPr="007677D7" w:rsidRDefault="007677D7" w:rsidP="007677D7">
      <w:pPr>
        <w:spacing w:before="120" w:after="0" w:line="240" w:lineRule="auto"/>
        <w:jc w:val="both"/>
        <w:rPr>
          <w:rFonts w:ascii="Arial" w:hAnsi="Arial" w:cs="Arial"/>
          <w:b/>
          <w:bCs/>
          <w:sz w:val="20"/>
          <w:szCs w:val="20"/>
          <w:lang w:val="en-AS"/>
        </w:rPr>
      </w:pPr>
      <w:r w:rsidRPr="007677D7">
        <w:rPr>
          <w:rFonts w:ascii="Arial" w:hAnsi="Arial" w:cs="Arial"/>
          <w:b/>
          <w:bCs/>
          <w:sz w:val="20"/>
          <w:szCs w:val="20"/>
          <w:lang w:val="en-AS"/>
        </w:rPr>
        <w:t>4- Phát triển, trọng dụng nhân lực chất lượng cao, nhân tài đáp ứng yêu cầu phát triển khoa học, công nghệ, đổi mới sáng tạo và chuyển đổi số quốc gia.</w:t>
      </w:r>
    </w:p>
    <w:p w14:paraId="759DBFE5"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14:paraId="3FD7AC4D"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Triển khai các chương trình đào tạo kỹ sư, thạc sĩ và tiến sĩ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 Tập trung đầu tư xây dựng một số cơ sở giáo dục đại học, trung tâm đào tạo tiên tiến chuyên sâu về trí tuệ nhân tạo và các lĩnh vực công nghệ chiến lược khác.</w:t>
      </w:r>
    </w:p>
    <w:p w14:paraId="4FF9E668"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Đổi mới chương trình đào tạo, đa dạng hóa phương thức tổ chức đào tạo các ngành STEM; xây dựng nền tảng giáo dục, đào tạo trực tuyến theo tiêu chuẩn quốc tế, phát triển mô hình giáo dục đại học số kết hợp ứng dụng các công nghệ tiên tiến như trí tuệ nhân tạo, không gian ảo.</w:t>
      </w:r>
    </w:p>
    <w:p w14:paraId="4108F4DB"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vùng, miền...</w:t>
      </w:r>
    </w:p>
    <w:p w14:paraId="0FA63D91" w14:textId="77777777" w:rsidR="007677D7" w:rsidRPr="007677D7" w:rsidRDefault="007677D7" w:rsidP="007677D7">
      <w:pPr>
        <w:spacing w:before="120" w:after="0" w:line="240" w:lineRule="auto"/>
        <w:jc w:val="both"/>
        <w:rPr>
          <w:rFonts w:ascii="Arial" w:hAnsi="Arial" w:cs="Arial"/>
          <w:b/>
          <w:bCs/>
          <w:sz w:val="20"/>
          <w:szCs w:val="20"/>
          <w:lang w:val="en-AS"/>
        </w:rPr>
      </w:pPr>
      <w:r w:rsidRPr="007677D7">
        <w:rPr>
          <w:rFonts w:ascii="Arial" w:hAnsi="Arial" w:cs="Arial"/>
          <w:b/>
          <w:bCs/>
          <w:sz w:val="20"/>
          <w:szCs w:val="20"/>
          <w:lang w:val="en-AS"/>
        </w:rP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14:paraId="7794AC81"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Đẩy mạnh ứng dụng khoa học và công nghệ để xây dựng các cơ sở khoa học nhằm trợ giúp việc ra quyết định trong hoạt động của các cơ quan quản lý nhà nước; xây dựng mô hình Trung tâm giám sát điều hành thông minh nhằm tăng cường quản lý công, nâng cao hiệu lực quản trị, hiệu quả điều hành của các cấp chính quyền.</w:t>
      </w:r>
    </w:p>
    <w:p w14:paraId="1DAABFFC"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Nâng cao chất lượng cung cấp dịch vụ công trực tuyến toàn trình; cung cấp dịch vụ số mới được cá nhân hóa, dựa trên dữ liệu cho người dân và doanh nghiệp; cắt giảm đơn giản hóa tối đa thủ tục hành chính, thời gian giải quyết, chi phí tuân thủ thủ tục hành chính; đổi mới toàn diện việc giải quyết thủ tục hành chính, thực hiện thủ tục hành chính không phụ thuộc vào địa giới hành chính; tăng cường chỉ đạo điều hành, giám sát đánh giá chất lượng phục vụ người dân, doanh nghiệp trong thực hiện thủ tục hành chính, dịch vụ công dựa trên dữ liệu và trách nhiệm giải trình của cơ quan nhà nước, người có thẩm quyền trong phục vụ nhân dân.</w:t>
      </w:r>
    </w:p>
    <w:p w14:paraId="3A93E869"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Đẩy mạnh chuyển đổi số trong lĩnh vực văn hóa để phát triển công nghiệp văn hoá. Xây dựng và phát triển các sản phẩm văn hóa số chất lượng cao; khuyến khích, thu hút đông đảo cộng đồng tham gia sáng tạo, sản xuất các sản phẩm văn hóa số tích cực, lành mạnh và hướng thiện trên môi trường số...</w:t>
      </w:r>
    </w:p>
    <w:p w14:paraId="5747D105" w14:textId="77777777" w:rsidR="007677D7" w:rsidRPr="007677D7" w:rsidRDefault="007677D7" w:rsidP="007677D7">
      <w:pPr>
        <w:spacing w:before="120" w:after="0" w:line="240" w:lineRule="auto"/>
        <w:jc w:val="both"/>
        <w:rPr>
          <w:rFonts w:ascii="Arial" w:hAnsi="Arial" w:cs="Arial"/>
          <w:b/>
          <w:bCs/>
          <w:sz w:val="20"/>
          <w:szCs w:val="20"/>
          <w:lang w:val="en-AS"/>
        </w:rPr>
      </w:pPr>
      <w:r w:rsidRPr="007677D7">
        <w:rPr>
          <w:rFonts w:ascii="Arial" w:hAnsi="Arial" w:cs="Arial"/>
          <w:b/>
          <w:bCs/>
          <w:sz w:val="20"/>
          <w:szCs w:val="20"/>
          <w:lang w:val="en-AS"/>
        </w:rPr>
        <w:t>6- Thúc đẩy mạnh mẽ hoạt động khoa học, công nghệ, đổi mới sáng tạo và chuyển đổi số trong doanh nghiệp.</w:t>
      </w:r>
    </w:p>
    <w:p w14:paraId="792A9497"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lastRenderedPageBreak/>
        <w:t>Rà soát,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14:paraId="719354A5"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Tổ chức thực hiện các giải pháp để thúc đẩy việc chuyển giao tri thức, đào tạo nhân lực khoa học, công nghệ, đổi mới sáng tạo thông qua doanh nghiệp có vốn đầu tư trực tiếp nước ngoài (FDI); xây dựng các giải pháp hỗ trợ doanh nghiệp công nghệ trong nước đầu tư ra nước ngoài.</w:t>
      </w:r>
    </w:p>
    <w:p w14:paraId="3C233E72"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 lập các cơ sở nghiên cứu chính sách về công nghệ số và chuyển giao những thành tựu công nghệ số hiện đại từ nước ngoài vào trong nước.</w:t>
      </w:r>
    </w:p>
    <w:p w14:paraId="2F1F62AC"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Xây dựng cơ chế, chính sách hỗ trợ các doanh nghiệp công nghệ số, tổ chức, cá nhân có năng lực, thực hiện các nhiệm vụ trọng điểm về chuyển đổi số; chính sách hỗ trợ, phát triển các doanh nghiệp công nghệ số khai thác tốt thị trường chuyển đổi số trong nước vươn ra toàn cầu; thúc đẩy sự phát triển của doanh nghiệp nhỏ và vừa...</w:t>
      </w:r>
    </w:p>
    <w:p w14:paraId="6219305B" w14:textId="77777777" w:rsidR="007677D7" w:rsidRPr="007677D7" w:rsidRDefault="007677D7" w:rsidP="007677D7">
      <w:pPr>
        <w:spacing w:before="120" w:after="0" w:line="240" w:lineRule="auto"/>
        <w:jc w:val="both"/>
        <w:rPr>
          <w:rFonts w:ascii="Arial" w:hAnsi="Arial" w:cs="Arial"/>
          <w:b/>
          <w:bCs/>
          <w:sz w:val="20"/>
          <w:szCs w:val="20"/>
          <w:lang w:val="en-AS"/>
        </w:rPr>
      </w:pPr>
      <w:r w:rsidRPr="007677D7">
        <w:rPr>
          <w:rFonts w:ascii="Arial" w:hAnsi="Arial" w:cs="Arial"/>
          <w:b/>
          <w:bCs/>
          <w:sz w:val="20"/>
          <w:szCs w:val="20"/>
          <w:lang w:val="en-AS"/>
        </w:rPr>
        <w:t>7- Tăng cường hợp tác quốc tế trong phát triển khoa học, công nghệ, đổi mới sáng tạo và chuyển đổi số.</w:t>
      </w:r>
    </w:p>
    <w:p w14:paraId="7B610505" w14:textId="77777777" w:rsidR="007677D7" w:rsidRP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Đẩy mạnh hợp tác quốc tế đa phương, song phương với các quốc gia, vùng lãnh thổ, các tập đoàn đa quốc gia có trình độ khoa học, công nghệ, chuyển đổi số phát triển, các tổ chức quốc tế, các viện nghiên cứu hàng đầu thế giới về khoa học, công nghệ và đổi mới sáng tạo; đẩy mạnh ngoại giao công nghệ, thu hút các nguồn lực bên ngoài, góp phần đảm bảo an ninh kinh tế, nâng cao tự chủ về công nghệ.</w:t>
      </w:r>
    </w:p>
    <w:p w14:paraId="35FF8C41" w14:textId="52B04C99" w:rsidR="007677D7" w:rsidRDefault="007677D7" w:rsidP="007677D7">
      <w:pPr>
        <w:spacing w:before="120" w:after="0" w:line="240" w:lineRule="auto"/>
        <w:jc w:val="both"/>
        <w:rPr>
          <w:rFonts w:ascii="Arial" w:hAnsi="Arial" w:cs="Arial"/>
          <w:sz w:val="20"/>
          <w:szCs w:val="20"/>
          <w:lang w:val="en-AS"/>
        </w:rPr>
      </w:pPr>
      <w:r w:rsidRPr="007677D7">
        <w:rPr>
          <w:rFonts w:ascii="Arial" w:hAnsi="Arial" w:cs="Arial"/>
          <w:sz w:val="20"/>
          <w:szCs w:val="20"/>
          <w:lang w:val="en-AS"/>
        </w:rP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mới về khoa học, công nghệ, đổi mới sáng tạo và chuyển đổi số...</w:t>
      </w:r>
    </w:p>
    <w:p w14:paraId="5BB9CFBB" w14:textId="2FD5DE4E" w:rsidR="007677D7" w:rsidRPr="00AC7E80" w:rsidRDefault="00AC7E80" w:rsidP="007677D7">
      <w:pPr>
        <w:spacing w:before="120" w:after="0" w:line="240" w:lineRule="auto"/>
        <w:jc w:val="both"/>
        <w:rPr>
          <w:rFonts w:ascii="Arial" w:hAnsi="Arial" w:cs="Arial"/>
          <w:b/>
          <w:bCs/>
          <w:sz w:val="20"/>
          <w:szCs w:val="20"/>
          <w:lang w:val="en-AS"/>
        </w:rPr>
      </w:pPr>
      <w:r>
        <w:rPr>
          <w:rFonts w:ascii="Arial" w:hAnsi="Arial" w:cs="Arial"/>
          <w:b/>
          <w:bCs/>
          <w:sz w:val="20"/>
          <w:szCs w:val="20"/>
          <w:lang w:val="en-AS"/>
        </w:rPr>
        <w:t>PV</w:t>
      </w:r>
    </w:p>
    <w:p w14:paraId="13D83071" w14:textId="77777777" w:rsidR="007677D7" w:rsidRPr="007677D7" w:rsidRDefault="007677D7" w:rsidP="007677D7">
      <w:pPr>
        <w:spacing w:before="120" w:after="0" w:line="240" w:lineRule="auto"/>
        <w:jc w:val="both"/>
        <w:rPr>
          <w:rFonts w:ascii="Arial" w:hAnsi="Arial" w:cs="Arial"/>
          <w:b/>
          <w:bCs/>
          <w:sz w:val="20"/>
          <w:szCs w:val="20"/>
          <w:lang w:val="en-AS"/>
        </w:rPr>
      </w:pPr>
    </w:p>
    <w:p w14:paraId="563774D6" w14:textId="77777777" w:rsidR="00100810" w:rsidRPr="007677D7" w:rsidRDefault="00100810" w:rsidP="007677D7">
      <w:pPr>
        <w:spacing w:before="120" w:after="0" w:line="240" w:lineRule="auto"/>
        <w:jc w:val="both"/>
        <w:rPr>
          <w:rFonts w:ascii="Arial" w:hAnsi="Arial" w:cs="Arial"/>
          <w:sz w:val="20"/>
          <w:szCs w:val="20"/>
        </w:rPr>
      </w:pPr>
    </w:p>
    <w:sectPr w:rsidR="00100810" w:rsidRPr="00767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D7"/>
    <w:rsid w:val="000C50FC"/>
    <w:rsid w:val="000F1D39"/>
    <w:rsid w:val="00100810"/>
    <w:rsid w:val="007677D7"/>
    <w:rsid w:val="00AC7E80"/>
    <w:rsid w:val="00D8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224C"/>
  <w15:chartTrackingRefBased/>
  <w15:docId w15:val="{E2E96081-B24F-4FCD-8CF1-C87B1878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7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7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7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77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77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77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77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77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7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7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7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77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77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77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77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77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7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7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7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77D7"/>
    <w:pPr>
      <w:spacing w:before="160"/>
      <w:jc w:val="center"/>
    </w:pPr>
    <w:rPr>
      <w:i/>
      <w:iCs/>
      <w:color w:val="404040" w:themeColor="text1" w:themeTint="BF"/>
    </w:rPr>
  </w:style>
  <w:style w:type="character" w:customStyle="1" w:styleId="QuoteChar">
    <w:name w:val="Quote Char"/>
    <w:basedOn w:val="DefaultParagraphFont"/>
    <w:link w:val="Quote"/>
    <w:uiPriority w:val="29"/>
    <w:rsid w:val="007677D7"/>
    <w:rPr>
      <w:i/>
      <w:iCs/>
      <w:color w:val="404040" w:themeColor="text1" w:themeTint="BF"/>
    </w:rPr>
  </w:style>
  <w:style w:type="paragraph" w:styleId="ListParagraph">
    <w:name w:val="List Paragraph"/>
    <w:basedOn w:val="Normal"/>
    <w:uiPriority w:val="34"/>
    <w:qFormat/>
    <w:rsid w:val="007677D7"/>
    <w:pPr>
      <w:ind w:left="720"/>
      <w:contextualSpacing/>
    </w:pPr>
  </w:style>
  <w:style w:type="character" w:styleId="IntenseEmphasis">
    <w:name w:val="Intense Emphasis"/>
    <w:basedOn w:val="DefaultParagraphFont"/>
    <w:uiPriority w:val="21"/>
    <w:qFormat/>
    <w:rsid w:val="007677D7"/>
    <w:rPr>
      <w:i/>
      <w:iCs/>
      <w:color w:val="0F4761" w:themeColor="accent1" w:themeShade="BF"/>
    </w:rPr>
  </w:style>
  <w:style w:type="paragraph" w:styleId="IntenseQuote">
    <w:name w:val="Intense Quote"/>
    <w:basedOn w:val="Normal"/>
    <w:next w:val="Normal"/>
    <w:link w:val="IntenseQuoteChar"/>
    <w:uiPriority w:val="30"/>
    <w:qFormat/>
    <w:rsid w:val="00767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7D7"/>
    <w:rPr>
      <w:i/>
      <w:iCs/>
      <w:color w:val="0F4761" w:themeColor="accent1" w:themeShade="BF"/>
    </w:rPr>
  </w:style>
  <w:style w:type="character" w:styleId="IntenseReference">
    <w:name w:val="Intense Reference"/>
    <w:basedOn w:val="DefaultParagraphFont"/>
    <w:uiPriority w:val="32"/>
    <w:qFormat/>
    <w:rsid w:val="007677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5439">
      <w:bodyDiv w:val="1"/>
      <w:marLeft w:val="0"/>
      <w:marRight w:val="0"/>
      <w:marTop w:val="0"/>
      <w:marBottom w:val="0"/>
      <w:divBdr>
        <w:top w:val="none" w:sz="0" w:space="0" w:color="auto"/>
        <w:left w:val="none" w:sz="0" w:space="0" w:color="auto"/>
        <w:bottom w:val="none" w:sz="0" w:space="0" w:color="auto"/>
        <w:right w:val="none" w:sz="0" w:space="0" w:color="auto"/>
      </w:divBdr>
    </w:div>
    <w:div w:id="770853044">
      <w:bodyDiv w:val="1"/>
      <w:marLeft w:val="0"/>
      <w:marRight w:val="0"/>
      <w:marTop w:val="0"/>
      <w:marBottom w:val="0"/>
      <w:divBdr>
        <w:top w:val="none" w:sz="0" w:space="0" w:color="auto"/>
        <w:left w:val="none" w:sz="0" w:space="0" w:color="auto"/>
        <w:bottom w:val="none" w:sz="0" w:space="0" w:color="auto"/>
        <w:right w:val="none" w:sz="0" w:space="0" w:color="auto"/>
      </w:divBdr>
    </w:div>
    <w:div w:id="876115339">
      <w:bodyDiv w:val="1"/>
      <w:marLeft w:val="0"/>
      <w:marRight w:val="0"/>
      <w:marTop w:val="0"/>
      <w:marBottom w:val="0"/>
      <w:divBdr>
        <w:top w:val="none" w:sz="0" w:space="0" w:color="auto"/>
        <w:left w:val="none" w:sz="0" w:space="0" w:color="auto"/>
        <w:bottom w:val="none" w:sz="0" w:space="0" w:color="auto"/>
        <w:right w:val="none" w:sz="0" w:space="0" w:color="auto"/>
      </w:divBdr>
    </w:div>
    <w:div w:id="914700881">
      <w:bodyDiv w:val="1"/>
      <w:marLeft w:val="0"/>
      <w:marRight w:val="0"/>
      <w:marTop w:val="0"/>
      <w:marBottom w:val="0"/>
      <w:divBdr>
        <w:top w:val="none" w:sz="0" w:space="0" w:color="auto"/>
        <w:left w:val="none" w:sz="0" w:space="0" w:color="auto"/>
        <w:bottom w:val="none" w:sz="0" w:space="0" w:color="auto"/>
        <w:right w:val="none" w:sz="0" w:space="0" w:color="auto"/>
      </w:divBdr>
    </w:div>
    <w:div w:id="1163277638">
      <w:bodyDiv w:val="1"/>
      <w:marLeft w:val="0"/>
      <w:marRight w:val="0"/>
      <w:marTop w:val="0"/>
      <w:marBottom w:val="0"/>
      <w:divBdr>
        <w:top w:val="none" w:sz="0" w:space="0" w:color="auto"/>
        <w:left w:val="none" w:sz="0" w:space="0" w:color="auto"/>
        <w:bottom w:val="none" w:sz="0" w:space="0" w:color="auto"/>
        <w:right w:val="none" w:sz="0" w:space="0" w:color="auto"/>
      </w:divBdr>
    </w:div>
    <w:div w:id="188482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canhtbnh@gmail.com</dc:creator>
  <cp:keywords/>
  <dc:description/>
  <cp:lastModifiedBy>canhtbnh@gmail.com</cp:lastModifiedBy>
  <cp:revision>2</cp:revision>
  <dcterms:created xsi:type="dcterms:W3CDTF">2025-04-09T00:26:00Z</dcterms:created>
  <dcterms:modified xsi:type="dcterms:W3CDTF">2025-04-09T00:37:00Z</dcterms:modified>
</cp:coreProperties>
</file>