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4D0" w:rsidRPr="00A441C4" w:rsidRDefault="001F64D0" w:rsidP="001F64D0">
      <w:pPr>
        <w:rPr>
          <w:rFonts w:ascii="Arial" w:hAnsi="Arial" w:cs="Arial"/>
          <w:sz w:val="18"/>
          <w:szCs w:val="18"/>
          <w:lang w:val="vi-VN" w:eastAsia="vi-VN"/>
        </w:rPr>
      </w:pPr>
      <w:r w:rsidRPr="00A441C4">
        <w:rPr>
          <w:rFonts w:ascii="Arial" w:hAnsi="Arial" w:cs="Arial"/>
          <w:sz w:val="18"/>
          <w:szCs w:val="18"/>
          <w:lang w:val="vi-VN" w:eastAsia="vi-VN"/>
        </w:rPr>
        <w:t>Weekly information on banking operations (</w:t>
      </w:r>
      <w:r w:rsidRPr="00A441C4">
        <w:rPr>
          <w:rFonts w:ascii="Arial" w:hAnsi="Arial" w:cs="Arial"/>
          <w:sz w:val="18"/>
          <w:szCs w:val="18"/>
          <w:lang w:eastAsia="vi-VN"/>
        </w:rPr>
        <w:t xml:space="preserve">October  26 -30, </w:t>
      </w:r>
      <w:r w:rsidRPr="00A441C4">
        <w:rPr>
          <w:rFonts w:ascii="Arial" w:hAnsi="Arial" w:cs="Arial"/>
          <w:sz w:val="18"/>
          <w:szCs w:val="18"/>
          <w:lang w:val="vi-VN" w:eastAsia="vi-VN"/>
        </w:rPr>
        <w:t xml:space="preserve">2015) </w:t>
      </w:r>
    </w:p>
    <w:p w:rsidR="001F64D0" w:rsidRPr="00A441C4" w:rsidRDefault="001F64D0" w:rsidP="001F64D0">
      <w:pPr>
        <w:shd w:val="clear" w:color="auto" w:fill="FFFFFF"/>
        <w:spacing w:before="100" w:beforeAutospacing="1" w:after="120"/>
        <w:jc w:val="both"/>
        <w:rPr>
          <w:rFonts w:ascii="Arial" w:hAnsi="Arial" w:cs="Arial"/>
          <w:sz w:val="18"/>
          <w:szCs w:val="18"/>
          <w:lang w:val="vi-VN" w:eastAsia="vi-VN"/>
        </w:rPr>
      </w:pPr>
      <w:r w:rsidRPr="00A441C4">
        <w:rPr>
          <w:rFonts w:ascii="Arial" w:hAnsi="Arial" w:cs="Arial"/>
          <w:b/>
          <w:bCs/>
          <w:sz w:val="18"/>
          <w:szCs w:val="18"/>
          <w:lang w:val="vi-VN" w:eastAsia="vi-VN"/>
        </w:rPr>
        <w:t>1. Mobilizing and lending rates:</w:t>
      </w:r>
    </w:p>
    <w:p w:rsidR="001F64D0" w:rsidRPr="00A441C4" w:rsidRDefault="001F64D0" w:rsidP="001F64D0">
      <w:pPr>
        <w:shd w:val="clear" w:color="auto" w:fill="FFFFFF"/>
        <w:spacing w:before="100" w:beforeAutospacing="1" w:after="120"/>
        <w:jc w:val="both"/>
        <w:rPr>
          <w:rFonts w:ascii="Arial" w:hAnsi="Arial" w:cs="Arial"/>
          <w:sz w:val="18"/>
          <w:szCs w:val="18"/>
          <w:lang w:val="vi-VN" w:eastAsia="vi-VN"/>
        </w:rPr>
      </w:pPr>
      <w:r w:rsidRPr="00A441C4">
        <w:rPr>
          <w:rFonts w:ascii="Arial" w:hAnsi="Arial" w:cs="Arial"/>
          <w:b/>
          <w:bCs/>
          <w:sz w:val="18"/>
          <w:szCs w:val="18"/>
          <w:lang w:val="vi-VN" w:eastAsia="vi-VN"/>
        </w:rPr>
        <w:t>1.1. Mobilizing rates:</w:t>
      </w:r>
    </w:p>
    <w:p w:rsidR="001F64D0" w:rsidRPr="00A441C4" w:rsidRDefault="001F64D0" w:rsidP="001F64D0">
      <w:pPr>
        <w:shd w:val="clear" w:color="auto" w:fill="FFFFFF"/>
        <w:spacing w:before="100" w:beforeAutospacing="1" w:after="120" w:line="360" w:lineRule="auto"/>
        <w:jc w:val="both"/>
        <w:rPr>
          <w:rFonts w:ascii="Arial" w:hAnsi="Arial" w:cs="Arial"/>
          <w:sz w:val="18"/>
          <w:szCs w:val="18"/>
          <w:lang w:val="vi-VN" w:eastAsia="vi-VN"/>
        </w:rPr>
      </w:pPr>
      <w:r w:rsidRPr="00A441C4">
        <w:rPr>
          <w:rFonts w:ascii="Arial" w:hAnsi="Arial" w:cs="Arial"/>
          <w:sz w:val="18"/>
          <w:szCs w:val="18"/>
          <w:lang w:val="vi-VN" w:eastAsia="vi-VN"/>
        </w:rPr>
        <w:t xml:space="preserve">- The VND mobilizing rates </w:t>
      </w:r>
      <w:r w:rsidRPr="00A441C4">
        <w:rPr>
          <w:rFonts w:ascii="Arial" w:hAnsi="Arial" w:cs="Arial"/>
          <w:sz w:val="18"/>
          <w:szCs w:val="18"/>
          <w:lang w:eastAsia="vi-VN"/>
        </w:rPr>
        <w:t>continued to be</w:t>
      </w:r>
      <w:r w:rsidRPr="00A441C4">
        <w:rPr>
          <w:rFonts w:ascii="Arial" w:hAnsi="Arial" w:cs="Arial"/>
          <w:sz w:val="18"/>
          <w:szCs w:val="18"/>
          <w:lang w:val="vi-VN" w:eastAsia="vi-VN"/>
        </w:rPr>
        <w:t xml:space="preserve"> stable. The rates were commonly 0.8 - 1% p.a for demand and below 1 month terms, 4.5 - 5.4% p.a for 1 to below 6 month terms, 5.4 - 6.5% p.a for 6 month to below 12 month terms; and 6.4 – 7.2% p.a for 12 month plus terms.</w:t>
      </w:r>
    </w:p>
    <w:p w:rsidR="001F64D0" w:rsidRPr="00A441C4" w:rsidRDefault="001F64D0" w:rsidP="001F64D0">
      <w:pPr>
        <w:pStyle w:val="NormalWeb"/>
        <w:spacing w:before="0" w:beforeAutospacing="0" w:after="0" w:afterAutospacing="0" w:line="360" w:lineRule="auto"/>
        <w:jc w:val="both"/>
        <w:rPr>
          <w:rFonts w:ascii="Arial" w:hAnsi="Arial" w:cs="Arial"/>
          <w:b/>
          <w:bCs/>
          <w:sz w:val="18"/>
          <w:szCs w:val="18"/>
          <w:lang w:eastAsia="vi-VN"/>
        </w:rPr>
      </w:pPr>
      <w:r w:rsidRPr="00A441C4">
        <w:rPr>
          <w:rFonts w:ascii="Arial" w:hAnsi="Arial" w:cs="Arial"/>
          <w:sz w:val="18"/>
          <w:szCs w:val="18"/>
          <w:lang w:val="vi-VN" w:eastAsia="vi-VN"/>
        </w:rPr>
        <w:t>- The USD mobilizing rates were commonly 0.</w:t>
      </w:r>
      <w:r w:rsidRPr="00A441C4">
        <w:rPr>
          <w:rFonts w:ascii="Arial" w:hAnsi="Arial" w:cs="Arial"/>
          <w:sz w:val="18"/>
          <w:szCs w:val="18"/>
          <w:lang w:eastAsia="vi-VN"/>
        </w:rPr>
        <w:t>2</w:t>
      </w:r>
      <w:r w:rsidRPr="00A441C4">
        <w:rPr>
          <w:rFonts w:ascii="Arial" w:hAnsi="Arial" w:cs="Arial"/>
          <w:sz w:val="18"/>
          <w:szCs w:val="18"/>
          <w:lang w:val="vi-VN" w:eastAsia="vi-VN"/>
        </w:rPr>
        <w:t>5% p.a for individuals and 0% p.a for economic institutions</w:t>
      </w:r>
      <w:r w:rsidRPr="00A441C4">
        <w:rPr>
          <w:rFonts w:ascii="Arial" w:hAnsi="Arial" w:cs="Arial"/>
          <w:b/>
          <w:bCs/>
          <w:sz w:val="18"/>
          <w:szCs w:val="18"/>
          <w:lang w:eastAsia="vi-VN"/>
        </w:rPr>
        <w:t>.</w:t>
      </w:r>
    </w:p>
    <w:p w:rsidR="001F64D0" w:rsidRPr="00A441C4" w:rsidRDefault="001F64D0" w:rsidP="001F64D0">
      <w:pPr>
        <w:pStyle w:val="NormalWeb"/>
        <w:spacing w:before="0" w:beforeAutospacing="0" w:after="0" w:afterAutospacing="0" w:line="360" w:lineRule="auto"/>
        <w:jc w:val="both"/>
        <w:rPr>
          <w:rFonts w:ascii="Arial" w:hAnsi="Arial" w:cs="Arial"/>
          <w:sz w:val="18"/>
          <w:szCs w:val="18"/>
          <w:lang w:val="vi-VN" w:eastAsia="vi-VN"/>
        </w:rPr>
      </w:pPr>
      <w:r w:rsidRPr="00A441C4">
        <w:rPr>
          <w:rFonts w:ascii="Arial" w:hAnsi="Arial" w:cs="Arial"/>
          <w:b/>
          <w:bCs/>
          <w:sz w:val="18"/>
          <w:szCs w:val="18"/>
          <w:lang w:val="vi-VN" w:eastAsia="vi-VN"/>
        </w:rPr>
        <w:t>1.2. Lending rates:</w:t>
      </w:r>
    </w:p>
    <w:p w:rsidR="001F64D0" w:rsidRPr="00A441C4" w:rsidRDefault="001F64D0" w:rsidP="001F64D0">
      <w:pPr>
        <w:shd w:val="clear" w:color="auto" w:fill="FFFFFF"/>
        <w:spacing w:before="100" w:beforeAutospacing="1" w:after="120" w:line="360" w:lineRule="auto"/>
        <w:jc w:val="both"/>
        <w:rPr>
          <w:rFonts w:ascii="Arial" w:hAnsi="Arial" w:cs="Arial"/>
          <w:sz w:val="18"/>
          <w:szCs w:val="18"/>
          <w:lang w:eastAsia="vi-VN"/>
        </w:rPr>
      </w:pPr>
      <w:r w:rsidRPr="00A441C4">
        <w:rPr>
          <w:rFonts w:ascii="Arial" w:hAnsi="Arial" w:cs="Arial"/>
          <w:sz w:val="18"/>
          <w:szCs w:val="18"/>
          <w:lang w:val="vi-VN" w:eastAsia="vi-VN"/>
        </w:rPr>
        <w:t xml:space="preserve">- The VND lending rates continued to be stable. The average rates were commonly 6- 7% p.a for short-term loans for priority fields, and state-owned joint-stock commercial banks continued offering the rates of 9 - 10 % p.a for medium and long-term loans for priority fields; and the rates were commonly </w:t>
      </w:r>
      <w:r w:rsidRPr="00A441C4">
        <w:rPr>
          <w:rFonts w:ascii="Arial" w:hAnsi="Arial" w:cs="Arial"/>
          <w:sz w:val="18"/>
          <w:szCs w:val="18"/>
          <w:lang w:eastAsia="vi-VN"/>
        </w:rPr>
        <w:t>6.8%</w:t>
      </w:r>
      <w:r w:rsidRPr="00A441C4">
        <w:rPr>
          <w:rFonts w:ascii="Arial" w:hAnsi="Arial" w:cs="Arial"/>
          <w:sz w:val="18"/>
          <w:szCs w:val="18"/>
          <w:lang w:val="vi-VN" w:eastAsia="vi-VN"/>
        </w:rPr>
        <w:t xml:space="preserve"> - 9% p.a for short-term and 9.3 – 11% p.a for medium and long-term ordinary loans.</w:t>
      </w:r>
    </w:p>
    <w:p w:rsidR="001F64D0" w:rsidRPr="00A441C4" w:rsidRDefault="001F64D0" w:rsidP="001F64D0">
      <w:pPr>
        <w:shd w:val="clear" w:color="auto" w:fill="FFFFFF"/>
        <w:spacing w:before="100" w:beforeAutospacing="1" w:after="120" w:line="360" w:lineRule="auto"/>
        <w:jc w:val="both"/>
        <w:rPr>
          <w:rFonts w:ascii="Arial" w:hAnsi="Arial" w:cs="Arial"/>
          <w:sz w:val="18"/>
          <w:szCs w:val="18"/>
          <w:lang w:eastAsia="vi-VN"/>
        </w:rPr>
      </w:pPr>
      <w:r w:rsidRPr="00A441C4">
        <w:rPr>
          <w:rFonts w:ascii="Arial" w:hAnsi="Arial" w:cs="Arial"/>
          <w:sz w:val="18"/>
          <w:szCs w:val="18"/>
          <w:lang w:val="vi-VN" w:eastAsia="vi-VN"/>
        </w:rPr>
        <w:t xml:space="preserve">- The USD lending rates were </w:t>
      </w:r>
      <w:r w:rsidRPr="00A441C4">
        <w:rPr>
          <w:rFonts w:ascii="Arial" w:hAnsi="Arial" w:cs="Arial"/>
          <w:sz w:val="18"/>
          <w:szCs w:val="18"/>
          <w:lang w:eastAsia="vi-VN"/>
        </w:rPr>
        <w:t xml:space="preserve">stable and commonly ranged from </w:t>
      </w:r>
      <w:r w:rsidRPr="00A441C4">
        <w:rPr>
          <w:rFonts w:ascii="Arial" w:hAnsi="Arial" w:cs="Arial"/>
          <w:sz w:val="18"/>
          <w:szCs w:val="18"/>
          <w:lang w:val="vi-VN" w:eastAsia="vi-VN"/>
        </w:rPr>
        <w:t>3 – 6.7% p.a. The rates were 3 – 5.5% p.a for short term and 5.5 – 6.7% p.a for medium and long terms.</w:t>
      </w:r>
    </w:p>
    <w:p w:rsidR="001F64D0" w:rsidRPr="00A441C4" w:rsidRDefault="001F64D0" w:rsidP="001F64D0">
      <w:pPr>
        <w:shd w:val="clear" w:color="auto" w:fill="FFFFFF"/>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The specific lending rates were as follows:</w:t>
      </w:r>
    </w:p>
    <w:tbl>
      <w:tblPr>
        <w:tblW w:w="0" w:type="auto"/>
        <w:jc w:val="center"/>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tblPr>
      <w:tblGrid>
        <w:gridCol w:w="2089"/>
        <w:gridCol w:w="2277"/>
        <w:gridCol w:w="1434"/>
        <w:gridCol w:w="1299"/>
      </w:tblGrid>
      <w:tr w:rsidR="001F64D0" w:rsidRPr="00A441C4" w:rsidTr="0097784D">
        <w:trPr>
          <w:jc w:val="center"/>
        </w:trPr>
        <w:tc>
          <w:tcPr>
            <w:tcW w:w="2089" w:type="dxa"/>
            <w:tcBorders>
              <w:right w:val="single" w:sz="4" w:space="0" w:color="000000"/>
            </w:tcBorders>
            <w:shd w:val="clear" w:color="auto" w:fill="FFFFFF"/>
            <w:vAlign w:val="center"/>
            <w:hideMark/>
          </w:tcPr>
          <w:p w:rsidR="001F64D0" w:rsidRPr="00A441C4" w:rsidRDefault="001F64D0" w:rsidP="0097784D">
            <w:pPr>
              <w:spacing w:before="100" w:beforeAutospacing="1" w:after="120"/>
              <w:jc w:val="center"/>
              <w:rPr>
                <w:rFonts w:ascii="Arial" w:hAnsi="Arial" w:cs="Arial"/>
                <w:sz w:val="18"/>
                <w:szCs w:val="18"/>
                <w:lang w:val="vi-VN" w:eastAsia="vi-VN"/>
              </w:rPr>
            </w:pPr>
            <w:r w:rsidRPr="00A441C4">
              <w:rPr>
                <w:rFonts w:ascii="Arial" w:hAnsi="Arial" w:cs="Arial"/>
                <w:sz w:val="18"/>
                <w:szCs w:val="18"/>
                <w:lang w:val="vi-VN" w:eastAsia="vi-VN"/>
              </w:rPr>
              <w:t>Groups of commercial banks</w:t>
            </w:r>
          </w:p>
        </w:tc>
        <w:tc>
          <w:tcPr>
            <w:tcW w:w="2277" w:type="dxa"/>
            <w:tcBorders>
              <w:right w:val="single" w:sz="4" w:space="0" w:color="000000"/>
            </w:tcBorders>
            <w:shd w:val="clear" w:color="auto" w:fill="FFFFFF"/>
            <w:vAlign w:val="center"/>
            <w:hideMark/>
          </w:tcPr>
          <w:p w:rsidR="001F64D0" w:rsidRPr="00A441C4" w:rsidRDefault="001F64D0" w:rsidP="0097784D">
            <w:pPr>
              <w:spacing w:before="100" w:beforeAutospacing="1" w:after="120"/>
              <w:jc w:val="center"/>
              <w:rPr>
                <w:rFonts w:ascii="Arial" w:hAnsi="Arial" w:cs="Arial"/>
                <w:sz w:val="18"/>
                <w:szCs w:val="18"/>
                <w:lang w:val="vi-VN" w:eastAsia="vi-VN"/>
              </w:rPr>
            </w:pPr>
            <w:r w:rsidRPr="00A441C4">
              <w:rPr>
                <w:rFonts w:ascii="Arial" w:hAnsi="Arial" w:cs="Arial"/>
                <w:sz w:val="18"/>
                <w:szCs w:val="18"/>
                <w:lang w:val="vi-VN" w:eastAsia="vi-VN"/>
              </w:rPr>
              <w:t>Currency</w:t>
            </w:r>
          </w:p>
        </w:tc>
        <w:tc>
          <w:tcPr>
            <w:tcW w:w="1434" w:type="dxa"/>
            <w:tcBorders>
              <w:right w:val="single" w:sz="4" w:space="0" w:color="000000"/>
            </w:tcBorders>
            <w:shd w:val="clear" w:color="auto" w:fill="FFFFFF"/>
            <w:vAlign w:val="center"/>
            <w:hideMark/>
          </w:tcPr>
          <w:p w:rsidR="001F64D0" w:rsidRPr="00A441C4" w:rsidRDefault="001F64D0" w:rsidP="0097784D">
            <w:pPr>
              <w:spacing w:before="100" w:beforeAutospacing="1" w:after="120"/>
              <w:jc w:val="center"/>
              <w:rPr>
                <w:rFonts w:ascii="Arial" w:hAnsi="Arial" w:cs="Arial"/>
                <w:sz w:val="18"/>
                <w:szCs w:val="18"/>
                <w:lang w:val="vi-VN" w:eastAsia="vi-VN"/>
              </w:rPr>
            </w:pPr>
            <w:r w:rsidRPr="00A441C4">
              <w:rPr>
                <w:rFonts w:ascii="Arial" w:hAnsi="Arial" w:cs="Arial"/>
                <w:sz w:val="18"/>
                <w:szCs w:val="18"/>
                <w:lang w:val="vi-VN" w:eastAsia="vi-VN"/>
              </w:rPr>
              <w:t>Short term</w:t>
            </w:r>
          </w:p>
          <w:p w:rsidR="001F64D0" w:rsidRPr="00A441C4" w:rsidRDefault="001F64D0" w:rsidP="0097784D">
            <w:pPr>
              <w:spacing w:before="100" w:beforeAutospacing="1" w:after="120"/>
              <w:jc w:val="center"/>
              <w:rPr>
                <w:rFonts w:ascii="Arial" w:hAnsi="Arial" w:cs="Arial"/>
                <w:sz w:val="18"/>
                <w:szCs w:val="18"/>
                <w:lang w:val="vi-VN" w:eastAsia="vi-VN"/>
              </w:rPr>
            </w:pPr>
            <w:r w:rsidRPr="00A441C4">
              <w:rPr>
                <w:rFonts w:ascii="Arial" w:hAnsi="Arial" w:cs="Arial"/>
                <w:sz w:val="18"/>
                <w:szCs w:val="18"/>
                <w:lang w:val="vi-VN" w:eastAsia="vi-VN"/>
              </w:rPr>
              <w:t>(% p.a)</w:t>
            </w:r>
          </w:p>
        </w:tc>
        <w:tc>
          <w:tcPr>
            <w:tcW w:w="1299" w:type="dxa"/>
            <w:shd w:val="clear" w:color="auto" w:fill="FFFFFF"/>
            <w:vAlign w:val="center"/>
            <w:hideMark/>
          </w:tcPr>
          <w:p w:rsidR="001F64D0" w:rsidRPr="00A441C4" w:rsidRDefault="001F64D0" w:rsidP="0097784D">
            <w:pPr>
              <w:spacing w:before="100" w:beforeAutospacing="1" w:after="120"/>
              <w:jc w:val="center"/>
              <w:rPr>
                <w:rFonts w:ascii="Arial" w:hAnsi="Arial" w:cs="Arial"/>
                <w:sz w:val="18"/>
                <w:szCs w:val="18"/>
                <w:lang w:val="vi-VN" w:eastAsia="vi-VN"/>
              </w:rPr>
            </w:pPr>
            <w:r w:rsidRPr="00A441C4">
              <w:rPr>
                <w:rFonts w:ascii="Arial" w:hAnsi="Arial" w:cs="Arial"/>
                <w:sz w:val="18"/>
                <w:szCs w:val="18"/>
                <w:lang w:val="vi-VN" w:eastAsia="vi-VN"/>
              </w:rPr>
              <w:t>Medium and long terms</w:t>
            </w:r>
          </w:p>
          <w:p w:rsidR="001F64D0" w:rsidRPr="00A441C4" w:rsidRDefault="001F64D0" w:rsidP="0097784D">
            <w:pPr>
              <w:spacing w:before="100" w:beforeAutospacing="1" w:after="120"/>
              <w:jc w:val="center"/>
              <w:rPr>
                <w:rFonts w:ascii="Arial" w:hAnsi="Arial" w:cs="Arial"/>
                <w:sz w:val="18"/>
                <w:szCs w:val="18"/>
                <w:lang w:val="vi-VN" w:eastAsia="vi-VN"/>
              </w:rPr>
            </w:pPr>
            <w:r w:rsidRPr="00A441C4">
              <w:rPr>
                <w:rFonts w:ascii="Arial" w:hAnsi="Arial" w:cs="Arial"/>
                <w:sz w:val="18"/>
                <w:szCs w:val="18"/>
                <w:lang w:val="vi-VN" w:eastAsia="vi-VN"/>
              </w:rPr>
              <w:t>(% p.a)</w:t>
            </w:r>
          </w:p>
        </w:tc>
      </w:tr>
      <w:tr w:rsidR="001F64D0" w:rsidRPr="00A441C4" w:rsidTr="0097784D">
        <w:trPr>
          <w:jc w:val="center"/>
        </w:trPr>
        <w:tc>
          <w:tcPr>
            <w:tcW w:w="2089" w:type="dxa"/>
            <w:vMerge w:val="restart"/>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20"/>
              <w:rPr>
                <w:rFonts w:ascii="Arial" w:hAnsi="Arial" w:cs="Arial"/>
                <w:sz w:val="18"/>
                <w:szCs w:val="18"/>
                <w:lang w:val="vi-VN" w:eastAsia="vi-VN"/>
              </w:rPr>
            </w:pPr>
            <w:r w:rsidRPr="00A441C4">
              <w:rPr>
                <w:rFonts w:ascii="Arial" w:hAnsi="Arial" w:cs="Arial"/>
                <w:sz w:val="18"/>
                <w:szCs w:val="18"/>
                <w:lang w:val="vi-VN" w:eastAsia="vi-VN"/>
              </w:rPr>
              <w:t>Group of state-owned commercial banks</w:t>
            </w:r>
          </w:p>
        </w:tc>
        <w:tc>
          <w:tcPr>
            <w:tcW w:w="2277"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20"/>
              <w:rPr>
                <w:rFonts w:ascii="Arial" w:hAnsi="Arial" w:cs="Arial"/>
                <w:sz w:val="18"/>
                <w:szCs w:val="18"/>
                <w:lang w:val="vi-VN" w:eastAsia="vi-VN"/>
              </w:rPr>
            </w:pPr>
            <w:r w:rsidRPr="00A441C4">
              <w:rPr>
                <w:rFonts w:ascii="Arial" w:hAnsi="Arial" w:cs="Arial"/>
                <w:sz w:val="18"/>
                <w:szCs w:val="18"/>
                <w:lang w:val="vi-VN" w:eastAsia="vi-VN"/>
              </w:rPr>
              <w:t>- VND applicable to ordinary loans</w:t>
            </w:r>
          </w:p>
        </w:tc>
        <w:tc>
          <w:tcPr>
            <w:tcW w:w="1434"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eastAsia="vi-VN"/>
              </w:rPr>
              <w:t>6.8</w:t>
            </w:r>
            <w:r w:rsidRPr="00A441C4">
              <w:rPr>
                <w:rFonts w:ascii="Arial" w:hAnsi="Arial" w:cs="Arial"/>
                <w:sz w:val="18"/>
                <w:szCs w:val="18"/>
                <w:lang w:val="vi-VN" w:eastAsia="vi-VN"/>
              </w:rPr>
              <w:t>-8.8</w:t>
            </w:r>
          </w:p>
        </w:tc>
        <w:tc>
          <w:tcPr>
            <w:tcW w:w="1299" w:type="dxa"/>
            <w:tcBorders>
              <w:top w:val="single" w:sz="4" w:space="0" w:color="000000"/>
            </w:tcBorders>
            <w:shd w:val="clear" w:color="auto" w:fill="FFFFFF"/>
            <w:vAlign w:val="center"/>
            <w:hideMark/>
          </w:tcPr>
          <w:p w:rsidR="001F64D0" w:rsidRPr="00A441C4" w:rsidRDefault="001F64D0" w:rsidP="0097784D">
            <w:pPr>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val="vi-VN" w:eastAsia="vi-VN"/>
              </w:rPr>
              <w:t>9.3-10.5</w:t>
            </w:r>
          </w:p>
        </w:tc>
      </w:tr>
      <w:tr w:rsidR="001F64D0" w:rsidRPr="00A441C4" w:rsidTr="0097784D">
        <w:trPr>
          <w:jc w:val="center"/>
        </w:trPr>
        <w:tc>
          <w:tcPr>
            <w:tcW w:w="0" w:type="auto"/>
            <w:vMerge/>
            <w:tcBorders>
              <w:top w:val="single" w:sz="4" w:space="0" w:color="000000"/>
              <w:right w:val="single" w:sz="4" w:space="0" w:color="000000"/>
            </w:tcBorders>
            <w:vAlign w:val="center"/>
            <w:hideMark/>
          </w:tcPr>
          <w:p w:rsidR="001F64D0" w:rsidRPr="00A441C4" w:rsidRDefault="001F64D0" w:rsidP="0097784D">
            <w:pPr>
              <w:rPr>
                <w:rFonts w:ascii="Arial" w:hAnsi="Arial" w:cs="Arial"/>
                <w:sz w:val="18"/>
                <w:szCs w:val="18"/>
                <w:lang w:val="vi-VN" w:eastAsia="vi-VN"/>
              </w:rPr>
            </w:pPr>
          </w:p>
        </w:tc>
        <w:tc>
          <w:tcPr>
            <w:tcW w:w="2277"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20"/>
              <w:rPr>
                <w:rFonts w:ascii="Arial" w:hAnsi="Arial" w:cs="Arial"/>
                <w:sz w:val="18"/>
                <w:szCs w:val="18"/>
                <w:lang w:val="vi-VN" w:eastAsia="vi-VN"/>
              </w:rPr>
            </w:pPr>
            <w:r w:rsidRPr="00A441C4">
              <w:rPr>
                <w:rFonts w:ascii="Arial" w:hAnsi="Arial" w:cs="Arial"/>
                <w:sz w:val="18"/>
                <w:szCs w:val="18"/>
                <w:lang w:val="vi-VN" w:eastAsia="vi-VN"/>
              </w:rPr>
              <w:t>- VND applicable to loans for agricultural and rural development, exporters,supporting industries, SMEs and hi-tech enterprises</w:t>
            </w:r>
          </w:p>
        </w:tc>
        <w:tc>
          <w:tcPr>
            <w:tcW w:w="1434" w:type="dxa"/>
            <w:tcBorders>
              <w:top w:val="single" w:sz="4" w:space="0" w:color="000000"/>
              <w:right w:val="single" w:sz="4" w:space="0" w:color="000000"/>
            </w:tcBorders>
            <w:shd w:val="clear" w:color="auto" w:fill="FFFFFF"/>
            <w:vAlign w:val="center"/>
            <w:hideMark/>
          </w:tcPr>
          <w:p w:rsidR="001F64D0" w:rsidRPr="00A441C4" w:rsidRDefault="001F64D0" w:rsidP="0097784D">
            <w:pPr>
              <w:shd w:val="clear" w:color="auto" w:fill="FFFFFF"/>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val="vi-VN" w:eastAsia="vi-VN"/>
              </w:rPr>
              <w:t>6.0-7.0</w:t>
            </w:r>
          </w:p>
        </w:tc>
        <w:tc>
          <w:tcPr>
            <w:tcW w:w="1299" w:type="dxa"/>
            <w:tcBorders>
              <w:top w:val="single" w:sz="4" w:space="0" w:color="000000"/>
            </w:tcBorders>
            <w:shd w:val="clear" w:color="auto" w:fill="FFFFFF"/>
            <w:vAlign w:val="center"/>
            <w:hideMark/>
          </w:tcPr>
          <w:p w:rsidR="001F64D0" w:rsidRPr="00A441C4" w:rsidRDefault="001F64D0" w:rsidP="0097784D">
            <w:pPr>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val="vi-VN" w:eastAsia="vi-VN"/>
              </w:rPr>
              <w:t>9.0-10.0</w:t>
            </w:r>
          </w:p>
        </w:tc>
      </w:tr>
      <w:tr w:rsidR="001F64D0" w:rsidRPr="00A441C4" w:rsidTr="0097784D">
        <w:trPr>
          <w:jc w:val="center"/>
        </w:trPr>
        <w:tc>
          <w:tcPr>
            <w:tcW w:w="2089" w:type="dxa"/>
            <w:tcBorders>
              <w:right w:val="single" w:sz="4" w:space="0" w:color="000000"/>
            </w:tcBorders>
            <w:shd w:val="clear" w:color="auto" w:fill="FFFFFF"/>
            <w:vAlign w:val="center"/>
            <w:hideMark/>
          </w:tcPr>
          <w:p w:rsidR="001F64D0" w:rsidRPr="00A441C4" w:rsidRDefault="001F64D0" w:rsidP="0097784D">
            <w:pPr>
              <w:spacing w:before="100" w:beforeAutospacing="1" w:after="120"/>
              <w:rPr>
                <w:rFonts w:ascii="Arial" w:hAnsi="Arial" w:cs="Arial"/>
                <w:sz w:val="18"/>
                <w:szCs w:val="18"/>
                <w:lang w:val="vi-VN" w:eastAsia="vi-VN"/>
              </w:rPr>
            </w:pPr>
            <w:r w:rsidRPr="00A441C4">
              <w:rPr>
                <w:rFonts w:ascii="Arial" w:hAnsi="Arial" w:cs="Arial"/>
                <w:sz w:val="18"/>
                <w:szCs w:val="18"/>
                <w:lang w:val="vi-VN" w:eastAsia="vi-VN"/>
              </w:rPr>
              <w:t> </w:t>
            </w:r>
          </w:p>
        </w:tc>
        <w:tc>
          <w:tcPr>
            <w:tcW w:w="2277"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20"/>
              <w:rPr>
                <w:rFonts w:ascii="Arial" w:hAnsi="Arial" w:cs="Arial"/>
                <w:sz w:val="18"/>
                <w:szCs w:val="18"/>
                <w:lang w:val="vi-VN" w:eastAsia="vi-VN"/>
              </w:rPr>
            </w:pPr>
            <w:r w:rsidRPr="00A441C4">
              <w:rPr>
                <w:rFonts w:ascii="Arial" w:hAnsi="Arial" w:cs="Arial"/>
                <w:sz w:val="18"/>
                <w:szCs w:val="18"/>
                <w:lang w:val="vi-VN" w:eastAsia="vi-VN"/>
              </w:rPr>
              <w:t>USD</w:t>
            </w:r>
          </w:p>
        </w:tc>
        <w:tc>
          <w:tcPr>
            <w:tcW w:w="1434"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val="vi-VN" w:eastAsia="vi-VN"/>
              </w:rPr>
              <w:t>3.0-4.5</w:t>
            </w:r>
          </w:p>
        </w:tc>
        <w:tc>
          <w:tcPr>
            <w:tcW w:w="1299" w:type="dxa"/>
            <w:tcBorders>
              <w:top w:val="single" w:sz="4" w:space="0" w:color="000000"/>
            </w:tcBorders>
            <w:shd w:val="clear" w:color="auto" w:fill="FFFFFF"/>
            <w:vAlign w:val="center"/>
            <w:hideMark/>
          </w:tcPr>
          <w:p w:rsidR="001F64D0" w:rsidRPr="00A441C4" w:rsidRDefault="001F64D0" w:rsidP="0097784D">
            <w:pPr>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val="vi-VN" w:eastAsia="vi-VN"/>
              </w:rPr>
              <w:t>5.5-6.5</w:t>
            </w:r>
          </w:p>
        </w:tc>
      </w:tr>
      <w:tr w:rsidR="001F64D0" w:rsidRPr="00A441C4" w:rsidTr="0097784D">
        <w:trPr>
          <w:jc w:val="center"/>
        </w:trPr>
        <w:tc>
          <w:tcPr>
            <w:tcW w:w="2089" w:type="dxa"/>
            <w:vMerge w:val="restart"/>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20"/>
              <w:rPr>
                <w:rFonts w:ascii="Arial" w:hAnsi="Arial" w:cs="Arial"/>
                <w:sz w:val="18"/>
                <w:szCs w:val="18"/>
                <w:lang w:val="vi-VN" w:eastAsia="vi-VN"/>
              </w:rPr>
            </w:pPr>
            <w:r w:rsidRPr="00A441C4">
              <w:rPr>
                <w:rFonts w:ascii="Arial" w:hAnsi="Arial" w:cs="Arial"/>
                <w:sz w:val="18"/>
                <w:szCs w:val="18"/>
                <w:lang w:val="vi-VN" w:eastAsia="vi-VN"/>
              </w:rPr>
              <w:t>Group of joint-stockcommercial banks</w:t>
            </w:r>
          </w:p>
        </w:tc>
        <w:tc>
          <w:tcPr>
            <w:tcW w:w="2277"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20"/>
              <w:rPr>
                <w:rFonts w:ascii="Arial" w:hAnsi="Arial" w:cs="Arial"/>
                <w:sz w:val="18"/>
                <w:szCs w:val="18"/>
                <w:lang w:val="vi-VN" w:eastAsia="vi-VN"/>
              </w:rPr>
            </w:pPr>
            <w:r w:rsidRPr="00A441C4">
              <w:rPr>
                <w:rFonts w:ascii="Arial" w:hAnsi="Arial" w:cs="Arial"/>
                <w:sz w:val="18"/>
                <w:szCs w:val="18"/>
                <w:lang w:val="vi-VN" w:eastAsia="vi-VN"/>
              </w:rPr>
              <w:t>- VND applicable to ordinary loans</w:t>
            </w:r>
          </w:p>
        </w:tc>
        <w:tc>
          <w:tcPr>
            <w:tcW w:w="1434"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val="vi-VN" w:eastAsia="vi-VN"/>
              </w:rPr>
              <w:t>7.8-9.0</w:t>
            </w:r>
          </w:p>
        </w:tc>
        <w:tc>
          <w:tcPr>
            <w:tcW w:w="1299" w:type="dxa"/>
            <w:tcBorders>
              <w:top w:val="single" w:sz="4" w:space="0" w:color="000000"/>
            </w:tcBorders>
            <w:shd w:val="clear" w:color="auto" w:fill="FFFFFF"/>
            <w:vAlign w:val="center"/>
            <w:hideMark/>
          </w:tcPr>
          <w:p w:rsidR="001F64D0" w:rsidRPr="00A441C4" w:rsidRDefault="001F64D0" w:rsidP="0097784D">
            <w:pPr>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val="vi-VN" w:eastAsia="vi-VN"/>
              </w:rPr>
              <w:t>10.0-11.0</w:t>
            </w:r>
          </w:p>
        </w:tc>
      </w:tr>
      <w:tr w:rsidR="001F64D0" w:rsidRPr="00A441C4" w:rsidTr="0097784D">
        <w:trPr>
          <w:jc w:val="center"/>
        </w:trPr>
        <w:tc>
          <w:tcPr>
            <w:tcW w:w="0" w:type="auto"/>
            <w:vMerge/>
            <w:tcBorders>
              <w:top w:val="single" w:sz="4" w:space="0" w:color="000000"/>
              <w:right w:val="single" w:sz="4" w:space="0" w:color="000000"/>
            </w:tcBorders>
            <w:vAlign w:val="center"/>
            <w:hideMark/>
          </w:tcPr>
          <w:p w:rsidR="001F64D0" w:rsidRPr="00A441C4" w:rsidRDefault="001F64D0" w:rsidP="0097784D">
            <w:pPr>
              <w:rPr>
                <w:rFonts w:ascii="Arial" w:hAnsi="Arial" w:cs="Arial"/>
                <w:sz w:val="18"/>
                <w:szCs w:val="18"/>
                <w:lang w:val="vi-VN" w:eastAsia="vi-VN"/>
              </w:rPr>
            </w:pPr>
          </w:p>
        </w:tc>
        <w:tc>
          <w:tcPr>
            <w:tcW w:w="2277"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20"/>
              <w:rPr>
                <w:rFonts w:ascii="Arial" w:hAnsi="Arial" w:cs="Arial"/>
                <w:sz w:val="18"/>
                <w:szCs w:val="18"/>
                <w:lang w:val="vi-VN" w:eastAsia="vi-VN"/>
              </w:rPr>
            </w:pPr>
            <w:r w:rsidRPr="00A441C4">
              <w:rPr>
                <w:rFonts w:ascii="Arial" w:hAnsi="Arial" w:cs="Arial"/>
                <w:sz w:val="18"/>
                <w:szCs w:val="18"/>
                <w:lang w:val="vi-VN" w:eastAsia="vi-VN"/>
              </w:rPr>
              <w:t>- VND applicable to loans for agricultural and rural development, exporters, supporting industries, SMEs and hi-tech enterprises</w:t>
            </w:r>
          </w:p>
        </w:tc>
        <w:tc>
          <w:tcPr>
            <w:tcW w:w="1434"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val="vi-VN" w:eastAsia="vi-VN"/>
              </w:rPr>
              <w:t>7.0</w:t>
            </w:r>
          </w:p>
        </w:tc>
        <w:tc>
          <w:tcPr>
            <w:tcW w:w="1299" w:type="dxa"/>
            <w:tcBorders>
              <w:top w:val="single" w:sz="4" w:space="0" w:color="000000"/>
            </w:tcBorders>
            <w:shd w:val="clear" w:color="auto" w:fill="FFFFFF"/>
            <w:vAlign w:val="center"/>
            <w:hideMark/>
          </w:tcPr>
          <w:p w:rsidR="001F64D0" w:rsidRPr="00A441C4" w:rsidRDefault="001F64D0" w:rsidP="0097784D">
            <w:pPr>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val="vi-VN" w:eastAsia="vi-VN"/>
              </w:rPr>
              <w:t>10.0-10.5</w:t>
            </w:r>
          </w:p>
        </w:tc>
      </w:tr>
      <w:tr w:rsidR="001F64D0" w:rsidRPr="00A441C4" w:rsidTr="0097784D">
        <w:trPr>
          <w:jc w:val="center"/>
        </w:trPr>
        <w:tc>
          <w:tcPr>
            <w:tcW w:w="2089" w:type="dxa"/>
            <w:tcBorders>
              <w:right w:val="single" w:sz="4" w:space="0" w:color="000000"/>
            </w:tcBorders>
            <w:shd w:val="clear" w:color="auto" w:fill="FFFFFF"/>
            <w:hideMark/>
          </w:tcPr>
          <w:p w:rsidR="001F64D0" w:rsidRPr="00A441C4" w:rsidRDefault="001F64D0" w:rsidP="0097784D">
            <w:pPr>
              <w:spacing w:before="100" w:beforeAutospacing="1" w:after="120"/>
              <w:rPr>
                <w:rFonts w:ascii="Arial" w:hAnsi="Arial" w:cs="Arial"/>
                <w:sz w:val="18"/>
                <w:szCs w:val="18"/>
                <w:lang w:val="vi-VN" w:eastAsia="vi-VN"/>
              </w:rPr>
            </w:pPr>
            <w:r w:rsidRPr="00A441C4">
              <w:rPr>
                <w:rFonts w:ascii="Arial" w:hAnsi="Arial" w:cs="Arial"/>
                <w:sz w:val="18"/>
                <w:szCs w:val="18"/>
                <w:lang w:val="vi-VN" w:eastAsia="vi-VN"/>
              </w:rPr>
              <w:t> </w:t>
            </w:r>
          </w:p>
        </w:tc>
        <w:tc>
          <w:tcPr>
            <w:tcW w:w="2277"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20"/>
              <w:rPr>
                <w:rFonts w:ascii="Arial" w:hAnsi="Arial" w:cs="Arial"/>
                <w:sz w:val="18"/>
                <w:szCs w:val="18"/>
                <w:lang w:val="vi-VN" w:eastAsia="vi-VN"/>
              </w:rPr>
            </w:pPr>
            <w:r w:rsidRPr="00A441C4">
              <w:rPr>
                <w:rFonts w:ascii="Arial" w:hAnsi="Arial" w:cs="Arial"/>
                <w:sz w:val="18"/>
                <w:szCs w:val="18"/>
                <w:lang w:val="vi-VN" w:eastAsia="vi-VN"/>
              </w:rPr>
              <w:t>USD</w:t>
            </w:r>
          </w:p>
        </w:tc>
        <w:tc>
          <w:tcPr>
            <w:tcW w:w="1434"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val="vi-VN" w:eastAsia="vi-VN"/>
              </w:rPr>
              <w:t>4.5-5.5</w:t>
            </w:r>
          </w:p>
        </w:tc>
        <w:tc>
          <w:tcPr>
            <w:tcW w:w="1299" w:type="dxa"/>
            <w:tcBorders>
              <w:top w:val="single" w:sz="4" w:space="0" w:color="000000"/>
            </w:tcBorders>
            <w:shd w:val="clear" w:color="auto" w:fill="FFFFFF"/>
            <w:vAlign w:val="center"/>
            <w:hideMark/>
          </w:tcPr>
          <w:p w:rsidR="001F64D0" w:rsidRPr="00A441C4" w:rsidRDefault="001F64D0" w:rsidP="0097784D">
            <w:pPr>
              <w:spacing w:before="100" w:beforeAutospacing="1" w:after="100" w:afterAutospacing="1"/>
              <w:jc w:val="center"/>
              <w:rPr>
                <w:rFonts w:ascii="Arial" w:hAnsi="Arial" w:cs="Arial"/>
                <w:sz w:val="18"/>
                <w:szCs w:val="18"/>
                <w:lang w:val="vi-VN" w:eastAsia="vi-VN"/>
              </w:rPr>
            </w:pPr>
            <w:r w:rsidRPr="00A441C4">
              <w:rPr>
                <w:rFonts w:ascii="Arial" w:hAnsi="Arial" w:cs="Arial"/>
                <w:sz w:val="18"/>
                <w:szCs w:val="18"/>
                <w:lang w:val="vi-VN" w:eastAsia="vi-VN"/>
              </w:rPr>
              <w:t>6.0-6.7</w:t>
            </w:r>
          </w:p>
        </w:tc>
      </w:tr>
    </w:tbl>
    <w:p w:rsidR="001F64D0" w:rsidRPr="00A441C4" w:rsidRDefault="001F64D0" w:rsidP="001F64D0">
      <w:pPr>
        <w:spacing w:after="120"/>
        <w:ind w:firstLine="567"/>
        <w:rPr>
          <w:rFonts w:ascii="Arial" w:hAnsi="Arial" w:cs="Arial"/>
          <w:b/>
          <w:i/>
          <w:sz w:val="18"/>
          <w:szCs w:val="18"/>
        </w:rPr>
      </w:pPr>
    </w:p>
    <w:p w:rsidR="001F64D0" w:rsidRPr="00A441C4" w:rsidRDefault="001F64D0" w:rsidP="001F64D0">
      <w:pPr>
        <w:shd w:val="clear" w:color="auto" w:fill="FFFFFF"/>
        <w:spacing w:before="100" w:beforeAutospacing="1" w:after="120"/>
        <w:jc w:val="both"/>
        <w:rPr>
          <w:rFonts w:ascii="Arial" w:hAnsi="Arial" w:cs="Arial"/>
          <w:sz w:val="18"/>
          <w:szCs w:val="18"/>
          <w:lang w:val="vi-VN" w:eastAsia="vi-VN"/>
        </w:rPr>
      </w:pPr>
      <w:r w:rsidRPr="00A441C4">
        <w:rPr>
          <w:rFonts w:ascii="Arial" w:hAnsi="Arial" w:cs="Arial"/>
          <w:b/>
          <w:bCs/>
          <w:sz w:val="18"/>
          <w:szCs w:val="18"/>
          <w:lang w:val="vi-VN" w:eastAsia="vi-VN"/>
        </w:rPr>
        <w:t>2. Inter-bank transaction turnover:</w:t>
      </w:r>
    </w:p>
    <w:p w:rsidR="001F64D0" w:rsidRPr="00A441C4" w:rsidRDefault="001F64D0" w:rsidP="001F64D0">
      <w:pPr>
        <w:shd w:val="clear" w:color="auto" w:fill="FFFFFF"/>
        <w:spacing w:before="100" w:beforeAutospacing="1" w:after="120"/>
        <w:jc w:val="both"/>
        <w:rPr>
          <w:rFonts w:ascii="Arial" w:hAnsi="Arial" w:cs="Arial"/>
          <w:sz w:val="18"/>
          <w:szCs w:val="18"/>
          <w:lang w:val="vi-VN" w:eastAsia="vi-VN"/>
        </w:rPr>
      </w:pPr>
      <w:r w:rsidRPr="00A441C4">
        <w:rPr>
          <w:rFonts w:ascii="Arial" w:hAnsi="Arial" w:cs="Arial"/>
          <w:b/>
          <w:bCs/>
          <w:sz w:val="18"/>
          <w:szCs w:val="18"/>
          <w:lang w:val="vi-VN" w:eastAsia="vi-VN"/>
        </w:rPr>
        <w:t>2.1. Transactions:</w:t>
      </w:r>
    </w:p>
    <w:p w:rsidR="001F64D0" w:rsidRPr="00A441C4" w:rsidRDefault="001F64D0" w:rsidP="001F64D0">
      <w:pPr>
        <w:shd w:val="clear" w:color="auto" w:fill="FFFFFF"/>
        <w:spacing w:before="100" w:beforeAutospacing="1" w:after="120" w:line="360" w:lineRule="auto"/>
        <w:jc w:val="both"/>
        <w:rPr>
          <w:rFonts w:ascii="Arial" w:hAnsi="Arial" w:cs="Arial"/>
          <w:sz w:val="18"/>
          <w:szCs w:val="18"/>
          <w:lang w:eastAsia="vi-VN"/>
        </w:rPr>
      </w:pPr>
      <w:r w:rsidRPr="00A441C4">
        <w:rPr>
          <w:rFonts w:ascii="Arial" w:hAnsi="Arial" w:cs="Arial"/>
          <w:sz w:val="18"/>
          <w:szCs w:val="18"/>
          <w:lang w:val="vi-VN" w:eastAsia="vi-VN"/>
        </w:rPr>
        <w:t>According to the reports of credit institutions and foreign bank branches, the total amount of transactions in the inter-bank market reached about VND </w:t>
      </w:r>
      <w:r w:rsidRPr="00A441C4">
        <w:rPr>
          <w:rFonts w:ascii="Arial" w:hAnsi="Arial" w:cs="Arial"/>
          <w:sz w:val="18"/>
          <w:szCs w:val="18"/>
          <w:lang w:eastAsia="vi-VN"/>
        </w:rPr>
        <w:t>142</w:t>
      </w:r>
      <w:r w:rsidRPr="00A441C4">
        <w:rPr>
          <w:rFonts w:ascii="Arial" w:hAnsi="Arial" w:cs="Arial"/>
          <w:color w:val="000000"/>
          <w:sz w:val="18"/>
          <w:szCs w:val="18"/>
        </w:rPr>
        <w:t xml:space="preserve">,433 </w:t>
      </w:r>
      <w:r w:rsidRPr="00A441C4">
        <w:rPr>
          <w:rFonts w:ascii="Arial" w:hAnsi="Arial" w:cs="Arial"/>
          <w:sz w:val="18"/>
          <w:szCs w:val="18"/>
          <w:lang w:val="vi-VN" w:eastAsia="vi-VN"/>
        </w:rPr>
        <w:t>billion (</w:t>
      </w:r>
      <w:r w:rsidRPr="00A441C4">
        <w:rPr>
          <w:rFonts w:ascii="Arial" w:hAnsi="Arial" w:cs="Arial"/>
          <w:sz w:val="18"/>
          <w:szCs w:val="18"/>
          <w:lang w:eastAsia="vi-VN"/>
        </w:rPr>
        <w:t xml:space="preserve">up </w:t>
      </w:r>
      <w:r w:rsidRPr="00A441C4">
        <w:rPr>
          <w:rFonts w:ascii="Arial" w:hAnsi="Arial" w:cs="Arial"/>
          <w:sz w:val="18"/>
          <w:szCs w:val="18"/>
          <w:lang w:val="vi-VN" w:eastAsia="vi-VN"/>
        </w:rPr>
        <w:t xml:space="preserve">by VND </w:t>
      </w:r>
      <w:r w:rsidRPr="00A441C4">
        <w:rPr>
          <w:rFonts w:ascii="Arial" w:hAnsi="Arial" w:cs="Arial"/>
          <w:sz w:val="18"/>
          <w:szCs w:val="18"/>
          <w:lang w:eastAsia="vi-VN"/>
        </w:rPr>
        <w:t>39</w:t>
      </w:r>
      <w:r w:rsidRPr="00A441C4">
        <w:rPr>
          <w:rFonts w:ascii="Arial" w:hAnsi="Arial" w:cs="Arial"/>
          <w:sz w:val="18"/>
          <w:szCs w:val="18"/>
        </w:rPr>
        <w:t xml:space="preserve">,456 </w:t>
      </w:r>
      <w:r w:rsidRPr="00A441C4">
        <w:rPr>
          <w:rFonts w:ascii="Arial" w:hAnsi="Arial" w:cs="Arial"/>
          <w:sz w:val="18"/>
          <w:szCs w:val="18"/>
          <w:lang w:val="vi-VN" w:eastAsia="vi-VN"/>
        </w:rPr>
        <w:t>billion as compared to the week</w:t>
      </w:r>
      <w:r w:rsidRPr="00A441C4">
        <w:rPr>
          <w:rFonts w:ascii="Arial" w:hAnsi="Arial" w:cs="Arial"/>
          <w:sz w:val="18"/>
          <w:szCs w:val="18"/>
          <w:lang w:eastAsia="vi-VN"/>
        </w:rPr>
        <w:t xml:space="preserve"> of </w:t>
      </w:r>
      <w:r w:rsidRPr="00A441C4">
        <w:rPr>
          <w:rFonts w:ascii="Arial" w:hAnsi="Arial" w:cs="Arial"/>
          <w:sz w:val="18"/>
          <w:szCs w:val="18"/>
          <w:lang w:eastAsia="vi-VN"/>
        </w:rPr>
        <w:lastRenderedPageBreak/>
        <w:t>October 19 -23, 2015</w:t>
      </w:r>
      <w:r w:rsidRPr="00A441C4">
        <w:rPr>
          <w:rFonts w:ascii="Arial" w:hAnsi="Arial" w:cs="Arial"/>
          <w:sz w:val="18"/>
          <w:szCs w:val="18"/>
          <w:lang w:val="vi-VN" w:eastAsia="vi-VN"/>
        </w:rPr>
        <w:t>) and USD amount equivalent to VND </w:t>
      </w:r>
      <w:r w:rsidRPr="00A441C4">
        <w:rPr>
          <w:rFonts w:ascii="Arial" w:hAnsi="Arial" w:cs="Arial"/>
          <w:sz w:val="18"/>
          <w:szCs w:val="18"/>
        </w:rPr>
        <w:t xml:space="preserve">43,641 </w:t>
      </w:r>
      <w:r w:rsidRPr="00A441C4">
        <w:rPr>
          <w:rFonts w:ascii="Arial" w:hAnsi="Arial" w:cs="Arial"/>
          <w:sz w:val="18"/>
          <w:szCs w:val="18"/>
          <w:lang w:val="vi-VN" w:eastAsia="vi-VN"/>
        </w:rPr>
        <w:t>billion</w:t>
      </w:r>
      <w:r w:rsidRPr="00A441C4">
        <w:rPr>
          <w:rFonts w:ascii="Arial" w:hAnsi="Arial" w:cs="Arial"/>
          <w:sz w:val="18"/>
          <w:szCs w:val="18"/>
          <w:lang w:eastAsia="vi-VN"/>
        </w:rPr>
        <w:t xml:space="preserve"> (up by VND 2</w:t>
      </w:r>
      <w:r w:rsidRPr="00A441C4">
        <w:rPr>
          <w:rFonts w:ascii="Arial" w:hAnsi="Arial" w:cs="Arial"/>
          <w:sz w:val="18"/>
          <w:szCs w:val="18"/>
        </w:rPr>
        <w:t xml:space="preserve">,544 </w:t>
      </w:r>
      <w:r w:rsidRPr="00A441C4">
        <w:rPr>
          <w:rFonts w:ascii="Arial" w:hAnsi="Arial" w:cs="Arial"/>
          <w:sz w:val="18"/>
          <w:szCs w:val="18"/>
          <w:lang w:eastAsia="vi-VN"/>
        </w:rPr>
        <w:t xml:space="preserve">billion </w:t>
      </w:r>
      <w:r w:rsidRPr="00A441C4">
        <w:rPr>
          <w:rFonts w:ascii="Arial" w:hAnsi="Arial" w:cs="Arial"/>
          <w:sz w:val="18"/>
          <w:szCs w:val="18"/>
          <w:lang w:val="vi-VN" w:eastAsia="vi-VN"/>
        </w:rPr>
        <w:t xml:space="preserve">as compared to the </w:t>
      </w:r>
      <w:r w:rsidRPr="00A441C4">
        <w:rPr>
          <w:rFonts w:ascii="Arial" w:hAnsi="Arial" w:cs="Arial"/>
          <w:sz w:val="18"/>
          <w:szCs w:val="18"/>
          <w:lang w:eastAsia="vi-VN"/>
        </w:rPr>
        <w:t>previous week</w:t>
      </w:r>
      <w:r w:rsidRPr="00A441C4">
        <w:rPr>
          <w:rFonts w:ascii="Arial" w:hAnsi="Arial" w:cs="Arial"/>
          <w:sz w:val="18"/>
          <w:szCs w:val="18"/>
          <w:lang w:val="vi-VN" w:eastAsia="vi-VN"/>
        </w:rPr>
        <w:t>), i.e VND </w:t>
      </w:r>
      <w:r w:rsidRPr="00A441C4">
        <w:rPr>
          <w:rFonts w:ascii="Arial" w:hAnsi="Arial" w:cs="Arial"/>
          <w:sz w:val="18"/>
          <w:szCs w:val="18"/>
          <w:lang w:eastAsia="vi-VN"/>
        </w:rPr>
        <w:t>2</w:t>
      </w:r>
      <w:r w:rsidRPr="00A441C4">
        <w:rPr>
          <w:rFonts w:ascii="Arial" w:hAnsi="Arial" w:cs="Arial"/>
          <w:color w:val="000000"/>
          <w:sz w:val="18"/>
          <w:szCs w:val="18"/>
        </w:rPr>
        <w:t xml:space="preserve">8,487 </w:t>
      </w:r>
      <w:r w:rsidRPr="00A441C4">
        <w:rPr>
          <w:rFonts w:ascii="Arial" w:hAnsi="Arial" w:cs="Arial"/>
          <w:sz w:val="18"/>
          <w:szCs w:val="18"/>
          <w:lang w:val="vi-VN" w:eastAsia="vi-VN"/>
        </w:rPr>
        <w:t>billion and VND </w:t>
      </w:r>
      <w:r w:rsidRPr="00A441C4">
        <w:rPr>
          <w:rFonts w:ascii="Arial" w:hAnsi="Arial" w:cs="Arial"/>
          <w:sz w:val="18"/>
          <w:szCs w:val="18"/>
          <w:lang w:eastAsia="vi-VN"/>
        </w:rPr>
        <w:t>8</w:t>
      </w:r>
      <w:r w:rsidRPr="00A441C4">
        <w:rPr>
          <w:rFonts w:ascii="Arial" w:hAnsi="Arial" w:cs="Arial"/>
          <w:sz w:val="18"/>
          <w:szCs w:val="18"/>
        </w:rPr>
        <w:t xml:space="preserve">,728 </w:t>
      </w:r>
      <w:r w:rsidRPr="00A441C4">
        <w:rPr>
          <w:rFonts w:ascii="Arial" w:hAnsi="Arial" w:cs="Arial"/>
          <w:sz w:val="18"/>
          <w:szCs w:val="18"/>
          <w:lang w:val="vi-VN" w:eastAsia="vi-VN"/>
        </w:rPr>
        <w:t>billion per day averagely.</w:t>
      </w:r>
    </w:p>
    <w:p w:rsidR="001F64D0" w:rsidRPr="00A441C4" w:rsidRDefault="001F64D0" w:rsidP="001F64D0">
      <w:pPr>
        <w:shd w:val="clear" w:color="auto" w:fill="FFFFFF"/>
        <w:spacing w:before="100" w:beforeAutospacing="1" w:after="120" w:line="360" w:lineRule="auto"/>
        <w:jc w:val="both"/>
        <w:rPr>
          <w:rFonts w:ascii="Arial" w:hAnsi="Arial" w:cs="Arial"/>
          <w:sz w:val="18"/>
          <w:szCs w:val="18"/>
          <w:lang w:eastAsia="vi-VN"/>
        </w:rPr>
      </w:pPr>
      <w:r w:rsidRPr="00A441C4">
        <w:rPr>
          <w:rFonts w:ascii="Arial" w:hAnsi="Arial" w:cs="Arial"/>
          <w:sz w:val="18"/>
          <w:szCs w:val="18"/>
          <w:lang w:val="vi-VN" w:eastAsia="vi-VN"/>
        </w:rPr>
        <w:t>Most VND transactions were overnight and 1 week terms (accounting for </w:t>
      </w:r>
      <w:r w:rsidRPr="00A441C4">
        <w:rPr>
          <w:rFonts w:ascii="Arial" w:hAnsi="Arial" w:cs="Arial"/>
          <w:sz w:val="18"/>
          <w:szCs w:val="18"/>
          <w:lang w:eastAsia="vi-VN"/>
        </w:rPr>
        <w:t>36</w:t>
      </w:r>
      <w:r w:rsidRPr="00A441C4">
        <w:rPr>
          <w:rFonts w:ascii="Arial" w:hAnsi="Arial" w:cs="Arial"/>
          <w:sz w:val="18"/>
          <w:szCs w:val="18"/>
          <w:lang w:val="vi-VN" w:eastAsia="vi-VN"/>
        </w:rPr>
        <w:t xml:space="preserve">% and </w:t>
      </w:r>
      <w:r w:rsidRPr="00A441C4">
        <w:rPr>
          <w:rFonts w:ascii="Arial" w:hAnsi="Arial" w:cs="Arial"/>
          <w:sz w:val="18"/>
          <w:szCs w:val="18"/>
          <w:lang w:eastAsia="vi-VN"/>
        </w:rPr>
        <w:t>21</w:t>
      </w:r>
      <w:r w:rsidRPr="00A441C4">
        <w:rPr>
          <w:rFonts w:ascii="Arial" w:hAnsi="Arial" w:cs="Arial"/>
          <w:sz w:val="18"/>
          <w:szCs w:val="18"/>
          <w:lang w:val="vi-VN" w:eastAsia="vi-VN"/>
        </w:rPr>
        <w:t xml:space="preserve">% of the total amount of VND transactions respectively). Transactions in USD were mostly overnight and 1 week terms which accounted for </w:t>
      </w:r>
      <w:r w:rsidRPr="00A441C4">
        <w:rPr>
          <w:rFonts w:ascii="Arial" w:hAnsi="Arial" w:cs="Arial"/>
          <w:sz w:val="18"/>
          <w:szCs w:val="18"/>
          <w:lang w:eastAsia="vi-VN"/>
        </w:rPr>
        <w:t>61</w:t>
      </w:r>
      <w:r w:rsidRPr="00A441C4">
        <w:rPr>
          <w:rFonts w:ascii="Arial" w:hAnsi="Arial" w:cs="Arial"/>
          <w:sz w:val="18"/>
          <w:szCs w:val="18"/>
          <w:lang w:val="vi-VN" w:eastAsia="vi-VN"/>
        </w:rPr>
        <w:t xml:space="preserve">% and </w:t>
      </w:r>
      <w:r w:rsidRPr="00A441C4">
        <w:rPr>
          <w:rFonts w:ascii="Arial" w:hAnsi="Arial" w:cs="Arial"/>
          <w:sz w:val="18"/>
          <w:szCs w:val="18"/>
          <w:lang w:eastAsia="vi-VN"/>
        </w:rPr>
        <w:t>21</w:t>
      </w:r>
      <w:r w:rsidRPr="00A441C4">
        <w:rPr>
          <w:rFonts w:ascii="Arial" w:hAnsi="Arial" w:cs="Arial"/>
          <w:sz w:val="18"/>
          <w:szCs w:val="18"/>
          <w:lang w:val="vi-VN" w:eastAsia="vi-VN"/>
        </w:rPr>
        <w:t>% of the total amount of USD transactions respectively.</w:t>
      </w:r>
    </w:p>
    <w:p w:rsidR="001F64D0" w:rsidRPr="00A441C4" w:rsidRDefault="001F64D0" w:rsidP="001F64D0">
      <w:pPr>
        <w:shd w:val="clear" w:color="auto" w:fill="FFFFFF"/>
        <w:spacing w:before="100" w:beforeAutospacing="1" w:after="120"/>
        <w:jc w:val="both"/>
        <w:rPr>
          <w:rFonts w:ascii="Arial" w:hAnsi="Arial" w:cs="Arial"/>
          <w:sz w:val="18"/>
          <w:szCs w:val="18"/>
          <w:lang w:val="vi-VN" w:eastAsia="vi-VN"/>
        </w:rPr>
      </w:pPr>
      <w:r w:rsidRPr="00A441C4">
        <w:rPr>
          <w:rFonts w:ascii="Arial" w:hAnsi="Arial" w:cs="Arial"/>
          <w:b/>
          <w:bCs/>
          <w:sz w:val="18"/>
          <w:szCs w:val="18"/>
          <w:lang w:val="vi-VN" w:eastAsia="vi-VN"/>
        </w:rPr>
        <w:t>2.2. The average inter-bank interest rates:</w:t>
      </w:r>
    </w:p>
    <w:p w:rsidR="001F64D0" w:rsidRPr="00A441C4" w:rsidRDefault="001F64D0" w:rsidP="001F64D0">
      <w:pPr>
        <w:shd w:val="clear" w:color="auto" w:fill="FFFFFF"/>
        <w:spacing w:before="100" w:beforeAutospacing="1" w:after="120" w:line="360" w:lineRule="auto"/>
        <w:jc w:val="both"/>
        <w:rPr>
          <w:rFonts w:ascii="Arial" w:hAnsi="Arial" w:cs="Arial"/>
          <w:sz w:val="18"/>
          <w:szCs w:val="18"/>
          <w:lang w:eastAsia="vi-VN"/>
        </w:rPr>
      </w:pPr>
      <w:r w:rsidRPr="00A441C4">
        <w:rPr>
          <w:rFonts w:ascii="Arial" w:hAnsi="Arial" w:cs="Arial"/>
          <w:sz w:val="18"/>
          <w:szCs w:val="18"/>
          <w:lang w:val="vi-VN" w:eastAsia="vi-VN"/>
        </w:rPr>
        <w:t xml:space="preserve">For  VND transactions: The inter-bank interest rates for </w:t>
      </w:r>
      <w:r w:rsidRPr="00A441C4">
        <w:rPr>
          <w:rFonts w:ascii="Arial" w:hAnsi="Arial" w:cs="Arial"/>
          <w:sz w:val="18"/>
          <w:szCs w:val="18"/>
          <w:lang w:eastAsia="vi-VN"/>
        </w:rPr>
        <w:t>most key terms of 1 month and below</w:t>
      </w:r>
      <w:r w:rsidRPr="00A441C4">
        <w:rPr>
          <w:rFonts w:ascii="Arial" w:hAnsi="Arial" w:cs="Arial"/>
          <w:sz w:val="18"/>
          <w:szCs w:val="18"/>
          <w:lang w:val="vi-VN" w:eastAsia="vi-VN"/>
        </w:rPr>
        <w:t xml:space="preserve"> </w:t>
      </w:r>
      <w:r w:rsidRPr="00A441C4">
        <w:rPr>
          <w:rFonts w:ascii="Arial" w:hAnsi="Arial" w:cs="Arial"/>
          <w:sz w:val="18"/>
          <w:szCs w:val="18"/>
          <w:lang w:eastAsia="vi-VN"/>
        </w:rPr>
        <w:t xml:space="preserve"> continued to decrease </w:t>
      </w:r>
      <w:r w:rsidRPr="00A441C4">
        <w:rPr>
          <w:rFonts w:ascii="Arial" w:hAnsi="Arial" w:cs="Arial"/>
          <w:sz w:val="18"/>
          <w:szCs w:val="18"/>
          <w:lang w:val="vi-VN" w:eastAsia="vi-VN"/>
        </w:rPr>
        <w:t xml:space="preserve">as compared to the rates of </w:t>
      </w:r>
      <w:r w:rsidRPr="00A441C4">
        <w:rPr>
          <w:rFonts w:ascii="Arial" w:hAnsi="Arial" w:cs="Arial"/>
          <w:sz w:val="18"/>
          <w:szCs w:val="18"/>
          <w:lang w:eastAsia="vi-VN"/>
        </w:rPr>
        <w:t xml:space="preserve">the previous </w:t>
      </w:r>
      <w:r w:rsidRPr="00A441C4">
        <w:rPr>
          <w:rFonts w:ascii="Arial" w:hAnsi="Arial" w:cs="Arial"/>
          <w:sz w:val="18"/>
          <w:szCs w:val="18"/>
          <w:lang w:val="vi-VN" w:eastAsia="vi-VN"/>
        </w:rPr>
        <w:t xml:space="preserve">week. Specifically, the average interest rates of overnight, 1 week and 1 month terms </w:t>
      </w:r>
      <w:r w:rsidRPr="00A441C4">
        <w:rPr>
          <w:rFonts w:ascii="Arial" w:hAnsi="Arial" w:cs="Arial"/>
          <w:sz w:val="18"/>
          <w:szCs w:val="18"/>
          <w:lang w:eastAsia="vi-VN"/>
        </w:rPr>
        <w:t>decreased by 0.87 percentage point p.a</w:t>
      </w:r>
      <w:r w:rsidRPr="00A441C4">
        <w:rPr>
          <w:rFonts w:ascii="Arial" w:hAnsi="Arial" w:cs="Arial"/>
          <w:sz w:val="18"/>
          <w:szCs w:val="18"/>
          <w:lang w:val="vi-VN" w:eastAsia="vi-VN"/>
        </w:rPr>
        <w:t xml:space="preserve">; </w:t>
      </w:r>
      <w:r w:rsidRPr="00A441C4">
        <w:rPr>
          <w:rFonts w:ascii="Arial" w:hAnsi="Arial" w:cs="Arial"/>
          <w:sz w:val="18"/>
          <w:szCs w:val="18"/>
          <w:lang w:eastAsia="vi-VN"/>
        </w:rPr>
        <w:t xml:space="preserve">0.72 percentage point p.a </w:t>
      </w:r>
      <w:r w:rsidRPr="00A441C4">
        <w:rPr>
          <w:rFonts w:ascii="Arial" w:hAnsi="Arial" w:cs="Arial"/>
          <w:sz w:val="18"/>
          <w:szCs w:val="18"/>
          <w:lang w:val="vi-VN" w:eastAsia="vi-VN"/>
        </w:rPr>
        <w:t xml:space="preserve">and </w:t>
      </w:r>
      <w:r w:rsidRPr="00A441C4">
        <w:rPr>
          <w:rFonts w:ascii="Arial" w:hAnsi="Arial" w:cs="Arial"/>
          <w:sz w:val="18"/>
          <w:szCs w:val="18"/>
          <w:lang w:eastAsia="vi-VN"/>
        </w:rPr>
        <w:t>0.72 percentage point p.a</w:t>
      </w:r>
      <w:r w:rsidRPr="00A441C4">
        <w:rPr>
          <w:rFonts w:ascii="Arial" w:hAnsi="Arial" w:cs="Arial"/>
          <w:sz w:val="18"/>
          <w:szCs w:val="18"/>
          <w:lang w:val="vi-VN" w:eastAsia="vi-VN"/>
        </w:rPr>
        <w:t xml:space="preserve"> respectively.</w:t>
      </w:r>
    </w:p>
    <w:p w:rsidR="001F64D0" w:rsidRPr="00A441C4" w:rsidRDefault="001F64D0" w:rsidP="001F64D0">
      <w:pPr>
        <w:shd w:val="clear" w:color="auto" w:fill="FFFFFF"/>
        <w:spacing w:before="100" w:beforeAutospacing="1" w:after="120" w:line="360" w:lineRule="auto"/>
        <w:jc w:val="both"/>
        <w:rPr>
          <w:rFonts w:ascii="Arial" w:hAnsi="Arial" w:cs="Arial"/>
          <w:sz w:val="18"/>
          <w:szCs w:val="18"/>
          <w:lang w:eastAsia="vi-VN"/>
        </w:rPr>
      </w:pPr>
      <w:r w:rsidRPr="00A441C4">
        <w:rPr>
          <w:rFonts w:ascii="Arial" w:hAnsi="Arial" w:cs="Arial"/>
          <w:sz w:val="18"/>
          <w:szCs w:val="18"/>
          <w:lang w:val="vi-VN" w:eastAsia="vi-VN"/>
        </w:rPr>
        <w:t xml:space="preserve">For USD transactions: </w:t>
      </w:r>
      <w:r w:rsidRPr="00A441C4">
        <w:rPr>
          <w:rFonts w:ascii="Arial" w:hAnsi="Arial" w:cs="Arial"/>
          <w:sz w:val="18"/>
          <w:szCs w:val="18"/>
          <w:lang w:eastAsia="vi-VN"/>
        </w:rPr>
        <w:t xml:space="preserve">The average interest rates decreased for most key terms of 1 month and below. Specifically, the average interest rates for overnight and 1 month decreased to 0.16% p.a and 0.36% p.a respectively. </w:t>
      </w:r>
    </w:p>
    <w:p w:rsidR="001F64D0" w:rsidRPr="00A441C4" w:rsidRDefault="001F64D0" w:rsidP="001F64D0">
      <w:pPr>
        <w:shd w:val="clear" w:color="auto" w:fill="FFFFFF"/>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 xml:space="preserve"> The specific average inter-bank interest rates were as follows:</w:t>
      </w:r>
    </w:p>
    <w:tbl>
      <w:tblPr>
        <w:tblW w:w="0" w:type="auto"/>
        <w:jc w:val="center"/>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tblPr>
      <w:tblGrid>
        <w:gridCol w:w="993"/>
        <w:gridCol w:w="933"/>
        <w:gridCol w:w="992"/>
        <w:gridCol w:w="851"/>
        <w:gridCol w:w="850"/>
        <w:gridCol w:w="823"/>
        <w:gridCol w:w="808"/>
        <w:gridCol w:w="802"/>
      </w:tblGrid>
      <w:tr w:rsidR="001F64D0" w:rsidRPr="00A441C4" w:rsidTr="0097784D">
        <w:trPr>
          <w:trHeight w:val="405"/>
          <w:jc w:val="center"/>
        </w:trPr>
        <w:tc>
          <w:tcPr>
            <w:tcW w:w="993" w:type="dxa"/>
            <w:tcBorders>
              <w:right w:val="single" w:sz="4" w:space="0" w:color="000000"/>
            </w:tcBorders>
            <w:shd w:val="clear" w:color="auto" w:fill="FFFFFF"/>
            <w:vAlign w:val="center"/>
            <w:hideMark/>
          </w:tcPr>
          <w:p w:rsidR="001F64D0" w:rsidRPr="00A441C4" w:rsidRDefault="001F64D0" w:rsidP="0097784D">
            <w:pPr>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Term</w:t>
            </w:r>
          </w:p>
        </w:tc>
        <w:tc>
          <w:tcPr>
            <w:tcW w:w="933" w:type="dxa"/>
            <w:tcBorders>
              <w:right w:val="single" w:sz="4" w:space="0" w:color="000000"/>
            </w:tcBorders>
            <w:shd w:val="clear" w:color="auto" w:fill="FFFFFF"/>
            <w:vAlign w:val="center"/>
            <w:hideMark/>
          </w:tcPr>
          <w:p w:rsidR="001F64D0" w:rsidRPr="00A441C4" w:rsidRDefault="001F64D0" w:rsidP="0097784D">
            <w:pPr>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Over night</w:t>
            </w:r>
          </w:p>
        </w:tc>
        <w:tc>
          <w:tcPr>
            <w:tcW w:w="992" w:type="dxa"/>
            <w:tcBorders>
              <w:right w:val="single" w:sz="4" w:space="0" w:color="000000"/>
            </w:tcBorders>
            <w:shd w:val="clear" w:color="auto" w:fill="FFFFFF"/>
            <w:vAlign w:val="center"/>
            <w:hideMark/>
          </w:tcPr>
          <w:p w:rsidR="001F64D0" w:rsidRPr="00A441C4" w:rsidRDefault="001F64D0" w:rsidP="0097784D">
            <w:pPr>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1 week</w:t>
            </w:r>
          </w:p>
        </w:tc>
        <w:tc>
          <w:tcPr>
            <w:tcW w:w="851" w:type="dxa"/>
            <w:tcBorders>
              <w:right w:val="single" w:sz="4" w:space="0" w:color="000000"/>
            </w:tcBorders>
            <w:shd w:val="clear" w:color="auto" w:fill="FFFFFF"/>
            <w:vAlign w:val="center"/>
            <w:hideMark/>
          </w:tcPr>
          <w:p w:rsidR="001F64D0" w:rsidRPr="00A441C4" w:rsidRDefault="001F64D0" w:rsidP="0097784D">
            <w:pPr>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2 weeks</w:t>
            </w:r>
          </w:p>
        </w:tc>
        <w:tc>
          <w:tcPr>
            <w:tcW w:w="850" w:type="dxa"/>
            <w:tcBorders>
              <w:right w:val="single" w:sz="4" w:space="0" w:color="000000"/>
            </w:tcBorders>
            <w:shd w:val="clear" w:color="auto" w:fill="FFFFFF"/>
            <w:vAlign w:val="center"/>
            <w:hideMark/>
          </w:tcPr>
          <w:p w:rsidR="001F64D0" w:rsidRPr="00A441C4" w:rsidRDefault="001F64D0" w:rsidP="0097784D">
            <w:pPr>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1 month</w:t>
            </w:r>
          </w:p>
        </w:tc>
        <w:tc>
          <w:tcPr>
            <w:tcW w:w="823" w:type="dxa"/>
            <w:tcBorders>
              <w:right w:val="single" w:sz="4" w:space="0" w:color="000000"/>
            </w:tcBorders>
            <w:shd w:val="clear" w:color="auto" w:fill="FFFFFF"/>
            <w:vAlign w:val="center"/>
            <w:hideMark/>
          </w:tcPr>
          <w:p w:rsidR="001F64D0" w:rsidRPr="00A441C4" w:rsidRDefault="001F64D0" w:rsidP="0097784D">
            <w:pPr>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3 months</w:t>
            </w:r>
          </w:p>
        </w:tc>
        <w:tc>
          <w:tcPr>
            <w:tcW w:w="808" w:type="dxa"/>
            <w:tcBorders>
              <w:right w:val="single" w:sz="4" w:space="0" w:color="000000"/>
            </w:tcBorders>
            <w:shd w:val="clear" w:color="auto" w:fill="FFFFFF"/>
            <w:vAlign w:val="center"/>
            <w:hideMark/>
          </w:tcPr>
          <w:p w:rsidR="001F64D0" w:rsidRPr="00A441C4" w:rsidRDefault="001F64D0" w:rsidP="0097784D">
            <w:pPr>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6 months</w:t>
            </w:r>
          </w:p>
        </w:tc>
        <w:tc>
          <w:tcPr>
            <w:tcW w:w="802" w:type="dxa"/>
            <w:shd w:val="clear" w:color="auto" w:fill="FFFFFF"/>
            <w:vAlign w:val="center"/>
            <w:hideMark/>
          </w:tcPr>
          <w:p w:rsidR="001F64D0" w:rsidRPr="00A441C4" w:rsidRDefault="001F64D0" w:rsidP="0097784D">
            <w:pPr>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9 months</w:t>
            </w:r>
          </w:p>
        </w:tc>
      </w:tr>
      <w:tr w:rsidR="001F64D0" w:rsidRPr="00A441C4" w:rsidTr="0097784D">
        <w:trPr>
          <w:trHeight w:val="345"/>
          <w:jc w:val="center"/>
        </w:trPr>
        <w:tc>
          <w:tcPr>
            <w:tcW w:w="993"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VND</w:t>
            </w:r>
          </w:p>
        </w:tc>
        <w:tc>
          <w:tcPr>
            <w:tcW w:w="933"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lang w:eastAsia="vi-VN"/>
              </w:rPr>
            </w:pPr>
            <w:r w:rsidRPr="00A441C4">
              <w:rPr>
                <w:rFonts w:ascii="Arial" w:hAnsi="Arial" w:cs="Arial"/>
                <w:color w:val="000000"/>
                <w:sz w:val="18"/>
                <w:szCs w:val="18"/>
              </w:rPr>
              <w:t>1.58</w:t>
            </w:r>
          </w:p>
        </w:tc>
        <w:tc>
          <w:tcPr>
            <w:tcW w:w="992"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2.15</w:t>
            </w:r>
          </w:p>
        </w:tc>
        <w:tc>
          <w:tcPr>
            <w:tcW w:w="851"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2.49</w:t>
            </w:r>
          </w:p>
        </w:tc>
        <w:tc>
          <w:tcPr>
            <w:tcW w:w="850"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3.40</w:t>
            </w:r>
          </w:p>
        </w:tc>
        <w:tc>
          <w:tcPr>
            <w:tcW w:w="823"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4.66</w:t>
            </w:r>
          </w:p>
        </w:tc>
        <w:tc>
          <w:tcPr>
            <w:tcW w:w="808"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4.87</w:t>
            </w:r>
          </w:p>
        </w:tc>
        <w:tc>
          <w:tcPr>
            <w:tcW w:w="802" w:type="dxa"/>
            <w:tcBorders>
              <w:top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w:t>
            </w:r>
          </w:p>
        </w:tc>
      </w:tr>
      <w:tr w:rsidR="001F64D0" w:rsidRPr="00A441C4" w:rsidTr="0097784D">
        <w:trPr>
          <w:trHeight w:val="345"/>
          <w:jc w:val="center"/>
        </w:trPr>
        <w:tc>
          <w:tcPr>
            <w:tcW w:w="993" w:type="dxa"/>
            <w:tcBorders>
              <w:top w:val="single" w:sz="4" w:space="0" w:color="000000"/>
              <w:right w:val="single" w:sz="4" w:space="0" w:color="000000"/>
            </w:tcBorders>
            <w:shd w:val="clear" w:color="auto" w:fill="FFFFFF"/>
            <w:vAlign w:val="center"/>
            <w:hideMark/>
          </w:tcPr>
          <w:p w:rsidR="001F64D0" w:rsidRPr="00A441C4" w:rsidRDefault="001F64D0" w:rsidP="0097784D">
            <w:pPr>
              <w:spacing w:before="100" w:beforeAutospacing="1" w:after="120"/>
              <w:jc w:val="both"/>
              <w:rPr>
                <w:rFonts w:ascii="Arial" w:hAnsi="Arial" w:cs="Arial"/>
                <w:sz w:val="18"/>
                <w:szCs w:val="18"/>
                <w:lang w:val="vi-VN" w:eastAsia="vi-VN"/>
              </w:rPr>
            </w:pPr>
            <w:r w:rsidRPr="00A441C4">
              <w:rPr>
                <w:rFonts w:ascii="Arial" w:hAnsi="Arial" w:cs="Arial"/>
                <w:sz w:val="18"/>
                <w:szCs w:val="18"/>
                <w:lang w:val="vi-VN" w:eastAsia="vi-VN"/>
              </w:rPr>
              <w:t>USD</w:t>
            </w:r>
          </w:p>
        </w:tc>
        <w:tc>
          <w:tcPr>
            <w:tcW w:w="933"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0.16</w:t>
            </w:r>
          </w:p>
        </w:tc>
        <w:tc>
          <w:tcPr>
            <w:tcW w:w="992"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0.21</w:t>
            </w:r>
          </w:p>
        </w:tc>
        <w:tc>
          <w:tcPr>
            <w:tcW w:w="851"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0.18</w:t>
            </w:r>
          </w:p>
        </w:tc>
        <w:tc>
          <w:tcPr>
            <w:tcW w:w="850"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0.36</w:t>
            </w:r>
          </w:p>
        </w:tc>
        <w:tc>
          <w:tcPr>
            <w:tcW w:w="823"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1.03</w:t>
            </w:r>
          </w:p>
        </w:tc>
        <w:tc>
          <w:tcPr>
            <w:tcW w:w="808" w:type="dxa"/>
            <w:tcBorders>
              <w:top w:val="single" w:sz="4" w:space="0" w:color="000000"/>
              <w:right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2.00</w:t>
            </w:r>
          </w:p>
        </w:tc>
        <w:tc>
          <w:tcPr>
            <w:tcW w:w="802" w:type="dxa"/>
            <w:tcBorders>
              <w:top w:val="single" w:sz="4" w:space="0" w:color="000000"/>
            </w:tcBorders>
            <w:shd w:val="clear" w:color="auto" w:fill="FFFFFF"/>
            <w:vAlign w:val="center"/>
            <w:hideMark/>
          </w:tcPr>
          <w:p w:rsidR="001F64D0" w:rsidRPr="00A441C4" w:rsidRDefault="001F64D0" w:rsidP="0097784D">
            <w:pPr>
              <w:jc w:val="both"/>
              <w:rPr>
                <w:rFonts w:ascii="Arial" w:hAnsi="Arial" w:cs="Arial"/>
                <w:color w:val="000000"/>
                <w:sz w:val="18"/>
                <w:szCs w:val="18"/>
              </w:rPr>
            </w:pPr>
            <w:r w:rsidRPr="00A441C4">
              <w:rPr>
                <w:rFonts w:ascii="Arial" w:hAnsi="Arial" w:cs="Arial"/>
                <w:color w:val="000000"/>
                <w:sz w:val="18"/>
                <w:szCs w:val="18"/>
              </w:rPr>
              <w:t>-</w:t>
            </w:r>
          </w:p>
        </w:tc>
      </w:tr>
    </w:tbl>
    <w:p w:rsidR="001F64D0" w:rsidRPr="00A441C4" w:rsidRDefault="001F64D0" w:rsidP="001F64D0">
      <w:pPr>
        <w:shd w:val="clear" w:color="auto" w:fill="FFFFFF"/>
        <w:spacing w:before="100" w:beforeAutospacing="1" w:after="120"/>
        <w:jc w:val="both"/>
        <w:rPr>
          <w:rFonts w:ascii="Arial" w:hAnsi="Arial" w:cs="Arial"/>
          <w:b/>
          <w:bCs/>
          <w:sz w:val="18"/>
          <w:szCs w:val="18"/>
          <w:lang w:eastAsia="vi-VN"/>
        </w:rPr>
      </w:pPr>
      <w:r w:rsidRPr="00A441C4">
        <w:rPr>
          <w:rFonts w:ascii="Arial" w:hAnsi="Arial" w:cs="Arial"/>
          <w:sz w:val="18"/>
          <w:szCs w:val="18"/>
          <w:lang w:val="vi-VN" w:eastAsia="vi-VN"/>
        </w:rPr>
        <w:t xml:space="preserve"> </w:t>
      </w:r>
      <w:r w:rsidRPr="00A441C4">
        <w:rPr>
          <w:rFonts w:ascii="Arial" w:hAnsi="Arial" w:cs="Arial"/>
          <w:b/>
          <w:bCs/>
          <w:sz w:val="18"/>
          <w:szCs w:val="18"/>
          <w:lang w:val="vi-VN" w:eastAsia="vi-VN"/>
        </w:rPr>
        <w:t xml:space="preserve">3. </w:t>
      </w:r>
      <w:r w:rsidRPr="00A441C4">
        <w:rPr>
          <w:rFonts w:ascii="Arial" w:hAnsi="Arial" w:cs="Arial"/>
          <w:b/>
          <w:bCs/>
          <w:sz w:val="18"/>
          <w:szCs w:val="18"/>
          <w:lang w:eastAsia="vi-VN"/>
        </w:rPr>
        <w:t>Forex market</w:t>
      </w:r>
      <w:r w:rsidRPr="00A441C4">
        <w:rPr>
          <w:rFonts w:ascii="Arial" w:hAnsi="Arial" w:cs="Arial"/>
          <w:b/>
          <w:bCs/>
          <w:sz w:val="18"/>
          <w:szCs w:val="18"/>
          <w:lang w:val="vi-VN" w:eastAsia="vi-VN"/>
        </w:rPr>
        <w:t>:</w:t>
      </w:r>
    </w:p>
    <w:p w:rsidR="001F64D0" w:rsidRPr="00A441C4" w:rsidRDefault="001F64D0" w:rsidP="001F64D0">
      <w:pPr>
        <w:spacing w:before="100" w:beforeAutospacing="1" w:after="120" w:line="360" w:lineRule="auto"/>
        <w:jc w:val="both"/>
        <w:rPr>
          <w:rFonts w:ascii="Arial" w:hAnsi="Arial" w:cs="Arial"/>
          <w:sz w:val="18"/>
          <w:szCs w:val="18"/>
        </w:rPr>
      </w:pPr>
      <w:r w:rsidRPr="00A441C4">
        <w:rPr>
          <w:rFonts w:ascii="Arial" w:hAnsi="Arial" w:cs="Arial"/>
          <w:sz w:val="18"/>
          <w:szCs w:val="18"/>
        </w:rPr>
        <w:t>T</w:t>
      </w:r>
      <w:r w:rsidRPr="00A441C4">
        <w:rPr>
          <w:rFonts w:ascii="Arial" w:hAnsi="Arial" w:cs="Arial"/>
          <w:sz w:val="18"/>
          <w:szCs w:val="18"/>
          <w:lang w:val="vi-VN" w:eastAsia="vi-VN"/>
        </w:rPr>
        <w:t xml:space="preserve">he </w:t>
      </w:r>
      <w:r w:rsidRPr="00A441C4">
        <w:rPr>
          <w:rFonts w:ascii="Arial" w:hAnsi="Arial" w:cs="Arial"/>
          <w:sz w:val="18"/>
          <w:szCs w:val="18"/>
          <w:lang w:eastAsia="vi-VN"/>
        </w:rPr>
        <w:t xml:space="preserve">buying and selling </w:t>
      </w:r>
      <w:r w:rsidRPr="00A441C4">
        <w:rPr>
          <w:rFonts w:ascii="Arial" w:hAnsi="Arial" w:cs="Arial"/>
          <w:sz w:val="18"/>
          <w:szCs w:val="18"/>
          <w:lang w:val="vi-VN" w:eastAsia="vi-VN"/>
        </w:rPr>
        <w:t>VND/USD exchange rate quoted by Vietcombank </w:t>
      </w:r>
      <w:r w:rsidRPr="00A441C4">
        <w:rPr>
          <w:rFonts w:ascii="Arial" w:hAnsi="Arial" w:cs="Arial"/>
          <w:sz w:val="18"/>
          <w:szCs w:val="18"/>
          <w:lang w:eastAsia="vi-VN"/>
        </w:rPr>
        <w:t xml:space="preserve">slightly increased as compared to the previous week, and fluctuated around </w:t>
      </w:r>
      <w:r w:rsidRPr="00A441C4">
        <w:rPr>
          <w:rFonts w:ascii="Arial" w:hAnsi="Arial" w:cs="Arial"/>
          <w:sz w:val="18"/>
          <w:szCs w:val="18"/>
        </w:rPr>
        <w:t xml:space="preserve">VND/USD 22,270/22,350  (on the 4 first day of the week). The exchange rate reduced to VND/USD 22,265/22,345 on the last day of the week </w:t>
      </w:r>
      <w:r w:rsidRPr="00A441C4">
        <w:rPr>
          <w:rFonts w:ascii="Arial" w:hAnsi="Arial" w:cs="Arial"/>
          <w:sz w:val="18"/>
          <w:szCs w:val="18"/>
          <w:lang w:eastAsia="vi-VN"/>
        </w:rPr>
        <w:t xml:space="preserve">(up by </w:t>
      </w:r>
      <w:r w:rsidRPr="00A441C4">
        <w:rPr>
          <w:rFonts w:ascii="Arial" w:hAnsi="Arial" w:cs="Arial"/>
          <w:sz w:val="18"/>
          <w:szCs w:val="18"/>
        </w:rPr>
        <w:t>VND/USD 05</w:t>
      </w:r>
      <w:r w:rsidRPr="00A441C4">
        <w:rPr>
          <w:rFonts w:ascii="Arial" w:hAnsi="Arial" w:cs="Arial"/>
          <w:sz w:val="18"/>
          <w:szCs w:val="18"/>
          <w:lang w:eastAsia="vi-VN"/>
        </w:rPr>
        <w:t xml:space="preserve"> as compared to that of the last day of the previous week)</w:t>
      </w:r>
      <w:r w:rsidRPr="00A441C4">
        <w:rPr>
          <w:rFonts w:ascii="Arial" w:hAnsi="Arial" w:cs="Arial"/>
          <w:sz w:val="18"/>
          <w:szCs w:val="18"/>
        </w:rPr>
        <w:t>.</w:t>
      </w:r>
    </w:p>
    <w:p w:rsidR="001F64D0" w:rsidRPr="00A441C4" w:rsidRDefault="001F64D0" w:rsidP="001F64D0">
      <w:pPr>
        <w:spacing w:before="100" w:beforeAutospacing="1" w:after="120" w:line="360" w:lineRule="auto"/>
        <w:jc w:val="both"/>
        <w:rPr>
          <w:rFonts w:ascii="Arial" w:hAnsi="Arial" w:cs="Arial"/>
          <w:sz w:val="18"/>
          <w:szCs w:val="18"/>
          <w:lang w:eastAsia="vi-VN"/>
        </w:rPr>
      </w:pPr>
      <w:r w:rsidRPr="00A441C4">
        <w:rPr>
          <w:rFonts w:ascii="Arial" w:hAnsi="Arial" w:cs="Arial"/>
          <w:sz w:val="18"/>
          <w:szCs w:val="18"/>
        </w:rPr>
        <w:t>In the coming time, the SBV will continue to conduct consistent measures and monetary policies, and sell foreign currencies in order to ensure the balance of foreign currency supply and demand for stabilizing forex market.</w:t>
      </w:r>
    </w:p>
    <w:p w:rsidR="001F64D0" w:rsidRPr="00A441C4" w:rsidRDefault="001F64D0" w:rsidP="001F64D0">
      <w:pPr>
        <w:tabs>
          <w:tab w:val="left" w:pos="4452"/>
        </w:tabs>
        <w:spacing w:before="120" w:after="120"/>
        <w:jc w:val="both"/>
        <w:rPr>
          <w:rFonts w:ascii="Arial" w:hAnsi="Arial" w:cs="Arial"/>
          <w:sz w:val="18"/>
          <w:szCs w:val="18"/>
        </w:rPr>
      </w:pPr>
      <w:r w:rsidRPr="00A441C4">
        <w:rPr>
          <w:rFonts w:ascii="Arial" w:hAnsi="Arial" w:cs="Arial"/>
          <w:sz w:val="18"/>
          <w:szCs w:val="18"/>
        </w:rPr>
        <w:t>Translated by MH</w:t>
      </w:r>
    </w:p>
    <w:p w:rsidR="00EB03C7" w:rsidRPr="00A441C4" w:rsidRDefault="00EB03C7">
      <w:pPr>
        <w:rPr>
          <w:sz w:val="18"/>
          <w:szCs w:val="18"/>
        </w:rPr>
      </w:pPr>
    </w:p>
    <w:sectPr w:rsidR="00EB03C7" w:rsidRPr="00A441C4" w:rsidSect="00EB03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F64D0"/>
    <w:rsid w:val="001F64D0"/>
    <w:rsid w:val="00A441C4"/>
    <w:rsid w:val="00B00F2E"/>
    <w:rsid w:val="00E473C8"/>
    <w:rsid w:val="00EB03C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4D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F64D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3322</Characters>
  <Application>Microsoft Office Word</Application>
  <DocSecurity>0</DocSecurity>
  <Lines>27</Lines>
  <Paragraphs>7</Paragraphs>
  <ScaleCrop>false</ScaleCrop>
  <Company>Microsoft</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mai huong</dc:creator>
  <cp:lastModifiedBy>vu mai huong</cp:lastModifiedBy>
  <cp:revision>2</cp:revision>
  <dcterms:created xsi:type="dcterms:W3CDTF">2015-11-12T11:37:00Z</dcterms:created>
  <dcterms:modified xsi:type="dcterms:W3CDTF">2015-11-12T11:37:00Z</dcterms:modified>
</cp:coreProperties>
</file>