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0E6" w:rsidRPr="004E136C" w:rsidRDefault="00542BB8" w:rsidP="005070E6">
      <w:pPr>
        <w:spacing w:before="100" w:beforeAutospacing="1" w:after="100" w:afterAutospacing="1" w:line="240" w:lineRule="auto"/>
        <w:outlineLvl w:val="0"/>
        <w:rPr>
          <w:rFonts w:ascii="Calibri" w:hAnsi="Calibri" w:cs="Calibri"/>
          <w:b/>
          <w:color w:val="333333"/>
          <w:sz w:val="27"/>
          <w:szCs w:val="21"/>
        </w:rPr>
      </w:pPr>
      <w:r w:rsidRPr="004E136C">
        <w:rPr>
          <w:rFonts w:ascii="Calibri" w:hAnsi="Calibri" w:cs="Calibri"/>
          <w:b/>
          <w:color w:val="333333"/>
          <w:sz w:val="27"/>
          <w:szCs w:val="21"/>
        </w:rPr>
        <w:t xml:space="preserve">Các quốc gia chịu giám sát tăng cường </w:t>
      </w:r>
      <w:r w:rsidR="005070E6" w:rsidRPr="004E136C">
        <w:rPr>
          <w:rFonts w:ascii="Calibri" w:hAnsi="Calibri" w:cs="Calibri"/>
          <w:b/>
          <w:color w:val="333333"/>
          <w:sz w:val="27"/>
          <w:szCs w:val="21"/>
        </w:rPr>
        <w:t>– 21</w:t>
      </w:r>
      <w:r w:rsidRPr="004E136C">
        <w:rPr>
          <w:rFonts w:ascii="Calibri" w:hAnsi="Calibri" w:cs="Calibri"/>
          <w:b/>
          <w:color w:val="333333"/>
          <w:sz w:val="27"/>
          <w:szCs w:val="21"/>
        </w:rPr>
        <w:t>/02/</w:t>
      </w:r>
      <w:r w:rsidR="005070E6" w:rsidRPr="004E136C">
        <w:rPr>
          <w:rFonts w:ascii="Calibri" w:hAnsi="Calibri" w:cs="Calibri"/>
          <w:b/>
          <w:color w:val="333333"/>
          <w:sz w:val="27"/>
          <w:szCs w:val="21"/>
        </w:rPr>
        <w:t>2020</w:t>
      </w:r>
    </w:p>
    <w:p w:rsidR="00E12015" w:rsidRPr="004E136C" w:rsidRDefault="00D2109A" w:rsidP="00E12015">
      <w:pPr>
        <w:spacing w:after="0" w:line="240" w:lineRule="auto"/>
        <w:rPr>
          <w:rFonts w:ascii="Calibri" w:hAnsi="Calibri" w:cs="Calibri"/>
          <w:color w:val="333333"/>
          <w:sz w:val="21"/>
          <w:szCs w:val="21"/>
        </w:rPr>
      </w:pPr>
      <w:r w:rsidRPr="004E136C">
        <w:rPr>
          <w:rFonts w:ascii="Calibri" w:hAnsi="Calibri" w:cs="Calibri"/>
          <w:color w:val="333333"/>
          <w:sz w:val="21"/>
          <w:szCs w:val="21"/>
        </w:rPr>
        <w:t xml:space="preserve">Các quốc gia chịu giám sát tăng cường </w:t>
      </w:r>
      <w:r w:rsidR="00E12015" w:rsidRPr="004E136C">
        <w:rPr>
          <w:rFonts w:ascii="Calibri" w:hAnsi="Calibri" w:cs="Calibri"/>
          <w:color w:val="333333"/>
          <w:sz w:val="21"/>
          <w:szCs w:val="21"/>
        </w:rPr>
        <w:t xml:space="preserve">đang tích cực làm việc với FATF để giải quyết những thiếu </w:t>
      </w:r>
      <w:r w:rsidRPr="004E136C">
        <w:rPr>
          <w:rFonts w:ascii="Calibri" w:hAnsi="Calibri" w:cs="Calibri"/>
          <w:color w:val="333333"/>
          <w:sz w:val="21"/>
          <w:szCs w:val="21"/>
        </w:rPr>
        <w:t xml:space="preserve">hụt </w:t>
      </w:r>
      <w:r w:rsidR="00E12015" w:rsidRPr="004E136C">
        <w:rPr>
          <w:rFonts w:ascii="Calibri" w:hAnsi="Calibri" w:cs="Calibri"/>
          <w:color w:val="333333"/>
          <w:sz w:val="21"/>
          <w:szCs w:val="21"/>
        </w:rPr>
        <w:t xml:space="preserve">chiến lược trong </w:t>
      </w:r>
      <w:r w:rsidR="00326899" w:rsidRPr="004E136C">
        <w:rPr>
          <w:rFonts w:ascii="Calibri" w:hAnsi="Calibri" w:cs="Calibri"/>
          <w:color w:val="333333"/>
          <w:sz w:val="21"/>
          <w:szCs w:val="21"/>
        </w:rPr>
        <w:t xml:space="preserve">cơ chế </w:t>
      </w:r>
      <w:r w:rsidR="00E12015" w:rsidRPr="004E136C">
        <w:rPr>
          <w:rFonts w:ascii="Calibri" w:hAnsi="Calibri" w:cs="Calibri"/>
          <w:color w:val="333333"/>
          <w:sz w:val="21"/>
          <w:szCs w:val="21"/>
        </w:rPr>
        <w:t>chống rửa tiền, tài trợ khủng bố và tài trợ phổ biến</w:t>
      </w:r>
      <w:r w:rsidR="00326899" w:rsidRPr="004E136C">
        <w:rPr>
          <w:rFonts w:ascii="Calibri" w:hAnsi="Calibri" w:cs="Calibri"/>
          <w:color w:val="333333"/>
          <w:sz w:val="21"/>
          <w:szCs w:val="21"/>
        </w:rPr>
        <w:t xml:space="preserve"> vũ khí của mình</w:t>
      </w:r>
      <w:r w:rsidR="00E12015" w:rsidRPr="004E136C">
        <w:rPr>
          <w:rFonts w:ascii="Calibri" w:hAnsi="Calibri" w:cs="Calibri"/>
          <w:color w:val="333333"/>
          <w:sz w:val="21"/>
          <w:szCs w:val="21"/>
        </w:rPr>
        <w:t xml:space="preserve">. Khi FATF </w:t>
      </w:r>
      <w:r w:rsidR="00407760" w:rsidRPr="004E136C">
        <w:rPr>
          <w:rFonts w:ascii="Calibri" w:hAnsi="Calibri" w:cs="Calibri"/>
          <w:color w:val="333333"/>
          <w:sz w:val="21"/>
          <w:szCs w:val="21"/>
        </w:rPr>
        <w:t>đưa quốc gia vào danh sách giám sát tăng cường</w:t>
      </w:r>
      <w:r w:rsidR="00E12015" w:rsidRPr="004E136C">
        <w:rPr>
          <w:rFonts w:ascii="Calibri" w:hAnsi="Calibri" w:cs="Calibri"/>
          <w:color w:val="333333"/>
          <w:sz w:val="21"/>
          <w:szCs w:val="21"/>
        </w:rPr>
        <w:t>, điều đó có nghĩa là quốc gia</w:t>
      </w:r>
      <w:r w:rsidR="00407760" w:rsidRPr="004E136C">
        <w:rPr>
          <w:rFonts w:ascii="Calibri" w:hAnsi="Calibri" w:cs="Calibri"/>
          <w:color w:val="333333"/>
          <w:sz w:val="21"/>
          <w:szCs w:val="21"/>
        </w:rPr>
        <w:t xml:space="preserve"> đó</w:t>
      </w:r>
      <w:r w:rsidR="00E12015" w:rsidRPr="004E136C">
        <w:rPr>
          <w:rFonts w:ascii="Calibri" w:hAnsi="Calibri" w:cs="Calibri"/>
          <w:color w:val="333333"/>
          <w:sz w:val="21"/>
          <w:szCs w:val="21"/>
        </w:rPr>
        <w:t xml:space="preserve"> </w:t>
      </w:r>
      <w:r w:rsidR="00407760" w:rsidRPr="004E136C">
        <w:rPr>
          <w:rFonts w:ascii="Calibri" w:hAnsi="Calibri" w:cs="Calibri"/>
          <w:color w:val="333333"/>
          <w:sz w:val="21"/>
          <w:szCs w:val="21"/>
        </w:rPr>
        <w:t xml:space="preserve">phải </w:t>
      </w:r>
      <w:r w:rsidR="00E12015" w:rsidRPr="004E136C">
        <w:rPr>
          <w:rFonts w:ascii="Calibri" w:hAnsi="Calibri" w:cs="Calibri"/>
          <w:color w:val="333333"/>
          <w:sz w:val="21"/>
          <w:szCs w:val="21"/>
        </w:rPr>
        <w:t xml:space="preserve">cam kết giải quyết nhanh chóng những thiếu </w:t>
      </w:r>
      <w:r w:rsidR="00407760" w:rsidRPr="004E136C">
        <w:rPr>
          <w:rFonts w:ascii="Calibri" w:hAnsi="Calibri" w:cs="Calibri"/>
          <w:color w:val="333333"/>
          <w:sz w:val="21"/>
          <w:szCs w:val="21"/>
        </w:rPr>
        <w:t xml:space="preserve">hụt </w:t>
      </w:r>
      <w:r w:rsidR="00E12015" w:rsidRPr="004E136C">
        <w:rPr>
          <w:rFonts w:ascii="Calibri" w:hAnsi="Calibri" w:cs="Calibri"/>
          <w:color w:val="333333"/>
          <w:sz w:val="21"/>
          <w:szCs w:val="21"/>
        </w:rPr>
        <w:t xml:space="preserve">chiến lược đã được xác định trong các khung thời gian đã </w:t>
      </w:r>
      <w:r w:rsidR="00F7143B" w:rsidRPr="004E136C">
        <w:rPr>
          <w:rFonts w:ascii="Calibri" w:hAnsi="Calibri" w:cs="Calibri"/>
          <w:color w:val="333333"/>
          <w:sz w:val="21"/>
          <w:szCs w:val="21"/>
        </w:rPr>
        <w:t xml:space="preserve">thống nhất </w:t>
      </w:r>
      <w:r w:rsidR="00E12015" w:rsidRPr="004E136C">
        <w:rPr>
          <w:rFonts w:ascii="Calibri" w:hAnsi="Calibri" w:cs="Calibri"/>
          <w:color w:val="333333"/>
          <w:sz w:val="21"/>
          <w:szCs w:val="21"/>
        </w:rPr>
        <w:t xml:space="preserve">và phải chịu sự giám sát </w:t>
      </w:r>
      <w:r w:rsidR="00F7143B" w:rsidRPr="004E136C">
        <w:rPr>
          <w:rFonts w:ascii="Calibri" w:hAnsi="Calibri" w:cs="Calibri"/>
          <w:color w:val="333333"/>
          <w:sz w:val="21"/>
          <w:szCs w:val="21"/>
        </w:rPr>
        <w:t>tăng cường</w:t>
      </w:r>
      <w:r w:rsidR="00E12015" w:rsidRPr="004E136C">
        <w:rPr>
          <w:rFonts w:ascii="Calibri" w:hAnsi="Calibri" w:cs="Calibri"/>
          <w:color w:val="333333"/>
          <w:sz w:val="21"/>
          <w:szCs w:val="21"/>
        </w:rPr>
        <w:t xml:space="preserve">. Danh sách này thường được gọi là </w:t>
      </w:r>
      <w:r w:rsidR="00B63FA3" w:rsidRPr="004E136C">
        <w:rPr>
          <w:rFonts w:ascii="Calibri" w:hAnsi="Calibri" w:cs="Calibri"/>
          <w:color w:val="333333"/>
          <w:sz w:val="21"/>
          <w:szCs w:val="21"/>
        </w:rPr>
        <w:t>‘</w:t>
      </w:r>
      <w:r w:rsidR="00E12015" w:rsidRPr="004E136C">
        <w:rPr>
          <w:rFonts w:ascii="Calibri" w:hAnsi="Calibri" w:cs="Calibri"/>
          <w:color w:val="333333"/>
          <w:sz w:val="21"/>
          <w:szCs w:val="21"/>
        </w:rPr>
        <w:t>danh sách xám</w:t>
      </w:r>
      <w:r w:rsidR="00B63FA3" w:rsidRPr="004E136C">
        <w:rPr>
          <w:rFonts w:ascii="Calibri" w:hAnsi="Calibri" w:cs="Calibri"/>
          <w:color w:val="333333"/>
          <w:sz w:val="21"/>
          <w:szCs w:val="21"/>
        </w:rPr>
        <w:t>’.</w:t>
      </w:r>
      <w:r w:rsidR="00E12015" w:rsidRPr="004E136C">
        <w:rPr>
          <w:rFonts w:ascii="Calibri" w:hAnsi="Calibri" w:cs="Calibri"/>
          <w:color w:val="333333"/>
          <w:sz w:val="21"/>
          <w:szCs w:val="21"/>
        </w:rPr>
        <w:t xml:space="preserve"> </w:t>
      </w:r>
    </w:p>
    <w:p w:rsidR="005070E6" w:rsidRPr="004E136C" w:rsidRDefault="00BA2325" w:rsidP="000D4CAE">
      <w:pPr>
        <w:spacing w:before="100" w:beforeAutospacing="1" w:after="100" w:afterAutospacing="1" w:line="240" w:lineRule="auto"/>
        <w:jc w:val="both"/>
        <w:rPr>
          <w:rFonts w:ascii="Calibri" w:hAnsi="Calibri" w:cs="Calibri"/>
          <w:color w:val="333333"/>
          <w:sz w:val="21"/>
          <w:szCs w:val="21"/>
        </w:rPr>
      </w:pPr>
      <w:r w:rsidRPr="004E136C">
        <w:rPr>
          <w:rFonts w:ascii="Calibri" w:hAnsi="Calibri" w:cs="Calibri"/>
          <w:color w:val="333333"/>
          <w:sz w:val="21"/>
          <w:szCs w:val="21"/>
        </w:rPr>
        <w:t xml:space="preserve">FATF và các tổ chức khu vực kiểu FATF tiếp tục làm việc với các </w:t>
      </w:r>
      <w:r w:rsidR="001123F5" w:rsidRPr="004E136C">
        <w:rPr>
          <w:rFonts w:ascii="Calibri" w:hAnsi="Calibri" w:cs="Calibri"/>
          <w:color w:val="333333"/>
          <w:sz w:val="21"/>
          <w:szCs w:val="21"/>
        </w:rPr>
        <w:t>quốc gia trong danh sách dưới đây và báo</w:t>
      </w:r>
      <w:r w:rsidR="00F92793">
        <w:rPr>
          <w:rFonts w:ascii="Calibri" w:hAnsi="Calibri" w:cs="Calibri"/>
          <w:color w:val="333333"/>
          <w:sz w:val="21"/>
          <w:szCs w:val="21"/>
        </w:rPr>
        <w:t xml:space="preserve"> cáo</w:t>
      </w:r>
      <w:r w:rsidR="001123F5" w:rsidRPr="004E136C">
        <w:rPr>
          <w:rFonts w:ascii="Calibri" w:hAnsi="Calibri" w:cs="Calibri"/>
          <w:color w:val="333333"/>
          <w:sz w:val="21"/>
          <w:szCs w:val="21"/>
        </w:rPr>
        <w:t xml:space="preserve"> </w:t>
      </w:r>
      <w:r w:rsidRPr="004E136C">
        <w:rPr>
          <w:rFonts w:ascii="Calibri" w:hAnsi="Calibri" w:cs="Calibri"/>
          <w:color w:val="333333"/>
          <w:sz w:val="21"/>
          <w:szCs w:val="21"/>
        </w:rPr>
        <w:t xml:space="preserve">về </w:t>
      </w:r>
      <w:r w:rsidR="001123F5" w:rsidRPr="004E136C">
        <w:rPr>
          <w:rFonts w:ascii="Calibri" w:hAnsi="Calibri" w:cs="Calibri"/>
          <w:color w:val="333333"/>
          <w:sz w:val="21"/>
          <w:szCs w:val="21"/>
        </w:rPr>
        <w:t xml:space="preserve">những tiến triển </w:t>
      </w:r>
      <w:r w:rsidR="00F92793">
        <w:rPr>
          <w:rFonts w:ascii="Calibri" w:hAnsi="Calibri" w:cs="Calibri"/>
          <w:color w:val="333333"/>
          <w:sz w:val="21"/>
          <w:szCs w:val="21"/>
        </w:rPr>
        <w:t xml:space="preserve">được thực hiện nhằm </w:t>
      </w:r>
      <w:r w:rsidRPr="004E136C">
        <w:rPr>
          <w:rFonts w:ascii="Calibri" w:hAnsi="Calibri" w:cs="Calibri"/>
          <w:color w:val="333333"/>
          <w:sz w:val="21"/>
          <w:szCs w:val="21"/>
        </w:rPr>
        <w:t xml:space="preserve">giải quyết các thiếu </w:t>
      </w:r>
      <w:r w:rsidR="008E7E96" w:rsidRPr="004E136C">
        <w:rPr>
          <w:rFonts w:ascii="Calibri" w:hAnsi="Calibri" w:cs="Calibri"/>
          <w:color w:val="333333"/>
          <w:sz w:val="21"/>
          <w:szCs w:val="21"/>
        </w:rPr>
        <w:t xml:space="preserve">hụt </w:t>
      </w:r>
      <w:r w:rsidRPr="004E136C">
        <w:rPr>
          <w:rFonts w:ascii="Calibri" w:hAnsi="Calibri" w:cs="Calibri"/>
          <w:color w:val="333333"/>
          <w:sz w:val="21"/>
          <w:szCs w:val="21"/>
        </w:rPr>
        <w:t xml:space="preserve">chiến lược đã được xác định. FATF kêu gọi các </w:t>
      </w:r>
      <w:r w:rsidR="008E7E96" w:rsidRPr="004E136C">
        <w:rPr>
          <w:rFonts w:ascii="Calibri" w:hAnsi="Calibri" w:cs="Calibri"/>
          <w:color w:val="333333"/>
          <w:sz w:val="21"/>
          <w:szCs w:val="21"/>
        </w:rPr>
        <w:t xml:space="preserve">quốc gia </w:t>
      </w:r>
      <w:r w:rsidRPr="004E136C">
        <w:rPr>
          <w:rFonts w:ascii="Calibri" w:hAnsi="Calibri" w:cs="Calibri"/>
          <w:color w:val="333333"/>
          <w:sz w:val="21"/>
          <w:szCs w:val="21"/>
        </w:rPr>
        <w:t xml:space="preserve">này hoàn thành các kế hoạch hành động đã </w:t>
      </w:r>
      <w:r w:rsidR="00F92793">
        <w:rPr>
          <w:rFonts w:ascii="Calibri" w:hAnsi="Calibri" w:cs="Calibri"/>
          <w:color w:val="333333"/>
          <w:sz w:val="21"/>
          <w:szCs w:val="21"/>
        </w:rPr>
        <w:t>đồng thuận</w:t>
      </w:r>
      <w:r w:rsidRPr="004E136C">
        <w:rPr>
          <w:rFonts w:ascii="Calibri" w:hAnsi="Calibri" w:cs="Calibri"/>
          <w:color w:val="333333"/>
          <w:sz w:val="21"/>
          <w:szCs w:val="21"/>
        </w:rPr>
        <w:t xml:space="preserve"> một cách nhanh chóng và trong các khung thời gian </w:t>
      </w:r>
      <w:r w:rsidR="008E7E96" w:rsidRPr="004E136C">
        <w:rPr>
          <w:rFonts w:ascii="Calibri" w:hAnsi="Calibri" w:cs="Calibri"/>
          <w:color w:val="333333"/>
          <w:sz w:val="21"/>
          <w:szCs w:val="21"/>
        </w:rPr>
        <w:t>được xác định</w:t>
      </w:r>
      <w:r w:rsidRPr="004E136C">
        <w:rPr>
          <w:rFonts w:ascii="Calibri" w:hAnsi="Calibri" w:cs="Calibri"/>
          <w:color w:val="333333"/>
          <w:sz w:val="21"/>
          <w:szCs w:val="21"/>
        </w:rPr>
        <w:t xml:space="preserve">. FATF hoan nghênh cam kết của </w:t>
      </w:r>
      <w:r w:rsidR="008E7E96" w:rsidRPr="004E136C">
        <w:rPr>
          <w:rFonts w:ascii="Calibri" w:hAnsi="Calibri" w:cs="Calibri"/>
          <w:color w:val="333333"/>
          <w:sz w:val="21"/>
          <w:szCs w:val="21"/>
        </w:rPr>
        <w:t xml:space="preserve">các quốc gia này </w:t>
      </w:r>
      <w:r w:rsidRPr="004E136C">
        <w:rPr>
          <w:rFonts w:ascii="Calibri" w:hAnsi="Calibri" w:cs="Calibri"/>
          <w:color w:val="333333"/>
          <w:sz w:val="21"/>
          <w:szCs w:val="21"/>
        </w:rPr>
        <w:t xml:space="preserve">và sẽ theo dõi chặt chẽ </w:t>
      </w:r>
      <w:r w:rsidR="008E7E96" w:rsidRPr="004E136C">
        <w:rPr>
          <w:rFonts w:ascii="Calibri" w:hAnsi="Calibri" w:cs="Calibri"/>
          <w:color w:val="333333"/>
          <w:sz w:val="21"/>
          <w:szCs w:val="21"/>
        </w:rPr>
        <w:t xml:space="preserve">quá trình thực hiện </w:t>
      </w:r>
      <w:r w:rsidRPr="004E136C">
        <w:rPr>
          <w:rFonts w:ascii="Calibri" w:hAnsi="Calibri" w:cs="Calibri"/>
          <w:color w:val="333333"/>
          <w:sz w:val="21"/>
          <w:szCs w:val="21"/>
        </w:rPr>
        <w:t xml:space="preserve">của họ. FATF không kêu gọi áp dụng </w:t>
      </w:r>
      <w:r w:rsidR="00EB71A1" w:rsidRPr="004E136C">
        <w:rPr>
          <w:rFonts w:ascii="Calibri" w:hAnsi="Calibri" w:cs="Calibri"/>
          <w:color w:val="333333"/>
          <w:sz w:val="21"/>
          <w:szCs w:val="21"/>
        </w:rPr>
        <w:t xml:space="preserve">đánh giá </w:t>
      </w:r>
      <w:r w:rsidR="00536FE0" w:rsidRPr="004E136C">
        <w:rPr>
          <w:rFonts w:ascii="Calibri" w:hAnsi="Calibri" w:cs="Calibri"/>
          <w:color w:val="333333"/>
          <w:sz w:val="21"/>
          <w:szCs w:val="21"/>
        </w:rPr>
        <w:t xml:space="preserve">tăng cường </w:t>
      </w:r>
      <w:r w:rsidR="00EB71A1" w:rsidRPr="004E136C">
        <w:rPr>
          <w:rFonts w:ascii="Calibri" w:hAnsi="Calibri" w:cs="Calibri"/>
          <w:color w:val="333333"/>
          <w:sz w:val="21"/>
          <w:szCs w:val="21"/>
        </w:rPr>
        <w:t xml:space="preserve">đối với các quốc gia </w:t>
      </w:r>
      <w:r w:rsidRPr="004E136C">
        <w:rPr>
          <w:rFonts w:ascii="Calibri" w:hAnsi="Calibri" w:cs="Calibri"/>
          <w:color w:val="333333"/>
          <w:sz w:val="21"/>
          <w:szCs w:val="21"/>
        </w:rPr>
        <w:t xml:space="preserve">này, nhưng khuyến khích các thành viên của mình xem xét thông tin được trình bày dưới đây </w:t>
      </w:r>
      <w:r w:rsidR="00536FE0" w:rsidRPr="004E136C">
        <w:rPr>
          <w:rFonts w:ascii="Calibri" w:hAnsi="Calibri" w:cs="Calibri"/>
          <w:color w:val="333333"/>
          <w:sz w:val="21"/>
          <w:szCs w:val="21"/>
        </w:rPr>
        <w:t xml:space="preserve">khi thực hiện </w:t>
      </w:r>
      <w:r w:rsidRPr="004E136C">
        <w:rPr>
          <w:rFonts w:ascii="Calibri" w:hAnsi="Calibri" w:cs="Calibri"/>
          <w:color w:val="333333"/>
          <w:sz w:val="21"/>
          <w:szCs w:val="21"/>
        </w:rPr>
        <w:t>phân tích rủi ro</w:t>
      </w:r>
      <w:r w:rsidR="00536FE0" w:rsidRPr="004E136C">
        <w:rPr>
          <w:rFonts w:ascii="Calibri" w:hAnsi="Calibri" w:cs="Calibri"/>
          <w:color w:val="333333"/>
          <w:sz w:val="21"/>
          <w:szCs w:val="21"/>
        </w:rPr>
        <w:t>.</w:t>
      </w:r>
    </w:p>
    <w:p w:rsidR="005070E6" w:rsidRPr="004E136C" w:rsidRDefault="00536FE0" w:rsidP="00DC050E">
      <w:pPr>
        <w:spacing w:after="0" w:line="240" w:lineRule="auto"/>
        <w:rPr>
          <w:rFonts w:ascii="Calibri" w:hAnsi="Calibri" w:cs="Calibri"/>
          <w:color w:val="333333"/>
          <w:sz w:val="21"/>
          <w:szCs w:val="21"/>
        </w:rPr>
      </w:pPr>
      <w:r w:rsidRPr="004E136C">
        <w:rPr>
          <w:rFonts w:ascii="Calibri" w:hAnsi="Calibri" w:cs="Calibri"/>
          <w:color w:val="333333"/>
          <w:sz w:val="21"/>
          <w:szCs w:val="21"/>
        </w:rPr>
        <w:t xml:space="preserve">FATF tiếp tục xác định </w:t>
      </w:r>
      <w:r w:rsidR="00E9251C" w:rsidRPr="004E136C">
        <w:rPr>
          <w:rFonts w:ascii="Calibri" w:hAnsi="Calibri" w:cs="Calibri"/>
          <w:color w:val="333333"/>
          <w:sz w:val="21"/>
          <w:szCs w:val="21"/>
        </w:rPr>
        <w:t xml:space="preserve">thêm </w:t>
      </w:r>
      <w:r w:rsidRPr="004E136C">
        <w:rPr>
          <w:rFonts w:ascii="Calibri" w:hAnsi="Calibri" w:cs="Calibri"/>
          <w:color w:val="333333"/>
          <w:sz w:val="21"/>
          <w:szCs w:val="21"/>
        </w:rPr>
        <w:t xml:space="preserve">các quốc gia có những thiếu </w:t>
      </w:r>
      <w:r w:rsidR="00EC746D" w:rsidRPr="004E136C">
        <w:rPr>
          <w:rFonts w:ascii="Calibri" w:hAnsi="Calibri" w:cs="Calibri"/>
          <w:color w:val="333333"/>
          <w:sz w:val="21"/>
          <w:szCs w:val="21"/>
        </w:rPr>
        <w:t>h</w:t>
      </w:r>
      <w:bookmarkStart w:id="0" w:name="_GoBack"/>
      <w:bookmarkEnd w:id="0"/>
      <w:r w:rsidR="00EC746D" w:rsidRPr="004E136C">
        <w:rPr>
          <w:rFonts w:ascii="Calibri" w:hAnsi="Calibri" w:cs="Calibri"/>
          <w:color w:val="333333"/>
          <w:sz w:val="21"/>
          <w:szCs w:val="21"/>
        </w:rPr>
        <w:t xml:space="preserve">ụt </w:t>
      </w:r>
      <w:r w:rsidRPr="004E136C">
        <w:rPr>
          <w:rFonts w:ascii="Calibri" w:hAnsi="Calibri" w:cs="Calibri"/>
          <w:color w:val="333333"/>
          <w:sz w:val="21"/>
          <w:szCs w:val="21"/>
        </w:rPr>
        <w:t xml:space="preserve">chiến lược trong </w:t>
      </w:r>
      <w:r w:rsidR="00EC746D" w:rsidRPr="004E136C">
        <w:rPr>
          <w:rFonts w:ascii="Calibri" w:hAnsi="Calibri" w:cs="Calibri"/>
          <w:color w:val="333333"/>
          <w:sz w:val="21"/>
          <w:szCs w:val="21"/>
        </w:rPr>
        <w:t xml:space="preserve">cơ chế </w:t>
      </w:r>
      <w:r w:rsidRPr="004E136C">
        <w:rPr>
          <w:rFonts w:ascii="Calibri" w:hAnsi="Calibri" w:cs="Calibri"/>
          <w:color w:val="333333"/>
          <w:sz w:val="21"/>
          <w:szCs w:val="21"/>
        </w:rPr>
        <w:t xml:space="preserve">chống rửa tiền, tài trợ khủng bố và tài trợ </w:t>
      </w:r>
      <w:r w:rsidR="00EC746D" w:rsidRPr="004E136C">
        <w:rPr>
          <w:rFonts w:ascii="Calibri" w:hAnsi="Calibri" w:cs="Calibri"/>
          <w:color w:val="333333"/>
          <w:sz w:val="21"/>
          <w:szCs w:val="21"/>
        </w:rPr>
        <w:t>phổ biến vũ khí</w:t>
      </w:r>
      <w:r w:rsidRPr="004E136C">
        <w:rPr>
          <w:rFonts w:ascii="Calibri" w:hAnsi="Calibri" w:cs="Calibri"/>
          <w:color w:val="333333"/>
          <w:sz w:val="21"/>
          <w:szCs w:val="21"/>
        </w:rPr>
        <w:t xml:space="preserve">. </w:t>
      </w:r>
      <w:r w:rsidR="00F92793">
        <w:rPr>
          <w:rFonts w:ascii="Calibri" w:hAnsi="Calibri" w:cs="Calibri"/>
          <w:color w:val="333333"/>
          <w:sz w:val="21"/>
          <w:szCs w:val="21"/>
        </w:rPr>
        <w:t xml:space="preserve">Một số quốc gia chưa được </w:t>
      </w:r>
      <w:r w:rsidR="00DC050E" w:rsidRPr="004E136C">
        <w:rPr>
          <w:rFonts w:ascii="Calibri" w:hAnsi="Calibri" w:cs="Calibri"/>
          <w:color w:val="333333"/>
          <w:sz w:val="21"/>
          <w:szCs w:val="21"/>
        </w:rPr>
        <w:t xml:space="preserve">FATF và FSRB </w:t>
      </w:r>
      <w:r w:rsidR="00F92793">
        <w:rPr>
          <w:rFonts w:ascii="Calibri" w:hAnsi="Calibri" w:cs="Calibri"/>
          <w:color w:val="333333"/>
          <w:sz w:val="21"/>
          <w:szCs w:val="21"/>
        </w:rPr>
        <w:t>rà soát</w:t>
      </w:r>
      <w:r w:rsidRPr="004E136C">
        <w:rPr>
          <w:rFonts w:ascii="Calibri" w:hAnsi="Calibri" w:cs="Calibri"/>
          <w:color w:val="333333"/>
          <w:sz w:val="21"/>
          <w:szCs w:val="21"/>
        </w:rPr>
        <w:t>.</w:t>
      </w:r>
      <w:r w:rsidR="005070E6" w:rsidRPr="004E136C">
        <w:rPr>
          <w:rFonts w:ascii="Calibri" w:hAnsi="Calibri" w:cs="Calibri"/>
          <w:color w:val="333333"/>
          <w:sz w:val="21"/>
          <w:szCs w:val="21"/>
        </w:rPr>
        <w:t> </w:t>
      </w:r>
    </w:p>
    <w:tbl>
      <w:tblPr>
        <w:tblW w:w="4199" w:type="pct"/>
        <w:tblCellSpacing w:w="37" w:type="dxa"/>
        <w:shd w:val="clear" w:color="auto" w:fill="E2F3F7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047"/>
      </w:tblGrid>
      <w:tr w:rsidR="00AA04AA" w:rsidRPr="004E136C" w:rsidTr="00AA04AA">
        <w:trPr>
          <w:tblCellSpacing w:w="37" w:type="dxa"/>
        </w:trPr>
        <w:tc>
          <w:tcPr>
            <w:tcW w:w="4905" w:type="pct"/>
            <w:shd w:val="clear" w:color="auto" w:fill="E2F3F7"/>
            <w:vAlign w:val="center"/>
            <w:hideMark/>
          </w:tcPr>
          <w:p w:rsidR="00AA04AA" w:rsidRPr="004E136C" w:rsidRDefault="00AA04AA" w:rsidP="00AA04AA">
            <w:pPr>
              <w:spacing w:before="100" w:beforeAutospacing="1" w:after="100" w:afterAutospacing="1" w:line="240" w:lineRule="auto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4E136C">
              <w:rPr>
                <w:rFonts w:ascii="Calibri" w:hAnsi="Calibri" w:cs="Calibri"/>
                <w:color w:val="333333"/>
                <w:sz w:val="21"/>
                <w:szCs w:val="21"/>
              </w:rPr>
              <w:t>Các quốc gia có những thiếu hụt chiến lược</w:t>
            </w:r>
          </w:p>
        </w:tc>
      </w:tr>
      <w:tr w:rsidR="00AA04AA" w:rsidRPr="004E136C" w:rsidTr="00AA04AA">
        <w:trPr>
          <w:tblCellSpacing w:w="37" w:type="dxa"/>
        </w:trPr>
        <w:tc>
          <w:tcPr>
            <w:tcW w:w="4905" w:type="pct"/>
            <w:shd w:val="clear" w:color="auto" w:fill="E2F3F7"/>
            <w:vAlign w:val="center"/>
            <w:hideMark/>
          </w:tcPr>
          <w:p w:rsidR="00AA04AA" w:rsidRPr="004E136C" w:rsidRDefault="00CD7691" w:rsidP="005070E6">
            <w:pPr>
              <w:spacing w:before="100" w:beforeAutospacing="1" w:after="100" w:afterAutospacing="1" w:line="240" w:lineRule="auto"/>
              <w:rPr>
                <w:rFonts w:ascii="Calibri" w:hAnsi="Calibri" w:cs="Calibri"/>
                <w:color w:val="333333"/>
                <w:sz w:val="21"/>
                <w:szCs w:val="21"/>
              </w:rPr>
            </w:pPr>
            <w:hyperlink r:id="rId4" w:anchor="albania" w:history="1">
              <w:r w:rsidR="00AA04AA" w:rsidRPr="004E136C">
                <w:rPr>
                  <w:rFonts w:ascii="Calibri" w:hAnsi="Calibri" w:cs="Calibri"/>
                  <w:color w:val="333333"/>
                  <w:sz w:val="21"/>
                  <w:szCs w:val="21"/>
                </w:rPr>
                <w:t>Albania</w:t>
              </w:r>
            </w:hyperlink>
            <w:r w:rsidR="00AA04AA" w:rsidRPr="004E136C">
              <w:rPr>
                <w:rFonts w:ascii="Calibri" w:hAnsi="Calibri" w:cs="Calibri"/>
                <w:color w:val="333333"/>
                <w:sz w:val="21"/>
                <w:szCs w:val="21"/>
              </w:rPr>
              <w:br/>
            </w:r>
            <w:hyperlink r:id="rId5" w:anchor="bahamas" w:history="1">
              <w:r w:rsidR="00AA04AA" w:rsidRPr="004E136C">
                <w:rPr>
                  <w:rFonts w:ascii="Calibri" w:hAnsi="Calibri" w:cs="Calibri"/>
                  <w:color w:val="333333"/>
                  <w:sz w:val="21"/>
                  <w:szCs w:val="21"/>
                </w:rPr>
                <w:t>The Bahamas</w:t>
              </w:r>
            </w:hyperlink>
            <w:r w:rsidR="00AA04AA" w:rsidRPr="004E136C">
              <w:rPr>
                <w:rFonts w:ascii="Calibri" w:hAnsi="Calibri" w:cs="Calibri"/>
                <w:color w:val="333333"/>
                <w:sz w:val="21"/>
                <w:szCs w:val="21"/>
              </w:rPr>
              <w:br/>
            </w:r>
            <w:hyperlink r:id="rId6" w:anchor="barbados" w:history="1">
              <w:r w:rsidR="00AA04AA" w:rsidRPr="004E136C">
                <w:rPr>
                  <w:rFonts w:ascii="Calibri" w:hAnsi="Calibri" w:cs="Calibri"/>
                  <w:color w:val="333333"/>
                  <w:sz w:val="21"/>
                  <w:szCs w:val="21"/>
                </w:rPr>
                <w:t>Barbados</w:t>
              </w:r>
            </w:hyperlink>
            <w:r w:rsidR="00AA04AA" w:rsidRPr="004E136C">
              <w:rPr>
                <w:rFonts w:ascii="Calibri" w:hAnsi="Calibri" w:cs="Calibri"/>
                <w:color w:val="333333"/>
                <w:sz w:val="21"/>
                <w:szCs w:val="21"/>
              </w:rPr>
              <w:br/>
            </w:r>
            <w:hyperlink r:id="rId7" w:anchor="botswana" w:history="1">
              <w:r w:rsidR="00AA04AA" w:rsidRPr="004E136C">
                <w:rPr>
                  <w:rFonts w:ascii="Calibri" w:hAnsi="Calibri" w:cs="Calibri"/>
                  <w:color w:val="333333"/>
                  <w:sz w:val="21"/>
                  <w:szCs w:val="21"/>
                </w:rPr>
                <w:t>Botswana</w:t>
              </w:r>
            </w:hyperlink>
            <w:r w:rsidR="00AA04AA" w:rsidRPr="004E136C">
              <w:rPr>
                <w:rFonts w:ascii="Calibri" w:hAnsi="Calibri" w:cs="Calibri"/>
                <w:color w:val="333333"/>
                <w:sz w:val="21"/>
                <w:szCs w:val="21"/>
              </w:rPr>
              <w:br/>
            </w:r>
            <w:hyperlink r:id="rId8" w:anchor="cambodia" w:history="1">
              <w:r w:rsidR="00AA04AA" w:rsidRPr="004E136C">
                <w:rPr>
                  <w:rFonts w:ascii="Calibri" w:hAnsi="Calibri" w:cs="Calibri"/>
                  <w:color w:val="333333"/>
                  <w:sz w:val="21"/>
                  <w:szCs w:val="21"/>
                </w:rPr>
                <w:t>Cambodia</w:t>
              </w:r>
            </w:hyperlink>
            <w:r w:rsidR="00AA04AA" w:rsidRPr="004E136C">
              <w:rPr>
                <w:rFonts w:ascii="Calibri" w:hAnsi="Calibri" w:cs="Calibri"/>
                <w:color w:val="333333"/>
                <w:sz w:val="21"/>
                <w:szCs w:val="21"/>
              </w:rPr>
              <w:br/>
            </w:r>
            <w:hyperlink r:id="rId9" w:anchor="ghana" w:history="1">
              <w:r w:rsidR="00AA04AA" w:rsidRPr="004E136C">
                <w:rPr>
                  <w:rFonts w:ascii="Calibri" w:hAnsi="Calibri" w:cs="Calibri"/>
                  <w:color w:val="333333"/>
                  <w:sz w:val="21"/>
                  <w:szCs w:val="21"/>
                </w:rPr>
                <w:t>Ghana</w:t>
              </w:r>
            </w:hyperlink>
            <w:r w:rsidR="00AA04AA" w:rsidRPr="004E136C">
              <w:rPr>
                <w:rFonts w:ascii="Calibri" w:hAnsi="Calibri" w:cs="Calibri"/>
                <w:color w:val="333333"/>
                <w:sz w:val="21"/>
                <w:szCs w:val="21"/>
              </w:rPr>
              <w:br/>
            </w:r>
            <w:hyperlink r:id="rId10" w:anchor="iceland" w:history="1">
              <w:r w:rsidR="00AA04AA" w:rsidRPr="004E136C">
                <w:rPr>
                  <w:rFonts w:ascii="Calibri" w:hAnsi="Calibri" w:cs="Calibri"/>
                  <w:color w:val="333333"/>
                  <w:sz w:val="21"/>
                  <w:szCs w:val="21"/>
                </w:rPr>
                <w:t>Iceland</w:t>
              </w:r>
            </w:hyperlink>
            <w:r w:rsidR="00AA04AA" w:rsidRPr="004E136C">
              <w:rPr>
                <w:rFonts w:ascii="Calibri" w:hAnsi="Calibri" w:cs="Calibri"/>
                <w:color w:val="333333"/>
                <w:sz w:val="21"/>
                <w:szCs w:val="21"/>
              </w:rPr>
              <w:br/>
            </w:r>
            <w:hyperlink r:id="rId11" w:anchor="jamaica" w:history="1">
              <w:r w:rsidR="00AA04AA" w:rsidRPr="004E136C">
                <w:rPr>
                  <w:rFonts w:ascii="Calibri" w:hAnsi="Calibri" w:cs="Calibri"/>
                  <w:color w:val="333333"/>
                  <w:sz w:val="21"/>
                  <w:szCs w:val="21"/>
                </w:rPr>
                <w:t>Jamaica</w:t>
              </w:r>
            </w:hyperlink>
            <w:r w:rsidR="00AA04AA" w:rsidRPr="004E136C">
              <w:rPr>
                <w:rFonts w:ascii="Calibri" w:hAnsi="Calibri" w:cs="Calibri"/>
                <w:color w:val="333333"/>
                <w:sz w:val="21"/>
                <w:szCs w:val="21"/>
              </w:rPr>
              <w:br/>
            </w:r>
            <w:hyperlink r:id="rId12" w:anchor="mauritius" w:history="1">
              <w:r w:rsidR="00AA04AA" w:rsidRPr="004E136C">
                <w:rPr>
                  <w:rFonts w:ascii="Calibri" w:hAnsi="Calibri" w:cs="Calibri"/>
                  <w:color w:val="333333"/>
                  <w:sz w:val="21"/>
                  <w:szCs w:val="21"/>
                </w:rPr>
                <w:t>Mauritius</w:t>
              </w:r>
            </w:hyperlink>
            <w:r w:rsidR="00AA04AA" w:rsidRPr="004E136C">
              <w:rPr>
                <w:rFonts w:ascii="Calibri" w:hAnsi="Calibri" w:cs="Calibri"/>
                <w:color w:val="333333"/>
                <w:sz w:val="21"/>
                <w:szCs w:val="21"/>
              </w:rPr>
              <w:br/>
            </w:r>
            <w:hyperlink r:id="rId13" w:anchor="mongolia" w:history="1">
              <w:r w:rsidR="00AA04AA" w:rsidRPr="004E136C">
                <w:rPr>
                  <w:rFonts w:ascii="Calibri" w:hAnsi="Calibri" w:cs="Calibri"/>
                  <w:color w:val="333333"/>
                  <w:sz w:val="21"/>
                  <w:szCs w:val="21"/>
                </w:rPr>
                <w:t>Mongolia</w:t>
              </w:r>
            </w:hyperlink>
            <w:r w:rsidR="00AA04AA" w:rsidRPr="004E136C">
              <w:rPr>
                <w:rFonts w:ascii="Calibri" w:hAnsi="Calibri" w:cs="Calibri"/>
                <w:color w:val="333333"/>
                <w:sz w:val="21"/>
                <w:szCs w:val="21"/>
              </w:rPr>
              <w:br/>
            </w:r>
            <w:hyperlink r:id="rId14" w:anchor="myanmar" w:history="1">
              <w:r w:rsidR="00AA04AA" w:rsidRPr="004E136C">
                <w:rPr>
                  <w:rFonts w:ascii="Calibri" w:hAnsi="Calibri" w:cs="Calibri"/>
                  <w:color w:val="333333"/>
                  <w:sz w:val="21"/>
                  <w:szCs w:val="21"/>
                </w:rPr>
                <w:t>Myanmar</w:t>
              </w:r>
            </w:hyperlink>
            <w:r w:rsidR="00AA04AA" w:rsidRPr="004E136C">
              <w:rPr>
                <w:rFonts w:ascii="Calibri" w:hAnsi="Calibri" w:cs="Calibri"/>
                <w:color w:val="333333"/>
                <w:sz w:val="21"/>
                <w:szCs w:val="21"/>
              </w:rPr>
              <w:br/>
            </w:r>
            <w:hyperlink r:id="rId15" w:anchor="nicaragua" w:history="1">
              <w:r w:rsidR="00AA04AA" w:rsidRPr="004E136C">
                <w:rPr>
                  <w:rFonts w:ascii="Calibri" w:hAnsi="Calibri" w:cs="Calibri"/>
                  <w:color w:val="333333"/>
                  <w:sz w:val="21"/>
                  <w:szCs w:val="21"/>
                </w:rPr>
                <w:t>Nicaragua</w:t>
              </w:r>
            </w:hyperlink>
            <w:r w:rsidR="00AA04AA" w:rsidRPr="004E136C">
              <w:rPr>
                <w:rFonts w:ascii="Calibri" w:hAnsi="Calibri" w:cs="Calibri"/>
                <w:color w:val="333333"/>
                <w:sz w:val="21"/>
                <w:szCs w:val="21"/>
              </w:rPr>
              <w:br/>
            </w:r>
            <w:hyperlink r:id="rId16" w:anchor="pakistan" w:history="1">
              <w:r w:rsidR="00AA04AA" w:rsidRPr="004E136C">
                <w:rPr>
                  <w:rFonts w:ascii="Calibri" w:hAnsi="Calibri" w:cs="Calibri"/>
                  <w:color w:val="333333"/>
                  <w:sz w:val="21"/>
                  <w:szCs w:val="21"/>
                </w:rPr>
                <w:t>Pakistan</w:t>
              </w:r>
            </w:hyperlink>
            <w:r w:rsidR="00AA04AA" w:rsidRPr="004E136C">
              <w:rPr>
                <w:rFonts w:ascii="Calibri" w:hAnsi="Calibri" w:cs="Calibri"/>
                <w:color w:val="333333"/>
                <w:sz w:val="21"/>
                <w:szCs w:val="21"/>
              </w:rPr>
              <w:br/>
            </w:r>
            <w:hyperlink r:id="rId17" w:anchor="panama" w:history="1">
              <w:r w:rsidR="00AA04AA" w:rsidRPr="004E136C">
                <w:rPr>
                  <w:rFonts w:ascii="Calibri" w:hAnsi="Calibri" w:cs="Calibri"/>
                  <w:color w:val="333333"/>
                  <w:sz w:val="21"/>
                  <w:szCs w:val="21"/>
                </w:rPr>
                <w:t>Panama</w:t>
              </w:r>
              <w:r w:rsidR="00AA04AA" w:rsidRPr="004E136C">
                <w:rPr>
                  <w:rFonts w:ascii="Calibri" w:hAnsi="Calibri" w:cs="Calibri"/>
                  <w:color w:val="333333"/>
                  <w:sz w:val="21"/>
                  <w:szCs w:val="21"/>
                </w:rPr>
                <w:br/>
              </w:r>
            </w:hyperlink>
            <w:hyperlink r:id="rId18" w:anchor="syria" w:history="1">
              <w:r w:rsidR="00AA04AA" w:rsidRPr="004E136C">
                <w:rPr>
                  <w:rFonts w:ascii="Calibri" w:hAnsi="Calibri" w:cs="Calibri"/>
                  <w:color w:val="333333"/>
                  <w:sz w:val="21"/>
                  <w:szCs w:val="21"/>
                </w:rPr>
                <w:t>Syria</w:t>
              </w:r>
            </w:hyperlink>
            <w:r w:rsidR="00AA04AA" w:rsidRPr="004E136C">
              <w:rPr>
                <w:rFonts w:ascii="Calibri" w:hAnsi="Calibri" w:cs="Calibri"/>
                <w:color w:val="333333"/>
                <w:sz w:val="21"/>
                <w:szCs w:val="21"/>
              </w:rPr>
              <w:br/>
            </w:r>
            <w:hyperlink r:id="rId19" w:anchor="uganda" w:history="1">
              <w:r w:rsidR="00AA04AA" w:rsidRPr="004E136C">
                <w:rPr>
                  <w:rFonts w:ascii="Calibri" w:hAnsi="Calibri" w:cs="Calibri"/>
                  <w:color w:val="333333"/>
                  <w:sz w:val="21"/>
                  <w:szCs w:val="21"/>
                </w:rPr>
                <w:t>Uganda</w:t>
              </w:r>
            </w:hyperlink>
            <w:r w:rsidR="00AA04AA" w:rsidRPr="004E136C">
              <w:rPr>
                <w:rFonts w:ascii="Calibri" w:hAnsi="Calibri" w:cs="Calibri"/>
                <w:color w:val="333333"/>
                <w:sz w:val="21"/>
                <w:szCs w:val="21"/>
              </w:rPr>
              <w:br/>
            </w:r>
            <w:hyperlink r:id="rId20" w:anchor="yemen" w:history="1">
              <w:r w:rsidR="00AA04AA" w:rsidRPr="004E136C">
                <w:rPr>
                  <w:rFonts w:ascii="Calibri" w:hAnsi="Calibri" w:cs="Calibri"/>
                  <w:color w:val="333333"/>
                  <w:sz w:val="21"/>
                  <w:szCs w:val="21"/>
                </w:rPr>
                <w:t>Yemen</w:t>
              </w:r>
            </w:hyperlink>
            <w:r w:rsidR="00AA04AA" w:rsidRPr="004E136C">
              <w:rPr>
                <w:rFonts w:ascii="Calibri" w:hAnsi="Calibri" w:cs="Calibri"/>
                <w:color w:val="333333"/>
                <w:sz w:val="21"/>
                <w:szCs w:val="21"/>
              </w:rPr>
              <w:br/>
            </w:r>
            <w:hyperlink r:id="rId21" w:anchor="zimbabwe" w:history="1">
              <w:r w:rsidR="00AA04AA" w:rsidRPr="004E136C">
                <w:rPr>
                  <w:rFonts w:ascii="Calibri" w:hAnsi="Calibri" w:cs="Calibri"/>
                  <w:color w:val="333333"/>
                  <w:sz w:val="21"/>
                  <w:szCs w:val="21"/>
                </w:rPr>
                <w:t>Zimbabwe</w:t>
              </w:r>
            </w:hyperlink>
          </w:p>
        </w:tc>
      </w:tr>
    </w:tbl>
    <w:p w:rsidR="003318BD" w:rsidRDefault="003318BD"/>
    <w:p w:rsidR="00001A62" w:rsidRDefault="00001A62" w:rsidP="00001A62"/>
    <w:tbl>
      <w:tblPr>
        <w:tblpPr w:leftFromText="45" w:rightFromText="45" w:vertAnchor="text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3"/>
        <w:gridCol w:w="6661"/>
      </w:tblGrid>
      <w:tr w:rsidR="00001A62" w:rsidTr="004E136C">
        <w:tc>
          <w:tcPr>
            <w:tcW w:w="3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001A62">
            <w:pPr>
              <w:pStyle w:val="Heading2"/>
              <w:spacing w:before="0"/>
              <w:rPr>
                <w:rFonts w:ascii="inherit" w:hAnsi="inherit" w:cs="Calibri"/>
                <w:color w:val="333333"/>
                <w:sz w:val="40"/>
                <w:szCs w:val="40"/>
              </w:rPr>
            </w:pPr>
            <w:bookmarkStart w:id="1" w:name="albania"/>
            <w:bookmarkEnd w:id="1"/>
            <w:r>
              <w:rPr>
                <w:rFonts w:ascii="inherit" w:hAnsi="inherit" w:cs="Calibri"/>
                <w:b/>
                <w:bCs/>
                <w:color w:val="333333"/>
                <w:sz w:val="40"/>
                <w:szCs w:val="40"/>
              </w:rPr>
              <w:t>Albania</w:t>
            </w:r>
          </w:p>
        </w:tc>
        <w:tc>
          <w:tcPr>
            <w:tcW w:w="136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666AF1" w:rsidP="00F92793">
            <w:pPr>
              <w:jc w:val="both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Vào tháng 2 năm 2020, Albania đã </w:t>
            </w:r>
            <w:r w:rsidR="00F92793">
              <w:rPr>
                <w:rFonts w:ascii="Calibri" w:hAnsi="Calibri" w:cs="Calibri"/>
                <w:color w:val="333333"/>
                <w:sz w:val="21"/>
                <w:szCs w:val="21"/>
              </w:rPr>
              <w:t>có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cam kết chính trị cấp cao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nhằm 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>hợp tác với FATF và MONEYVAL</w:t>
            </w:r>
            <w:r w:rsidR="00F92793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để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tăng cường hiệu quả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chế 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AML / CFT. Kể từ khi hoàn thành MER vào tháng 7 năm 2018, Albania đã đạt được tiến bộ về một số hành động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trong 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MER khuyến nghị nhằm cải thiện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tuân thủ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kỹ thuật 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và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tính 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hiệu quả, bao gồm </w:t>
            </w:r>
            <w:r w:rsidR="00DD756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nâng cao hiểu biết của các cơ quan </w:t>
            </w:r>
            <w:r w:rsidR="00DD756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chức năng 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rủi ro </w:t>
            </w:r>
            <w:r w:rsidR="00DD756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tài trợ 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khủng bố để truy tố </w:t>
            </w:r>
            <w:r w:rsidR="00F92793">
              <w:rPr>
                <w:rFonts w:ascii="Calibri" w:hAnsi="Calibri" w:cs="Calibri"/>
                <w:color w:val="333333"/>
                <w:sz w:val="21"/>
                <w:szCs w:val="21"/>
              </w:rPr>
              <w:t>tội tài trợ khủng bố</w:t>
            </w:r>
            <w:r w:rsidR="00F92793" w:rsidRPr="00666A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hiệu quả hơn và thiết lập một khung pháp lý để thực hiện các biện pháp trừng phạt tài chính có mục tiêu liên quan đến tài trợ </w:t>
            </w:r>
            <w:r w:rsidR="00DD7568">
              <w:rPr>
                <w:rFonts w:ascii="Calibri" w:hAnsi="Calibri" w:cs="Calibri"/>
                <w:color w:val="333333"/>
                <w:sz w:val="21"/>
                <w:szCs w:val="21"/>
              </w:rPr>
              <w:t>phổ biến vũ khí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. Albania sẽ nỗ lực để thực hiện kế hoạch hành động của mình, bao gồm: (1) tiến hành phân tích chuyên sâu bổ sung để hiểu </w:t>
            </w:r>
            <w:r w:rsidR="00525D5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đầy đủ 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</w:t>
            </w:r>
            <w:r w:rsidR="00525D5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rủi ro </w:t>
            </w:r>
            <w:r w:rsidR="00F92793">
              <w:rPr>
                <w:rFonts w:ascii="Calibri" w:hAnsi="Calibri" w:cs="Calibri"/>
                <w:color w:val="333333"/>
                <w:sz w:val="21"/>
                <w:szCs w:val="21"/>
              </w:rPr>
              <w:t>rửa tiền</w:t>
            </w:r>
            <w:r w:rsidR="00F92793" w:rsidRPr="00666A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>và các rủi ro khác, đồng thời tăng cường phối hợp và hợ</w:t>
            </w:r>
            <w:r w:rsidR="00525D5F">
              <w:rPr>
                <w:rFonts w:ascii="Calibri" w:hAnsi="Calibri" w:cs="Calibri"/>
                <w:color w:val="333333"/>
                <w:sz w:val="21"/>
                <w:szCs w:val="21"/>
              </w:rPr>
              <w:t>p tác trong nước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; (2) cải thiện việc xử lý kịp thời các yêu 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lastRenderedPageBreak/>
              <w:t xml:space="preserve">cầu hỗ trợ pháp lý </w:t>
            </w:r>
            <w:r w:rsidR="00525D5F">
              <w:rPr>
                <w:rFonts w:ascii="Calibri" w:hAnsi="Calibri" w:cs="Calibri"/>
                <w:color w:val="333333"/>
                <w:sz w:val="21"/>
                <w:szCs w:val="21"/>
              </w:rPr>
              <w:t>đa phương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; (3) thiết lập các cơ chế hiệu quả </w:t>
            </w:r>
            <w:r w:rsidR="00525D5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nhằm 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phát hiện và ngăn chặn sự xâm nhập của tội phạm vào nền kinh tế, bao gồm </w:t>
            </w:r>
            <w:r w:rsidR="000C315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tăng quyền hạn cho 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cơ quan có thẩm quyền </w:t>
            </w:r>
            <w:r w:rsidR="000C315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để 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thực hiện các hành động cần thiết; (4) đảm bảo rằng thông tin </w:t>
            </w:r>
            <w:r w:rsidR="000C315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chủ 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sở hữu </w:t>
            </w:r>
            <w:r w:rsidR="000C315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hưởng lợi 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chính xác và </w:t>
            </w:r>
            <w:r w:rsidR="000C315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được 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cập nhật kịp thời; (5) tăng số lượng và cải thiện </w:t>
            </w:r>
            <w:r w:rsidR="00DA402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chất lượng 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của các vụ truy tố và tịch thu đối với </w:t>
            </w:r>
            <w:r w:rsidR="00F92793">
              <w:rPr>
                <w:rFonts w:ascii="Calibri" w:hAnsi="Calibri" w:cs="Calibri"/>
                <w:color w:val="333333"/>
                <w:sz w:val="21"/>
                <w:szCs w:val="21"/>
              </w:rPr>
              <w:t>rửa tiền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, đặc biệt trong các trường hợp liên quan đến tội phạm </w:t>
            </w:r>
            <w:r w:rsidR="00DA402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nguồn 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hoặc </w:t>
            </w:r>
            <w:r w:rsidR="00F92793">
              <w:rPr>
                <w:rFonts w:ascii="Calibri" w:hAnsi="Calibri" w:cs="Calibri"/>
                <w:color w:val="333333"/>
                <w:sz w:val="21"/>
                <w:szCs w:val="21"/>
              </w:rPr>
              <w:t>tội phạm rửa tiền</w:t>
            </w:r>
            <w:r w:rsidR="00F92793" w:rsidRPr="00666A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>của bên thứ ba</w:t>
            </w:r>
            <w:r w:rsidR="00DA402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ở nước ngoài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; (6) cải thiện việc thực hiện các biện pháp trừng phạt tài chính có mục tiêu, đặc biệt thông qua hành động giám sát nâng cao và tiếp cận chủ động, </w:t>
            </w:r>
            <w:r w:rsidR="00DA402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có </w:t>
            </w:r>
            <w:r w:rsidRPr="00666AF1">
              <w:rPr>
                <w:rFonts w:ascii="Calibri" w:hAnsi="Calibri" w:cs="Calibri"/>
                <w:color w:val="333333"/>
                <w:sz w:val="21"/>
                <w:szCs w:val="21"/>
              </w:rPr>
              <w:t>mục tiêu</w:t>
            </w:r>
            <w:r w:rsidR="00DA4022">
              <w:rPr>
                <w:rFonts w:ascii="Calibri" w:hAnsi="Calibri" w:cs="Calibri"/>
                <w:color w:val="333333"/>
                <w:sz w:val="21"/>
                <w:szCs w:val="21"/>
              </w:rPr>
              <w:t>.</w:t>
            </w:r>
          </w:p>
        </w:tc>
      </w:tr>
      <w:tr w:rsidR="00001A62" w:rsidTr="004E136C">
        <w:tc>
          <w:tcPr>
            <w:tcW w:w="3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001A62">
            <w:pPr>
              <w:pStyle w:val="Heading2"/>
              <w:spacing w:before="0"/>
              <w:rPr>
                <w:rFonts w:ascii="inherit" w:hAnsi="inherit" w:cs="Calibri"/>
                <w:color w:val="333333"/>
                <w:sz w:val="40"/>
                <w:szCs w:val="40"/>
              </w:rPr>
            </w:pPr>
            <w:bookmarkStart w:id="2" w:name="bahamas"/>
            <w:bookmarkEnd w:id="2"/>
            <w:r>
              <w:rPr>
                <w:rFonts w:ascii="inherit" w:hAnsi="inherit" w:cs="Calibri"/>
                <w:b/>
                <w:bCs/>
                <w:color w:val="333333"/>
                <w:sz w:val="40"/>
                <w:szCs w:val="40"/>
              </w:rPr>
              <w:lastRenderedPageBreak/>
              <w:t>The Bahamas </w:t>
            </w:r>
          </w:p>
        </w:tc>
        <w:tc>
          <w:tcPr>
            <w:tcW w:w="136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DA4022" w:rsidP="00877DBD">
            <w:pPr>
              <w:jc w:val="both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DA402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Vào tháng 10 năm 2018, Bahamas đã </w:t>
            </w:r>
            <w:r w:rsidR="00F92793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có </w:t>
            </w:r>
            <w:r w:rsidRPr="00DA402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cam kết chính trị cấp cao </w:t>
            </w:r>
            <w:r w:rsidR="00F92793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nhằm </w:t>
            </w:r>
            <w:r w:rsidRPr="00DA4022">
              <w:rPr>
                <w:rFonts w:ascii="Calibri" w:hAnsi="Calibri" w:cs="Calibri"/>
                <w:color w:val="333333"/>
                <w:sz w:val="21"/>
                <w:szCs w:val="21"/>
              </w:rPr>
              <w:t>hợp tác với FATF và CFATF để tăng cường hiệu quả củ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a cơ chế </w:t>
            </w:r>
            <w:r w:rsidRPr="00DA402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AML / CFT và giải quyết </w:t>
            </w:r>
            <w:r w:rsid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</w:t>
            </w:r>
            <w:r w:rsidRPr="00DA402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thiếu </w:t>
            </w:r>
            <w:r w:rsid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hụt </w:t>
            </w:r>
            <w:r w:rsidRPr="00DA402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kỹ thuật liên quan. FATF đã đưa ra quyết định ban đầu rằng Bahamas đã hoàn thành đáng kể kế hoạch hành động của mình và </w:t>
            </w:r>
            <w:r w:rsidR="00F92793">
              <w:rPr>
                <w:rFonts w:ascii="Calibri" w:hAnsi="Calibri" w:cs="Calibri"/>
                <w:color w:val="333333"/>
                <w:sz w:val="21"/>
                <w:szCs w:val="21"/>
              </w:rPr>
              <w:t>xác nhận việc</w:t>
            </w:r>
            <w:r w:rsid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</w:t>
            </w:r>
            <w:r w:rsidRPr="00DA402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đánh giá tại chỗ </w:t>
            </w:r>
            <w:r w:rsidR="00F92793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đã </w:t>
            </w:r>
            <w:r w:rsidRPr="00DA402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xác minh việc thực hiện </w:t>
            </w:r>
            <w:r w:rsid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những cải cách về </w:t>
            </w:r>
            <w:r w:rsidRPr="00DA402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AML / CFT của Bahamas đã bắt đầu và </w:t>
            </w:r>
            <w:r w:rsid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đang diễn ra, đồng thời vẫn </w:t>
            </w:r>
            <w:r w:rsidR="00F92793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tiếp tục </w:t>
            </w:r>
            <w:r w:rsid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có </w:t>
            </w:r>
            <w:r w:rsidRPr="00DA402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cam kết chính trị để duy trì </w:t>
            </w:r>
            <w:r w:rsid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</w:t>
            </w:r>
            <w:r w:rsidRPr="00DA4022">
              <w:rPr>
                <w:rFonts w:ascii="Calibri" w:hAnsi="Calibri" w:cs="Calibri"/>
                <w:color w:val="333333"/>
                <w:sz w:val="21"/>
                <w:szCs w:val="21"/>
              </w:rPr>
              <w:t>thực hiện trong tương lai.</w:t>
            </w:r>
            <w:r w:rsid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</w:t>
            </w:r>
            <w:r w:rsidR="00D965C8">
              <w:t xml:space="preserve"> </w:t>
            </w:r>
            <w:r w:rsidR="00D965C8" w:rsidRP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Cụ thể, Bahamas đã thực hiện các cải cách quan trọng sau: (1) phát triển hệ thống quản lý hồ sơ điện tử toàn diện </w:t>
            </w:r>
            <w:r w:rsidR="0069554B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</w:t>
            </w:r>
            <w:r w:rsidR="00D965C8" w:rsidRPr="00D965C8">
              <w:rPr>
                <w:rFonts w:ascii="Calibri" w:hAnsi="Calibri" w:cs="Calibri"/>
                <w:color w:val="333333"/>
                <w:sz w:val="21"/>
                <w:szCs w:val="21"/>
              </w:rPr>
              <w:t>hợp tác quốc tế; (2) th</w:t>
            </w:r>
            <w:r w:rsidR="00F92793">
              <w:rPr>
                <w:rFonts w:ascii="Calibri" w:hAnsi="Calibri" w:cs="Calibri"/>
                <w:color w:val="333333"/>
                <w:sz w:val="21"/>
                <w:szCs w:val="21"/>
              </w:rPr>
              <w:t>ực</w:t>
            </w:r>
            <w:r w:rsidR="00D965C8" w:rsidRP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hiện </w:t>
            </w:r>
            <w:r w:rsidR="0069554B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</w:t>
            </w:r>
            <w:r w:rsidR="00D965C8" w:rsidRP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giám sát trên </w:t>
            </w:r>
            <w:r w:rsidR="0069554B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sở </w:t>
            </w:r>
            <w:r w:rsidR="00D965C8" w:rsidRP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rủi ro </w:t>
            </w:r>
            <w:r w:rsidR="0069554B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đối với </w:t>
            </w:r>
            <w:r w:rsidR="00D965C8" w:rsidRP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tổ chức tài chính phi ngân hàng; (3) đảm bảo truy cập kịp thời 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>các</w:t>
            </w:r>
            <w:r w:rsidR="00877DBD" w:rsidRP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</w:t>
            </w:r>
            <w:r w:rsidR="0069554B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nguồn </w:t>
            </w:r>
            <w:r w:rsidR="00D965C8" w:rsidRP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thông tin </w:t>
            </w:r>
            <w:r w:rsidR="0069554B">
              <w:rPr>
                <w:rFonts w:ascii="Calibri" w:hAnsi="Calibri" w:cs="Calibri"/>
                <w:color w:val="333333"/>
                <w:sz w:val="21"/>
                <w:szCs w:val="21"/>
              </w:rPr>
              <w:t>chính xác, đầy đủ về chủ sở hữu hưởng lợi</w:t>
            </w:r>
            <w:r w:rsidR="00D965C8" w:rsidRP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; (4) tăng 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cường </w:t>
            </w:r>
            <w:r w:rsidR="00D965C8" w:rsidRP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chất lượng 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sản phẩm </w:t>
            </w:r>
            <w:r w:rsidR="0069554B">
              <w:rPr>
                <w:rFonts w:ascii="Calibri" w:hAnsi="Calibri" w:cs="Calibri"/>
                <w:color w:val="333333"/>
                <w:sz w:val="21"/>
                <w:szCs w:val="21"/>
              </w:rPr>
              <w:t>của FIU</w:t>
            </w:r>
            <w:r w:rsidR="00D965C8" w:rsidRP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để hỗ trợ </w:t>
            </w:r>
            <w:r w:rsidR="0069554B">
              <w:rPr>
                <w:rFonts w:ascii="Calibri" w:hAnsi="Calibri" w:cs="Calibri"/>
                <w:color w:val="333333"/>
                <w:sz w:val="21"/>
                <w:szCs w:val="21"/>
              </w:rPr>
              <w:t>các cơ quan thực thi pháp luật</w:t>
            </w:r>
            <w:r w:rsidR="00D965C8" w:rsidRP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trong việc theo đuổi điều tra </w:t>
            </w:r>
            <w:r w:rsidR="0069554B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</w:t>
            </w:r>
            <w:r w:rsidR="00D965C8" w:rsidRP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ML / TF, đặc biệt là </w:t>
            </w:r>
            <w:r w:rsidR="0069554B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cuộc </w:t>
            </w:r>
            <w:r w:rsidR="00D965C8" w:rsidRP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điều tra </w:t>
            </w:r>
            <w:r w:rsidR="0069554B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</w:t>
            </w:r>
            <w:r w:rsidR="00D965C8" w:rsidRP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ML / TF phức tạp và </w:t>
            </w:r>
            <w:r w:rsidR="0069554B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cuộc điều tra </w:t>
            </w:r>
            <w:r w:rsidR="00D965C8" w:rsidRP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ML độc lập; (5) chứng minh rằng các </w:t>
            </w:r>
            <w:r w:rsidR="0069554B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quan chức năng đang tiến hành </w:t>
            </w:r>
            <w:r w:rsidR="00D965C8" w:rsidRP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điều tra và truy tố tất cả các loại hình rửa tiền, bao gồm các vụ </w:t>
            </w:r>
            <w:r w:rsidR="0069554B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án </w:t>
            </w:r>
            <w:r w:rsidR="00D965C8" w:rsidRP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ML phức tạp, </w:t>
            </w:r>
            <w:r w:rsidR="0069554B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vụ án </w:t>
            </w:r>
            <w:r w:rsidR="00D965C8" w:rsidRP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rửa tiền độc lập và các vụ án liên quan đến </w:t>
            </w:r>
            <w:r w:rsidR="0069554B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tài sản của tội phạm </w:t>
            </w:r>
            <w:r w:rsidR="00D965C8" w:rsidRP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nước ngoài; (6) chứng minh rằng các </w:t>
            </w:r>
            <w:r w:rsidR="0069554B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quy trình </w:t>
            </w:r>
            <w:r w:rsidR="00D965C8" w:rsidRP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tịch thu được </w:t>
            </w:r>
            <w:r w:rsid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áp dụng đối với tất cả các trường hợp rửa tiền từ khi </w:t>
            </w:r>
            <w:r w:rsidR="00D965C8" w:rsidRP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bắt đầu </w:t>
            </w:r>
            <w:r w:rsidR="00DE63A9">
              <w:rPr>
                <w:rFonts w:ascii="Calibri" w:hAnsi="Calibri" w:cs="Calibri"/>
                <w:color w:val="333333"/>
                <w:sz w:val="21"/>
                <w:szCs w:val="21"/>
              </w:rPr>
              <w:t>đến khi kết thúc</w:t>
            </w:r>
            <w:r w:rsidR="00D965C8" w:rsidRPr="00D965C8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; và (7) giải quyết các </w:t>
            </w:r>
            <w:r w:rsidR="00DE63A9">
              <w:rPr>
                <w:rFonts w:ascii="Calibri" w:hAnsi="Calibri" w:cs="Calibri"/>
                <w:color w:val="333333"/>
                <w:sz w:val="21"/>
                <w:szCs w:val="21"/>
              </w:rPr>
              <w:t>thiếu hụt trong khuôn khổ chống tài trợ khủng bố và tài trợ phổ biến vũ khí và chứng minh tính thực thi của khuôn khổ đó</w:t>
            </w:r>
            <w:r w:rsidR="00D965C8" w:rsidRPr="00D965C8">
              <w:rPr>
                <w:rFonts w:ascii="Calibri" w:hAnsi="Calibri" w:cs="Calibri"/>
                <w:color w:val="333333"/>
                <w:sz w:val="21"/>
                <w:szCs w:val="21"/>
              </w:rPr>
              <w:t>.</w:t>
            </w:r>
          </w:p>
        </w:tc>
      </w:tr>
      <w:tr w:rsidR="00001A62" w:rsidTr="004E136C">
        <w:tc>
          <w:tcPr>
            <w:tcW w:w="3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001A62">
            <w:pPr>
              <w:pStyle w:val="Heading2"/>
              <w:spacing w:before="0"/>
              <w:rPr>
                <w:rFonts w:ascii="inherit" w:hAnsi="inherit" w:cs="Calibri"/>
                <w:color w:val="333333"/>
                <w:sz w:val="40"/>
                <w:szCs w:val="40"/>
              </w:rPr>
            </w:pPr>
            <w:bookmarkStart w:id="3" w:name="barbados"/>
            <w:bookmarkEnd w:id="3"/>
            <w:r>
              <w:rPr>
                <w:rFonts w:ascii="inherit" w:hAnsi="inherit" w:cs="Calibri"/>
                <w:b/>
                <w:bCs/>
                <w:color w:val="333333"/>
                <w:sz w:val="40"/>
                <w:szCs w:val="40"/>
              </w:rPr>
              <w:t>Barbados</w:t>
            </w:r>
          </w:p>
        </w:tc>
        <w:tc>
          <w:tcPr>
            <w:tcW w:w="136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DE63A9" w:rsidP="00877DBD">
            <w:pPr>
              <w:jc w:val="both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Vào tháng 2 năm 2020, Barbados đã thực hiện một cam kết chính trị cấp cao 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nhằm 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hợp tác với FATF và CFATF 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>để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tăng cường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tính 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hiệu quả của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chế 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AML / CFT. Kể từ khi hoàn thành MER vào tháng 11 năm 2017, Barbados đã đạt được </w:t>
            </w:r>
            <w:r w:rsidR="00742D6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một số 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tiến </w:t>
            </w:r>
            <w:r w:rsidR="00742D6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triển 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</w:t>
            </w:r>
            <w:r w:rsidR="00742D6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hành động được MER khuyến nghị nhằm cải thiện </w:t>
            </w:r>
            <w:r w:rsidR="00742D6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tính 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hiệu quả và tuân thủ kỹ thuật, bao gồm </w:t>
            </w:r>
            <w:r w:rsidR="00742D6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cập nhật Đánh giá rủi ro quốc gia và </w:t>
            </w:r>
            <w:r w:rsidR="00742D6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triển khai 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>các biện pháp giảm thiểu</w:t>
            </w:r>
            <w:r w:rsidR="00742D6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rủi ro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. Barbados sẽ thực hiện kế hoạch hành động của mình, bao gồm: (1) chứng minh </w:t>
            </w:r>
            <w:r w:rsidR="00742D6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việc thực hiện 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hiệu quả giám sát trên </w:t>
            </w:r>
            <w:r w:rsidR="00742D6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sở 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rủi ro đối với các FI và DNFBP; (2) thực hiện các biện pháp thích hợp </w:t>
            </w:r>
            <w:r w:rsidR="0075205B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nhằm 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ngăn chặn </w:t>
            </w:r>
            <w:r w:rsidR="0075205B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pháp nhân và </w:t>
            </w:r>
            <w:r w:rsidR="0075205B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thỏa thuận pháp lý 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bị lạm dụng cho mục đích </w:t>
            </w:r>
            <w:r w:rsidR="0075205B">
              <w:rPr>
                <w:rFonts w:ascii="Calibri" w:hAnsi="Calibri" w:cs="Calibri"/>
                <w:color w:val="333333"/>
                <w:sz w:val="21"/>
                <w:szCs w:val="21"/>
              </w:rPr>
              <w:t>tội phạm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, và đảm bảo rằng thông tin </w:t>
            </w:r>
            <w:r w:rsidR="0075205B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chủ sở hữu hưởng lợi 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chính xác và cập nhật sẵn </w:t>
            </w:r>
            <w:r w:rsidR="0075205B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có, 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kịp thời; (3) tăng </w:t>
            </w:r>
            <w:r w:rsidR="0075205B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cường năng lực cho 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FIU để </w:t>
            </w:r>
            <w:r w:rsidR="0075205B">
              <w:rPr>
                <w:rFonts w:ascii="Calibri" w:hAnsi="Calibri" w:cs="Calibri"/>
                <w:color w:val="333333"/>
                <w:sz w:val="21"/>
                <w:szCs w:val="21"/>
              </w:rPr>
              <w:t>nâng cao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chất lượng thông tin </w:t>
            </w:r>
            <w:r w:rsidR="0075205B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tình báo 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tài chính </w:t>
            </w:r>
            <w:r w:rsidR="0075205B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nhằm 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hỗ trợ cho LEA trong việc điều tra ML hoặc TF; (4) chứng minh rằng các cuộc điều tra và truy tố rửa tiền phù hợp với </w:t>
            </w:r>
            <w:r w:rsid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hồ sơ 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rủi ro của </w:t>
            </w:r>
            <w:r w:rsid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quốc gia 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>và giảm tồn đọng</w:t>
            </w:r>
            <w:r w:rsidR="00ED1149">
              <w:rPr>
                <w:rFonts w:ascii="Calibri" w:hAnsi="Calibri" w:cs="Calibri"/>
                <w:color w:val="333333"/>
                <w:sz w:val="21"/>
                <w:szCs w:val="21"/>
              </w:rPr>
              <w:t>,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hoàn thành các vụ truy tố dẫn đến xử phạt khi thích hợp; (5) tiếp tục theo đuổi </w:t>
            </w:r>
            <w:r w:rsid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nhằm 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tịch thu </w:t>
            </w:r>
            <w:r w:rsid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tài sản 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trong ML, bao gồm </w:t>
            </w:r>
            <w:r w:rsid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tìm kiếm sự </w:t>
            </w:r>
            <w:r w:rsid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hỗ trợ 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từ các </w:t>
            </w:r>
            <w:r w:rsid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quan </w:t>
            </w:r>
            <w:r w:rsidRPr="00DE63A9">
              <w:rPr>
                <w:rFonts w:ascii="Calibri" w:hAnsi="Calibri" w:cs="Calibri"/>
                <w:color w:val="333333"/>
                <w:sz w:val="21"/>
                <w:szCs w:val="21"/>
              </w:rPr>
              <w:t>nước ngoài.</w:t>
            </w:r>
          </w:p>
        </w:tc>
      </w:tr>
      <w:tr w:rsidR="00001A62" w:rsidTr="004E136C">
        <w:tc>
          <w:tcPr>
            <w:tcW w:w="3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001A62">
            <w:pPr>
              <w:pStyle w:val="Heading2"/>
              <w:spacing w:before="0"/>
              <w:rPr>
                <w:rFonts w:ascii="inherit" w:hAnsi="inherit" w:cs="Calibri"/>
                <w:color w:val="333333"/>
                <w:sz w:val="40"/>
                <w:szCs w:val="40"/>
              </w:rPr>
            </w:pPr>
            <w:bookmarkStart w:id="4" w:name="botswana"/>
            <w:bookmarkEnd w:id="4"/>
            <w:r>
              <w:rPr>
                <w:rFonts w:ascii="inherit" w:hAnsi="inherit" w:cs="Calibri"/>
                <w:b/>
                <w:bCs/>
                <w:color w:val="333333"/>
                <w:sz w:val="40"/>
                <w:szCs w:val="40"/>
              </w:rPr>
              <w:lastRenderedPageBreak/>
              <w:t>Botswana</w:t>
            </w:r>
          </w:p>
        </w:tc>
        <w:tc>
          <w:tcPr>
            <w:tcW w:w="136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ED1149" w:rsidP="00877DBD">
            <w:pPr>
              <w:jc w:val="both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Kể từ tháng 10 năm 2018, khi Botswana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có </w:t>
            </w:r>
            <w:r w:rsidRP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cam kết chính trị cấp cao 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nhằm </w:t>
            </w:r>
            <w:r w:rsidR="005D6993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hợp tác </w:t>
            </w:r>
            <w:r w:rsidRP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với FATF và ESAAMLG 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để </w:t>
            </w:r>
            <w:r w:rsidRP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tăng cường </w:t>
            </w:r>
            <w:r w:rsidR="005D6993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tính </w:t>
            </w:r>
            <w:r w:rsidRP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hiệu quả của </w:t>
            </w:r>
            <w:r w:rsidR="005D6993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chế </w:t>
            </w:r>
            <w:r w:rsidRP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AML / CFT và giải quyết </w:t>
            </w:r>
            <w:r w:rsidR="005D6993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</w:t>
            </w:r>
            <w:r w:rsidRP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thiếu </w:t>
            </w:r>
            <w:r w:rsidR="005D6993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hụt </w:t>
            </w:r>
            <w:r w:rsidRP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kỹ thuật liên quan, Botswana đã thực hiện các bước để cải thiện </w:t>
            </w:r>
            <w:r w:rsidR="005D6993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</w:t>
            </w:r>
            <w:r w:rsidRP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chế AML / CFT của mình, bao gồm </w:t>
            </w:r>
            <w:r w:rsidR="005D6993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triển khai </w:t>
            </w:r>
            <w:r w:rsidRP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chiến lược </w:t>
            </w:r>
            <w:r w:rsidR="005D6993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quốc gia về </w:t>
            </w:r>
            <w:r w:rsidRP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AML / CFT </w:t>
            </w:r>
            <w:r w:rsidR="00A41117">
              <w:rPr>
                <w:rFonts w:ascii="Calibri" w:hAnsi="Calibri" w:cs="Calibri"/>
                <w:color w:val="333333"/>
                <w:sz w:val="21"/>
                <w:szCs w:val="21"/>
              </w:rPr>
              <w:t>và</w:t>
            </w:r>
            <w:r w:rsidRP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vận hành </w:t>
            </w:r>
            <w:r w:rsidR="00A4111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hệ thống quốc gia về </w:t>
            </w:r>
            <w:r w:rsidRP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đăng ký </w:t>
            </w:r>
            <w:r w:rsidR="00A4111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doanh nghiệp nhằm lưu trữ </w:t>
            </w:r>
            <w:r w:rsidRP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thông tin </w:t>
            </w:r>
            <w:r w:rsidR="00A4111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chủ </w:t>
            </w:r>
            <w:r w:rsidRP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sở hữu </w:t>
            </w:r>
            <w:r w:rsidR="00A41117">
              <w:rPr>
                <w:rFonts w:ascii="Calibri" w:hAnsi="Calibri" w:cs="Calibri"/>
                <w:color w:val="333333"/>
                <w:sz w:val="21"/>
                <w:szCs w:val="21"/>
              </w:rPr>
              <w:t>hưởng lợi</w:t>
            </w:r>
            <w:r w:rsidRP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. Botswana </w:t>
            </w:r>
            <w:r w:rsidR="000779B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cần </w:t>
            </w:r>
            <w:r w:rsidRP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tiếp tục thực hiện kế hoạch hành động để giải quyết các thiếu </w:t>
            </w:r>
            <w:r w:rsidR="000779B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hụt </w:t>
            </w:r>
            <w:r w:rsidRPr="00ED1149">
              <w:rPr>
                <w:rFonts w:ascii="Calibri" w:hAnsi="Calibri" w:cs="Calibri"/>
                <w:color w:val="333333"/>
                <w:sz w:val="21"/>
                <w:szCs w:val="21"/>
              </w:rPr>
              <w:t>chiến lược của mình, bao gồm: (1) đánh giá rủi ro liên quan đến pháp nhân, các thỏa thuận pháp lý và NPO; (2) triển khai các hướng dẫn giám sát</w:t>
            </w:r>
            <w:r w:rsidR="000779B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trên cơ sở rủi ro</w:t>
            </w:r>
            <w:r w:rsidRP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</w:t>
            </w:r>
            <w:r w:rsidR="000779B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</w:t>
            </w:r>
            <w:r w:rsidRP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AML / CFT; (3) cải thiện </w:t>
            </w:r>
            <w:r w:rsidR="000779B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phân tích </w:t>
            </w:r>
            <w:r w:rsidRP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và </w:t>
            </w:r>
            <w:r w:rsidR="000779B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chuyển giao </w:t>
            </w:r>
            <w:r w:rsidRP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thông tin tài chính của FIU; (4) thực hiện chiến lược CFT và đảm bảo năng lực điều tra </w:t>
            </w:r>
            <w:r w:rsidR="000779B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tài trợ khủng bố </w:t>
            </w:r>
            <w:r w:rsidRP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của các cơ quan thực thi pháp luật; (5) đảm bảo thực hiện không chậm trễ các biện pháp trừng phạt tài chính mục tiêu liên quan đến tài trợ khủng bố và tài trợ </w:t>
            </w:r>
            <w:r w:rsidR="000779B5">
              <w:rPr>
                <w:rFonts w:ascii="Calibri" w:hAnsi="Calibri" w:cs="Calibri"/>
                <w:color w:val="333333"/>
                <w:sz w:val="21"/>
                <w:szCs w:val="21"/>
              </w:rPr>
              <w:t>phổ biến vũ khí</w:t>
            </w:r>
            <w:r w:rsidRP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, và (6) áp dụng </w:t>
            </w:r>
            <w:r w:rsidR="000779B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phương thức </w:t>
            </w:r>
            <w:r w:rsidRPr="00ED1149">
              <w:rPr>
                <w:rFonts w:ascii="Calibri" w:hAnsi="Calibri" w:cs="Calibri"/>
                <w:color w:val="333333"/>
                <w:sz w:val="21"/>
                <w:szCs w:val="21"/>
              </w:rPr>
              <w:t>tiếp cận trên</w:t>
            </w:r>
            <w:r w:rsidR="000779B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cơ sở</w:t>
            </w:r>
            <w:r w:rsidRPr="00ED114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rủi ro để giám sát các tổ chức phi lợi nhuận.</w:t>
            </w:r>
          </w:p>
        </w:tc>
      </w:tr>
      <w:tr w:rsidR="00001A62" w:rsidTr="004E136C">
        <w:tc>
          <w:tcPr>
            <w:tcW w:w="3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B70360">
            <w:pPr>
              <w:pStyle w:val="Heading2"/>
              <w:spacing w:before="0"/>
              <w:rPr>
                <w:rFonts w:ascii="inherit" w:hAnsi="inherit" w:cs="Calibri"/>
                <w:color w:val="333333"/>
                <w:sz w:val="40"/>
                <w:szCs w:val="40"/>
              </w:rPr>
            </w:pPr>
            <w:bookmarkStart w:id="5" w:name="cambodia"/>
            <w:bookmarkEnd w:id="5"/>
            <w:r>
              <w:rPr>
                <w:rFonts w:ascii="inherit" w:hAnsi="inherit" w:cs="Calibri"/>
                <w:b/>
                <w:bCs/>
                <w:color w:val="333333"/>
                <w:sz w:val="40"/>
                <w:szCs w:val="40"/>
              </w:rPr>
              <w:t>Campuchia</w:t>
            </w:r>
          </w:p>
        </w:tc>
        <w:tc>
          <w:tcPr>
            <w:tcW w:w="136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DC4F35" w:rsidP="00877DBD">
            <w:pPr>
              <w:jc w:val="both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>Kể từ tháng 2 năm 2019, khi Campuchia đưa ra cam kết chính trị cấp cao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nhằm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hợp tác với FATF và APG 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để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nâng cao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hiệu quả của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chế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AML / CFT và giải quyết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những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thiếu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hụt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kỹ thuật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có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liên quan, Campuchia đã thực hiện các bước để cải thiện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chế AML / CFT, bao gồm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chứng minh sự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tăng cường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phối hợp và hợp tác trong nước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nhằm đẩy mạnh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điều tra ML. Campuchia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cần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tiếp tục thực hiện kế hoạch hành động 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để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giải quyết các thiếu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hụt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chiến lược của mình, bao gồm: (1)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>xây dựng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cơ sở pháp lý rộng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đối với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MLA và tiến hành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công tác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>đào tạo cho LEA; (2) thực hiện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thanh tra,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giám sát trên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sở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rủi ro đối với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lĩnh vực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bất động sản và sòng bạc; (3) thực hiện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thanh tra,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giám sát trên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sở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rủi ro đối với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lĩnh vực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ngân hàng thông qua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hành động thực thi một cách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kịp thời,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tương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xứng và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>mang tính răn đe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thích hợp; (4) sửa đổi Luật AML / CFT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nhằm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giải quyết các thiếu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hụt mang tính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kỹ thuật còn lại; (5) tăng cường phân tích </w:t>
            </w:r>
            <w:r w:rsidR="004E5F93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STRs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và </w:t>
            </w:r>
            <w:r w:rsidR="004E5F93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chuyển giao thông tin cho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LEA; (6) tăng </w:t>
            </w:r>
            <w:r w:rsidR="00552D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số lượng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cuộc điều tra và truy tố </w:t>
            </w:r>
            <w:r w:rsidR="00552D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ML; (7) </w:t>
            </w:r>
            <w:r w:rsidR="00552D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thể hiện sự gia tăng trong việc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đóng băng và tịch thu </w:t>
            </w:r>
            <w:r w:rsidR="00AE197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tài sản có nguồn gốc tội phạm,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>công cụ và tài sản có giá trị tương đương; (8) thiết lập và thực hiện khung pháp lý cho các biện pháp trừng phạt tài chính của Liên Hợp Quốc liên quan đến tài trợ phổ biến</w:t>
            </w:r>
            <w:r w:rsidR="00552D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vũ khí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và </w:t>
            </w:r>
            <w:r w:rsidR="00552D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nâng cao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sự hiểu biết về </w:t>
            </w:r>
            <w:r w:rsidR="00552D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trốn tránh </w:t>
            </w:r>
            <w:r w:rsidR="00552D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biện pháp </w:t>
            </w:r>
            <w:r w:rsidRPr="00DC4F35">
              <w:rPr>
                <w:rFonts w:ascii="Calibri" w:hAnsi="Calibri" w:cs="Calibri"/>
                <w:color w:val="333333"/>
                <w:sz w:val="21"/>
                <w:szCs w:val="21"/>
              </w:rPr>
              <w:t>trừng phạt.</w:t>
            </w:r>
          </w:p>
        </w:tc>
      </w:tr>
      <w:tr w:rsidR="00001A62" w:rsidTr="004E136C">
        <w:tc>
          <w:tcPr>
            <w:tcW w:w="3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001A62">
            <w:pPr>
              <w:pStyle w:val="Heading2"/>
              <w:spacing w:before="0"/>
              <w:rPr>
                <w:rFonts w:ascii="inherit" w:hAnsi="inherit" w:cs="Calibri"/>
                <w:color w:val="333333"/>
                <w:sz w:val="40"/>
                <w:szCs w:val="40"/>
              </w:rPr>
            </w:pPr>
            <w:bookmarkStart w:id="6" w:name="ghana"/>
            <w:bookmarkEnd w:id="6"/>
            <w:r>
              <w:rPr>
                <w:rFonts w:ascii="inherit" w:hAnsi="inherit" w:cs="Calibri"/>
                <w:b/>
                <w:bCs/>
                <w:color w:val="333333"/>
                <w:sz w:val="40"/>
                <w:szCs w:val="40"/>
              </w:rPr>
              <w:t>Ghana</w:t>
            </w:r>
          </w:p>
        </w:tc>
        <w:tc>
          <w:tcPr>
            <w:tcW w:w="136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552DA9" w:rsidP="00877DBD">
            <w:pPr>
              <w:jc w:val="both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552D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Kể từ tháng 10 năm 2018, khi Ghana đưa ra cam kết chính trị cấp cao hợp tác với FATF và GIABA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nhằm nâng cao </w:t>
            </w:r>
            <w:r w:rsidRPr="00552D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hiệu quả của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</w:t>
            </w:r>
            <w:r w:rsidRPr="00552D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chế AML/CFT, Ghana đã thực hiện các bước để cải thiện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chế </w:t>
            </w:r>
            <w:r w:rsidRPr="00552D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AML / CFT của mình, bao gồm nâng cao nhận thức của các giám sát viên và các </w:t>
            </w:r>
            <w:r w:rsidR="003622F1">
              <w:rPr>
                <w:rFonts w:ascii="Calibri" w:hAnsi="Calibri" w:cs="Calibri"/>
                <w:color w:val="333333"/>
                <w:sz w:val="21"/>
                <w:szCs w:val="21"/>
              </w:rPr>
              <w:t>tổ chức</w:t>
            </w:r>
            <w:r w:rsidRPr="00552D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</w:t>
            </w:r>
            <w:r w:rsidR="003622F1">
              <w:rPr>
                <w:rFonts w:ascii="Calibri" w:hAnsi="Calibri" w:cs="Calibri"/>
                <w:color w:val="333333"/>
                <w:sz w:val="21"/>
                <w:szCs w:val="21"/>
              </w:rPr>
              <w:t>chịu quản lý về</w:t>
            </w:r>
            <w:r w:rsidRPr="00552D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các rủi ro ML/TF xác định. Ghana </w:t>
            </w:r>
            <w:r w:rsidR="003622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cần </w:t>
            </w:r>
            <w:r w:rsidRPr="00552DA9">
              <w:rPr>
                <w:rFonts w:ascii="Calibri" w:hAnsi="Calibri" w:cs="Calibri"/>
                <w:color w:val="333333"/>
                <w:sz w:val="21"/>
                <w:szCs w:val="21"/>
              </w:rPr>
              <w:t>tiếp tục triển khai kế</w:t>
            </w:r>
            <w:r w:rsidR="003622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</w:t>
            </w:r>
            <w:r w:rsidRPr="00552D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hoạch hành động để giải quyết các thiếu </w:t>
            </w:r>
            <w:r w:rsidR="003622F1">
              <w:rPr>
                <w:rFonts w:ascii="Calibri" w:hAnsi="Calibri" w:cs="Calibri"/>
                <w:color w:val="333333"/>
                <w:sz w:val="21"/>
                <w:szCs w:val="21"/>
              </w:rPr>
              <w:t>hụt</w:t>
            </w:r>
            <w:r w:rsidRPr="00552D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chiến lược của mình, bao gồm: (1) thực hiện Chính sách</w:t>
            </w:r>
            <w:r w:rsidR="003622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quốc gia 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toàn diện </w:t>
            </w:r>
            <w:r w:rsidR="003622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</w:t>
            </w:r>
            <w:r w:rsidRPr="00552D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AML / CFT trên </w:t>
            </w:r>
            <w:r w:rsidR="003622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sở </w:t>
            </w:r>
            <w:r w:rsidRPr="00552D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rủi ro được xác định trong NRA, bao gồm các biện pháp giảm thiểu rủi ro ML / TF liên quan đến pháp nhân; (2) cải thiện </w:t>
            </w:r>
            <w:r w:rsidR="003622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thanh tra, </w:t>
            </w:r>
            <w:r w:rsidRPr="00552D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giám sát trên </w:t>
            </w:r>
            <w:r w:rsidR="003622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sở </w:t>
            </w:r>
            <w:r w:rsidRPr="00552D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rủi ro, bằng cách nâng cao năng lực của các cơ quan quản lý và nhận thức của khu vực tư nhân; (3) đảm bảo truy cập kịp thời </w:t>
            </w:r>
            <w:r w:rsidR="003622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</w:t>
            </w:r>
            <w:r w:rsidRPr="00552D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thông tin </w:t>
            </w:r>
            <w:r w:rsidR="003622F1">
              <w:rPr>
                <w:rFonts w:ascii="Calibri" w:hAnsi="Calibri" w:cs="Calibri"/>
                <w:color w:val="333333"/>
                <w:sz w:val="21"/>
                <w:szCs w:val="21"/>
              </w:rPr>
              <w:t>đầy đủ, chính xác về chủ sở hữu hưởng lợi</w:t>
            </w:r>
            <w:r w:rsidRPr="00552D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; (4) đảm bảo rằng FIU đang tập trung các hoạt động của mình vào các rủi ro được xác định trong NRA và được </w:t>
            </w:r>
            <w:r w:rsidR="003622F1">
              <w:rPr>
                <w:rFonts w:ascii="Calibri" w:hAnsi="Calibri" w:cs="Calibri"/>
                <w:color w:val="333333"/>
                <w:sz w:val="21"/>
                <w:szCs w:val="21"/>
              </w:rPr>
              <w:t>trang bị đầy đủ nguồn lực</w:t>
            </w:r>
            <w:r w:rsidRPr="00552D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; và (5) áp dụng </w:t>
            </w:r>
            <w:r w:rsidR="003622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phương thức </w:t>
            </w:r>
            <w:r w:rsidRPr="00552DA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tiếp cận trên </w:t>
            </w:r>
            <w:r w:rsidR="003622F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sở </w:t>
            </w:r>
            <w:r w:rsidRPr="00552DA9">
              <w:rPr>
                <w:rFonts w:ascii="Calibri" w:hAnsi="Calibri" w:cs="Calibri"/>
                <w:color w:val="333333"/>
                <w:sz w:val="21"/>
                <w:szCs w:val="21"/>
              </w:rPr>
              <w:t>rủi ro để giám sát các tổ chức phi lợi nhuận.</w:t>
            </w:r>
          </w:p>
        </w:tc>
      </w:tr>
      <w:tr w:rsidR="00001A62" w:rsidTr="004E136C">
        <w:tc>
          <w:tcPr>
            <w:tcW w:w="3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001A62">
            <w:pPr>
              <w:pStyle w:val="Heading2"/>
              <w:spacing w:before="0"/>
              <w:rPr>
                <w:rFonts w:ascii="inherit" w:hAnsi="inherit" w:cs="Calibri"/>
                <w:color w:val="333333"/>
                <w:sz w:val="40"/>
                <w:szCs w:val="40"/>
              </w:rPr>
            </w:pPr>
            <w:bookmarkStart w:id="7" w:name="iceland"/>
            <w:bookmarkEnd w:id="7"/>
            <w:r>
              <w:rPr>
                <w:rFonts w:ascii="inherit" w:hAnsi="inherit" w:cs="Calibri"/>
                <w:b/>
                <w:bCs/>
                <w:color w:val="333333"/>
                <w:sz w:val="40"/>
                <w:szCs w:val="40"/>
              </w:rPr>
              <w:lastRenderedPageBreak/>
              <w:t>Iceland</w:t>
            </w:r>
          </w:p>
        </w:tc>
        <w:tc>
          <w:tcPr>
            <w:tcW w:w="136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C87E6F" w:rsidP="004E136C">
            <w:pPr>
              <w:jc w:val="both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C87E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Kể từ tháng 10 năm 2019, khi Iceland đưa ra cam kết chính trị cấp cao hợp tác với FATF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>nhằm tăng cường</w:t>
            </w:r>
            <w:r w:rsidRPr="00C87E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hiệu quả của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</w:t>
            </w:r>
            <w:r w:rsidRPr="00C87E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chế AML / CFT, Iceland đã tiếp tục thực hiện các bước quan trọng để cải thiện </w:t>
            </w:r>
            <w:r w:rsidR="002956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</w:t>
            </w:r>
            <w:r w:rsidRPr="00C87E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chế AML / CFT của mình, bao gồm việc tăng </w:t>
            </w:r>
            <w:r w:rsidR="002956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nhân lực cho </w:t>
            </w:r>
            <w:r w:rsidRPr="00C87E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FIU để </w:t>
            </w:r>
            <w:r w:rsidR="002956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xử lý </w:t>
            </w:r>
            <w:r w:rsidRPr="00C87E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khối lượng </w:t>
            </w:r>
            <w:r w:rsidR="002956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lớn </w:t>
            </w:r>
            <w:r w:rsidRPr="00C87E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STR và tăng cường phân tích chiến lược cũng như đảm bảo giám sát hiệu quả việc tuân thủ </w:t>
            </w:r>
            <w:r w:rsidR="002956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biện pháp </w:t>
            </w:r>
            <w:r w:rsidRPr="00C87E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trừng phạt tài chính có mục tiêu và </w:t>
            </w:r>
            <w:r w:rsidR="002956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phân bổ </w:t>
            </w:r>
            <w:r w:rsidRPr="00C87E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đủ nguồn lực và </w:t>
            </w:r>
            <w:r w:rsid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quy trình </w:t>
            </w:r>
            <w:r w:rsidRPr="00C87E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giám sát để </w:t>
            </w:r>
            <w:r w:rsid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thực hiện </w:t>
            </w:r>
            <w:r w:rsidRPr="00C87E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đánh giá rủi ro TF trong lĩnh vực NPO. Iceland </w:t>
            </w:r>
            <w:r w:rsid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cần </w:t>
            </w:r>
            <w:r w:rsidRPr="00C87E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tiếp tục thực hiện kế hoạch hành động </w:t>
            </w:r>
            <w:r w:rsidR="00C4357F">
              <w:rPr>
                <w:rFonts w:ascii="Calibri" w:hAnsi="Calibri" w:cs="Calibri"/>
                <w:color w:val="333333"/>
                <w:sz w:val="21"/>
                <w:szCs w:val="21"/>
              </w:rPr>
              <w:t>nhằm</w:t>
            </w:r>
            <w:r w:rsidRPr="00C87E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giải quyết các thiếu </w:t>
            </w:r>
            <w:r w:rsid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hụt </w:t>
            </w:r>
            <w:r w:rsidRPr="00C87E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chiến lược của mình </w:t>
            </w:r>
            <w:r w:rsid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thông qua việ </w:t>
            </w:r>
            <w:r w:rsidRPr="00C87E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(1) hoàn thiện </w:t>
            </w:r>
            <w:r w:rsid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quy trình </w:t>
            </w:r>
            <w:r w:rsidRPr="00C87E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thu thập thông tin </w:t>
            </w:r>
            <w:r w:rsid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chính xác về chủ sở hữu hưởng lợi </w:t>
            </w:r>
            <w:r w:rsidRPr="00C87E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và </w:t>
            </w:r>
            <w:r w:rsid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chứng minh </w:t>
            </w:r>
            <w:r w:rsidRPr="00C87E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áp dụng các biện pháp trừng phạt thích hợp </w:t>
            </w:r>
            <w:r w:rsidR="00C4357F">
              <w:rPr>
                <w:rFonts w:ascii="Calibri" w:hAnsi="Calibri" w:cs="Calibri"/>
                <w:color w:val="333333"/>
                <w:sz w:val="21"/>
                <w:szCs w:val="21"/>
              </w:rPr>
              <w:t>trong trường hợp</w:t>
            </w:r>
            <w:r w:rsidRPr="00C87E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không tuân thủ; và (2) </w:t>
            </w:r>
            <w:r w:rsidR="00C4357F">
              <w:rPr>
                <w:rFonts w:ascii="Calibri" w:hAnsi="Calibri" w:cs="Calibri"/>
                <w:color w:val="333333"/>
                <w:sz w:val="21"/>
                <w:szCs w:val="21"/>
              </w:rPr>
              <w:t>hoàn thành hệ thống lọc STR tự động.</w:t>
            </w:r>
          </w:p>
        </w:tc>
      </w:tr>
      <w:tr w:rsidR="00001A62" w:rsidTr="004E136C">
        <w:tc>
          <w:tcPr>
            <w:tcW w:w="3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001A62">
            <w:pPr>
              <w:pStyle w:val="Heading2"/>
              <w:spacing w:before="0"/>
              <w:rPr>
                <w:rFonts w:ascii="inherit" w:hAnsi="inherit" w:cs="Calibri"/>
                <w:color w:val="333333"/>
                <w:sz w:val="40"/>
                <w:szCs w:val="40"/>
              </w:rPr>
            </w:pPr>
            <w:bookmarkStart w:id="8" w:name="jamaica"/>
            <w:bookmarkEnd w:id="8"/>
            <w:r>
              <w:rPr>
                <w:rFonts w:ascii="inherit" w:hAnsi="inherit" w:cs="Calibri"/>
                <w:b/>
                <w:bCs/>
                <w:color w:val="333333"/>
                <w:sz w:val="40"/>
                <w:szCs w:val="40"/>
              </w:rPr>
              <w:t>Jamaica</w:t>
            </w:r>
          </w:p>
        </w:tc>
        <w:tc>
          <w:tcPr>
            <w:tcW w:w="136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C4357F" w:rsidP="00877DBD">
            <w:pPr>
              <w:jc w:val="both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>Vào tháng 2 năm 2020, Jamaica đã thực hiện một cam kết chính trị cấp cao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nhằm </w:t>
            </w: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hợp tác với FATF và CFATF để tăng cườ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ng tính hiệu quả của cơ </w:t>
            </w: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chế AML/CFT. Kể từ khi hoàn thành MER vào tháng 11 năm 2016, Jamaica đã đạt được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một số tiến triển đối với các </w:t>
            </w: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hành động được MER khuyến nghị nhằm cải thiện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tính </w:t>
            </w: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hiệu quả và tuân thủ kỹ thuật, bao gồm việc sửa đổi nghĩa vụ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cập nhật thông tin </w:t>
            </w: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khách hàng. Jamaica sẽ thực hiện kế hoạch hành động của mình, bao gồm: (1)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tăng cường </w:t>
            </w: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hiểu biết toàn diện hơn về rủi ro ML / TF; (2) 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bao gồm </w:t>
            </w: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tất cả các FI và DNFBP trong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</w:t>
            </w: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chế AML / CFT và đảm bảo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thanh tra, </w:t>
            </w: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giám sát trên </w:t>
            </w:r>
            <w:r w:rsidR="0071402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sở </w:t>
            </w: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rủi ro đầy đủ </w:t>
            </w:r>
            <w:r w:rsidR="0071402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đối với </w:t>
            </w: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tất cả các lĩnh vực; (3) thực hiện các biện pháp thích hợp </w:t>
            </w:r>
            <w:r w:rsidR="0071402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nhằm </w:t>
            </w: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ngăn chặn các pháp nhân và </w:t>
            </w:r>
            <w:r w:rsidR="0071402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thỏa thuận pháp lý </w:t>
            </w: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bị lạm dụng cho mục đích </w:t>
            </w:r>
            <w:r w:rsidR="00714021">
              <w:rPr>
                <w:rFonts w:ascii="Calibri" w:hAnsi="Calibri" w:cs="Calibri"/>
                <w:color w:val="333333"/>
                <w:sz w:val="21"/>
                <w:szCs w:val="21"/>
              </w:rPr>
              <w:t>tội phạm</w:t>
            </w: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, và đảm bảo rằng thông tin </w:t>
            </w:r>
            <w:r w:rsidR="0071402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chủ sở hữu hưởng lợi </w:t>
            </w: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>chính xác</w:t>
            </w:r>
            <w:r w:rsidR="0071402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, </w:t>
            </w: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>cập nhật</w:t>
            </w:r>
            <w:r w:rsidR="0071402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và sẵn có</w:t>
            </w: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; (4) thực hiện các biện pháp thích hợp </w:t>
            </w:r>
            <w:r w:rsid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nhằm </w:t>
            </w: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tăng cường sử dụng thông tin tài chính và </w:t>
            </w:r>
            <w:r w:rsidR="00500371">
              <w:rPr>
                <w:rFonts w:ascii="Calibri" w:hAnsi="Calibri" w:cs="Calibri"/>
                <w:color w:val="333333"/>
                <w:sz w:val="21"/>
                <w:szCs w:val="21"/>
              </w:rPr>
              <w:t>đẩy mạnh</w:t>
            </w: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điều tra</w:t>
            </w:r>
            <w:r w:rsidR="00500371">
              <w:rPr>
                <w:rFonts w:ascii="Calibri" w:hAnsi="Calibri" w:cs="Calibri"/>
                <w:color w:val="333333"/>
                <w:sz w:val="21"/>
                <w:szCs w:val="21"/>
              </w:rPr>
              <w:t>,</w:t>
            </w: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truy tố ML, </w:t>
            </w:r>
            <w:r w:rsid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tương ứng </w:t>
            </w: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với hồ sơ rủi ro của quốc gia; (5) đảm bảo thực hiện </w:t>
            </w:r>
            <w:r w:rsid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không chậm trễ </w:t>
            </w: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biện pháp trừng phạt tài chính có mục tiêu đối với tài trợ khủng bố; và (6) </w:t>
            </w:r>
            <w:r w:rsid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áp dụng phương thức </w:t>
            </w: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tiếp cận trên </w:t>
            </w:r>
            <w:r w:rsid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sở </w:t>
            </w: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rủi ro để </w:t>
            </w:r>
            <w:r w:rsid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thanh tra, </w:t>
            </w: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giám sát </w:t>
            </w:r>
            <w:r w:rsid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lĩnh vực </w:t>
            </w: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NPO </w:t>
            </w:r>
            <w:r w:rsid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nhằm </w:t>
            </w: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ngăn chặn </w:t>
            </w:r>
            <w:r w:rsid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</w:t>
            </w: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lạm dụng </w:t>
            </w:r>
            <w:r w:rsid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lĩnh vực này vào </w:t>
            </w:r>
            <w:r w:rsidRPr="00C4357F">
              <w:rPr>
                <w:rFonts w:ascii="Calibri" w:hAnsi="Calibri" w:cs="Calibri"/>
                <w:color w:val="333333"/>
                <w:sz w:val="21"/>
                <w:szCs w:val="21"/>
              </w:rPr>
              <w:t>mục đích TF.</w:t>
            </w:r>
          </w:p>
        </w:tc>
      </w:tr>
      <w:tr w:rsidR="00001A62" w:rsidTr="004E136C">
        <w:tc>
          <w:tcPr>
            <w:tcW w:w="3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001A62">
            <w:pPr>
              <w:pStyle w:val="Heading2"/>
              <w:spacing w:before="0"/>
              <w:rPr>
                <w:rFonts w:ascii="inherit" w:hAnsi="inherit" w:cs="Calibri"/>
                <w:color w:val="333333"/>
                <w:sz w:val="40"/>
                <w:szCs w:val="40"/>
              </w:rPr>
            </w:pPr>
            <w:bookmarkStart w:id="9" w:name="mauritius"/>
            <w:bookmarkEnd w:id="9"/>
            <w:r>
              <w:rPr>
                <w:rFonts w:ascii="inherit" w:hAnsi="inherit" w:cs="Calibri"/>
                <w:b/>
                <w:bCs/>
                <w:color w:val="333333"/>
                <w:sz w:val="40"/>
                <w:szCs w:val="40"/>
              </w:rPr>
              <w:t>Mauritius</w:t>
            </w:r>
          </w:p>
        </w:tc>
        <w:tc>
          <w:tcPr>
            <w:tcW w:w="136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500371" w:rsidP="00877DBD">
            <w:pPr>
              <w:jc w:val="both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>Vào tháng 2 năm 2020, Mauritius đã thực hiện một cam kết chính trị cấp cao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nhằm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hợp tác với FATF và ESAAMLG 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để 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tăng cường hiệu quả của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chế AML / CFT. Kể từ khi hoàn thành MER năm 2018, Mauritius đã đạt được </w:t>
            </w:r>
            <w:r w:rsidR="005007A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một số 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tiến </w:t>
            </w:r>
            <w:r w:rsidR="005007A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triển đối với các 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hành động </w:t>
            </w:r>
            <w:r w:rsidR="005007A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mà 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MER </w:t>
            </w:r>
            <w:r w:rsidR="005007A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khuyến nghị 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nhằm cải thiện </w:t>
            </w:r>
            <w:r w:rsidR="005007A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tính 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hiệu quả và tuân thủ kỹ thuật, bao gồm </w:t>
            </w:r>
            <w:r w:rsidR="005007A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sửa đổi </w:t>
            </w:r>
            <w:r w:rsidR="005007A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khuôn khổ 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pháp lý yêu cầu pháp nhân và </w:t>
            </w:r>
            <w:r w:rsidR="005007A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thỏa thuận 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pháp lý </w:t>
            </w:r>
            <w:r w:rsidR="005007A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cung cấp 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thông tin </w:t>
            </w:r>
            <w:r w:rsidR="005007A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chủ sở hữu hưởng 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>lợi và cải thiện quy trình xác định và tịch thu tiền phạm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tội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. Mauritius sẽ thực hiện kế hoạch hành động của mình, bao gồm: (1) chứng minh </w:t>
            </w:r>
            <w:r w:rsid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việc các 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giám sát viên 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>đối với</w:t>
            </w:r>
            <w:r w:rsidR="00877DBD"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khu vực kinh doanh toàn cầu và DNFBP thực hiện </w:t>
            </w:r>
            <w:r w:rsid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thanh tra, 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giám sát trên </w:t>
            </w:r>
            <w:r w:rsid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sở 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rủi ro; (2) đảm bảo </w:t>
            </w:r>
            <w:r w:rsid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cơ quan có thẩm quyền được 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tiếp cận </w:t>
            </w:r>
            <w:r w:rsid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một cách kịp thời 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thông tin chính xác </w:t>
            </w:r>
            <w:r w:rsidR="00CB28C5">
              <w:rPr>
                <w:rFonts w:ascii="Calibri" w:hAnsi="Calibri" w:cs="Calibri"/>
                <w:color w:val="333333"/>
                <w:sz w:val="21"/>
                <w:szCs w:val="21"/>
              </w:rPr>
              <w:t>và cơ bản về chủ sở hữu hưởng lợi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; (3) chứng minh rằng LEA có khả năng tiến hành điều tra </w:t>
            </w:r>
            <w:r w:rsid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rửa tiền, bao gồm điều tra tài chính song song và </w:t>
            </w:r>
            <w:r w:rsid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điều tra 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vụ án phức tạp; (4) </w:t>
            </w:r>
            <w:r w:rsid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áp dụng phương thức 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tiếp cận trên </w:t>
            </w:r>
            <w:r w:rsid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sở 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rủi ro để </w:t>
            </w:r>
            <w:r w:rsid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thanh tra, 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giám sát </w:t>
            </w:r>
            <w:r w:rsidR="00CB28C5">
              <w:rPr>
                <w:rFonts w:ascii="Calibri" w:hAnsi="Calibri" w:cs="Calibri"/>
                <w:color w:val="333333"/>
                <w:sz w:val="21"/>
                <w:szCs w:val="21"/>
              </w:rPr>
              <w:t>lĩnh vực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NPO 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>nhằm</w:t>
            </w:r>
            <w:r w:rsidR="00877DBD"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ngăn chặn </w:t>
            </w:r>
            <w:r w:rsid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lạm dụng </w:t>
            </w:r>
            <w:r w:rsid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lĩnh vực này 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cho mục đích TF và 5) 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>chứng minh</w:t>
            </w:r>
            <w:r w:rsid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</w:t>
            </w:r>
            <w:r w:rsidRPr="00500371">
              <w:rPr>
                <w:rFonts w:ascii="Calibri" w:hAnsi="Calibri" w:cs="Calibri"/>
                <w:color w:val="333333"/>
                <w:sz w:val="21"/>
                <w:szCs w:val="21"/>
              </w:rPr>
              <w:t>việc thực hiện đầy đủ các biện pháp trừng phạt tài chính có mục tiêu thông qua tiếp cận và giám sát.</w:t>
            </w:r>
          </w:p>
        </w:tc>
      </w:tr>
      <w:tr w:rsidR="00001A62" w:rsidTr="004E136C">
        <w:tc>
          <w:tcPr>
            <w:tcW w:w="3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CB28C5">
            <w:pPr>
              <w:pStyle w:val="Heading2"/>
              <w:spacing w:before="0"/>
              <w:rPr>
                <w:rFonts w:ascii="inherit" w:hAnsi="inherit" w:cs="Calibri"/>
                <w:color w:val="333333"/>
                <w:sz w:val="40"/>
                <w:szCs w:val="40"/>
              </w:rPr>
            </w:pPr>
            <w:bookmarkStart w:id="10" w:name="mongolia"/>
            <w:bookmarkEnd w:id="10"/>
            <w:r>
              <w:rPr>
                <w:rFonts w:ascii="inherit" w:hAnsi="inherit" w:cs="Calibri"/>
                <w:b/>
                <w:bCs/>
                <w:color w:val="333333"/>
                <w:sz w:val="40"/>
                <w:szCs w:val="40"/>
              </w:rPr>
              <w:t>Mông Cổ</w:t>
            </w:r>
          </w:p>
        </w:tc>
        <w:tc>
          <w:tcPr>
            <w:tcW w:w="136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CA7" w:rsidRDefault="00CB28C5" w:rsidP="00877DBD">
            <w:pPr>
              <w:jc w:val="both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Kể từ tháng 10 năm 2019, khi Mông Cổ đưa ra cam kết chính trị cấp cao hợp tác với FATF và APG để tăng cường hiệu quả của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</w:t>
            </w:r>
            <w:r w:rsidRP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chế AML / CFT, Mông Cổ tiếp tục thực hiện các bước quan trọng trong việc cải thiện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</w:t>
            </w:r>
            <w:r w:rsidRP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chế AML / CFT </w:t>
            </w:r>
            <w:r w:rsidRPr="00CB28C5">
              <w:rPr>
                <w:rFonts w:ascii="Calibri" w:hAnsi="Calibri" w:cs="Calibri"/>
                <w:color w:val="333333"/>
                <w:sz w:val="21"/>
                <w:szCs w:val="21"/>
              </w:rPr>
              <w:lastRenderedPageBreak/>
              <w:t xml:space="preserve">của mình, bao gồm chứng minh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tăng cường áp dụng </w:t>
            </w:r>
            <w:r w:rsidRP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biện pháp trừng phạt và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</w:t>
            </w:r>
            <w:r w:rsidRP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hành động khắc phục của các giám sát viên tài chính đối với các vi phạm xác định và tiếp tục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thực hiện phong tỏa </w:t>
            </w:r>
            <w:r w:rsidRPr="00CB28C5">
              <w:rPr>
                <w:rFonts w:ascii="Calibri" w:hAnsi="Calibri" w:cs="Calibri"/>
                <w:color w:val="333333"/>
                <w:sz w:val="21"/>
                <w:szCs w:val="21"/>
              </w:rPr>
              <w:t>và tịch thu tiền giả/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tiền </w:t>
            </w:r>
            <w:r w:rsidRP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không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được </w:t>
            </w:r>
            <w:r w:rsidRP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khai báo. Mông Cổ cần tiếp tục triển khai kế hoạch hành động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>nhằm</w:t>
            </w:r>
            <w:r w:rsidRP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giải quyết các thiếu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hụt </w:t>
            </w:r>
            <w:r w:rsidRP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chiến lược của mình, bao gồm: (1) </w:t>
            </w:r>
            <w:r w:rsidR="00F81C2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nâng cao </w:t>
            </w:r>
            <w:r w:rsidRP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sự hiểu biết </w:t>
            </w:r>
            <w:r w:rsidR="00F81C2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của các giám sát viên các DNFBPs về các </w:t>
            </w:r>
            <w:r w:rsidRP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rủi ro ML / TF của ngành, áp dụng </w:t>
            </w:r>
            <w:r w:rsidR="00F81C2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phương thức </w:t>
            </w:r>
            <w:r w:rsidRP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tiếp cận trên </w:t>
            </w:r>
            <w:r w:rsidR="00F81C2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sở </w:t>
            </w:r>
            <w:r w:rsidRP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rủi ro đối với các đại lý </w:t>
            </w:r>
            <w:r w:rsidR="00F81C2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kinh doanh </w:t>
            </w:r>
            <w:r w:rsidRPr="00CB28C5">
              <w:rPr>
                <w:rFonts w:ascii="Calibri" w:hAnsi="Calibri" w:cs="Calibri"/>
                <w:color w:val="333333"/>
                <w:sz w:val="21"/>
                <w:szCs w:val="21"/>
              </w:rPr>
              <w:t>kim loại quý</w:t>
            </w:r>
            <w:r w:rsidR="00F81C2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, </w:t>
            </w:r>
            <w:r w:rsidRPr="00CB28C5">
              <w:rPr>
                <w:rFonts w:ascii="Calibri" w:hAnsi="Calibri" w:cs="Calibri"/>
                <w:color w:val="333333"/>
                <w:sz w:val="21"/>
                <w:szCs w:val="21"/>
              </w:rPr>
              <w:t>đá</w:t>
            </w:r>
            <w:r w:rsidR="00F81C2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quý</w:t>
            </w:r>
            <w:r w:rsidRPr="00CB28C5">
              <w:rPr>
                <w:rFonts w:ascii="Calibri" w:hAnsi="Calibri" w:cs="Calibri"/>
                <w:color w:val="333333"/>
                <w:sz w:val="21"/>
                <w:szCs w:val="21"/>
              </w:rPr>
              <w:t>; (2) chứ</w:t>
            </w:r>
            <w:r w:rsidR="00F81C2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ng minh việc đẩy mạnh các </w:t>
            </w:r>
            <w:r w:rsidRPr="00CB28C5">
              <w:rPr>
                <w:rFonts w:ascii="Calibri" w:hAnsi="Calibri" w:cs="Calibri"/>
                <w:color w:val="333333"/>
                <w:sz w:val="21"/>
                <w:szCs w:val="21"/>
              </w:rPr>
              <w:t>cuộc điều tra</w:t>
            </w:r>
            <w:r w:rsidR="00F81C2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, </w:t>
            </w:r>
            <w:r w:rsidRP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truy tố </w:t>
            </w:r>
            <w:r w:rsid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hành vi </w:t>
            </w:r>
            <w:r w:rsidRP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ML </w:t>
            </w:r>
            <w:r w:rsid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tương xứng </w:t>
            </w:r>
            <w:r w:rsidRP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với các rủi ro đã </w:t>
            </w:r>
            <w:r w:rsid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được </w:t>
            </w:r>
            <w:r w:rsidRP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xác định; và (3) giám sát </w:t>
            </w:r>
            <w:r w:rsid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</w:t>
            </w:r>
            <w:r w:rsidRP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tuân thủ của các FI và DNFBP </w:t>
            </w:r>
            <w:r w:rsid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đối </w:t>
            </w:r>
            <w:r w:rsidRP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với các nghĩa vụ </w:t>
            </w:r>
            <w:r w:rsid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các biện pháp trừng phạt tài chính mục tiêu </w:t>
            </w:r>
            <w:r w:rsidRPr="00CB28C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liên quan đến </w:t>
            </w:r>
            <w:r w:rsidR="00530EAF">
              <w:rPr>
                <w:rFonts w:ascii="Calibri" w:hAnsi="Calibri" w:cs="Calibri"/>
                <w:color w:val="333333"/>
                <w:sz w:val="21"/>
                <w:szCs w:val="21"/>
              </w:rPr>
              <w:t>tài trợ phổ biến vũ khí</w:t>
            </w:r>
            <w:r w:rsidRPr="00CB28C5">
              <w:rPr>
                <w:rFonts w:ascii="Calibri" w:hAnsi="Calibri" w:cs="Calibri"/>
                <w:color w:val="333333"/>
                <w:sz w:val="21"/>
                <w:szCs w:val="21"/>
              </w:rPr>
              <w:t>, bao gồm việc áp dụng các biện pháp trừng phạt tương xứ</w:t>
            </w:r>
            <w:r w:rsidR="00530EAF">
              <w:rPr>
                <w:rFonts w:ascii="Calibri" w:hAnsi="Calibri" w:cs="Calibri"/>
                <w:color w:val="333333"/>
                <w:sz w:val="21"/>
                <w:szCs w:val="21"/>
              </w:rPr>
              <w:t>ng và mang tính răn đe</w:t>
            </w:r>
            <w:r w:rsidRPr="00CB28C5">
              <w:rPr>
                <w:rFonts w:ascii="Calibri" w:hAnsi="Calibri" w:cs="Calibri"/>
                <w:color w:val="333333"/>
                <w:sz w:val="21"/>
                <w:szCs w:val="21"/>
              </w:rPr>
              <w:t>.</w:t>
            </w:r>
          </w:p>
        </w:tc>
      </w:tr>
      <w:tr w:rsidR="00001A62" w:rsidTr="004E136C">
        <w:tc>
          <w:tcPr>
            <w:tcW w:w="3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001A62">
            <w:pPr>
              <w:pStyle w:val="Heading2"/>
              <w:spacing w:before="0"/>
              <w:rPr>
                <w:rFonts w:ascii="inherit" w:hAnsi="inherit" w:cs="Calibri"/>
                <w:color w:val="333333"/>
                <w:sz w:val="40"/>
                <w:szCs w:val="40"/>
              </w:rPr>
            </w:pPr>
            <w:bookmarkStart w:id="11" w:name="myanmar"/>
            <w:bookmarkEnd w:id="11"/>
            <w:r>
              <w:rPr>
                <w:rFonts w:ascii="inherit" w:hAnsi="inherit" w:cs="Calibri"/>
                <w:b/>
                <w:bCs/>
                <w:color w:val="333333"/>
                <w:sz w:val="40"/>
                <w:szCs w:val="40"/>
              </w:rPr>
              <w:lastRenderedPageBreak/>
              <w:t>Myanmar</w:t>
            </w:r>
          </w:p>
        </w:tc>
        <w:tc>
          <w:tcPr>
            <w:tcW w:w="136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530EAF" w:rsidP="00877DBD">
            <w:pPr>
              <w:jc w:val="both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>Vào tháng 2 năm 2020, Myanmar đã thực hiện một cam kết chính trị cấp cao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nhằm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hợp tác với FATF và APG 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>để</w:t>
            </w:r>
            <w:r w:rsidR="00877DBD" w:rsidRP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tăng cường hiệu quả của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chế AML / CFT. Kể từ khi hoàn thành MER vào tháng 9 năm 2018, Myanmar đã chủ động đạt được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một số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tiến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triển đối với các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hành động được MER khuyến nghị nhằm cải thiện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tính hiệu quả và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tuân thủ kỹ thuật, bao gồm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đưa ra các biện pháp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>man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>g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tính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pháp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lý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và thiết lập một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khuôn khổ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pháp lý 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>cho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việc đăng ký các 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>nhà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cung cấp dịch vụ hundi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>. Myanmar sẽ nỗ lực để thực hiện kế hoạch hành động của mình, bao gồ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m: (1) cho thấy việc nâng cao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sự hiểu biết về rủi ro ML trong các lĩnh vực quan trọng; (2) đảm bảo cơ quan giám sát đối với DNFBP có đủ nguồn lực,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thanh tra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tại chỗ /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giám sát từ xa được thực hiện trên cơ sở 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rủi ro và các nhà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cung cấp dịch vụ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hundi được đăng ký và giám sát; (3) thể hiện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tăng cường sử dụng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thông tin tình báo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tài chính trong các cuộc điều tra của LEA, và </w:t>
            </w:r>
            <w:r w:rsidR="00AE197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đẩy mạnh phân tích nghiệp vụ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và </w:t>
            </w:r>
            <w:r w:rsidR="00AE197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chuyển giao thông tin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của FIU; (4) đảm bảo </w:t>
            </w:r>
            <w:r w:rsidR="00AE197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điều tra, truy tố về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ML </w:t>
            </w:r>
            <w:r w:rsidR="00AE197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tương xứng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với rủi ro; (5) </w:t>
            </w:r>
            <w:r w:rsidR="00AE197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chứng minh hoạt động hợp tác quốc tế trong quá trình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điều tra các </w:t>
            </w:r>
            <w:r w:rsidR="00AE197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vụ việc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>ML xuyên quố</w:t>
            </w:r>
            <w:r w:rsidR="00AE197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 gia;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(6) cho thấy </w:t>
            </w:r>
            <w:r w:rsidR="00AE197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tăng cường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>đóng băng /</w:t>
            </w:r>
            <w:r w:rsidR="00AE197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kê biên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>và tịch thu tiền, công cụ và / hoặc tài sản có giá trị tương đương</w:t>
            </w:r>
            <w:r w:rsidR="00912CA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có nguồn gốc phạm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tội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; (7) quản lý tài sản bị </w:t>
            </w:r>
            <w:r w:rsidR="00912CA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kê biên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để bảo quản giá trị hàng hóa bị </w:t>
            </w:r>
            <w:r w:rsidR="00912CA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kê biên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cho đến khi </w:t>
            </w:r>
            <w:r w:rsidR="00912CA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thực hiện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tịch thu; và (8) thể hiện việc thực hiện TFS liên quan đến PF, bao gồm </w:t>
            </w:r>
            <w:r w:rsidR="00912CA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đào tạo về </w:t>
            </w:r>
            <w:r w:rsidR="00912CA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phương thức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trốn tránh </w:t>
            </w:r>
            <w:r w:rsidR="00912CA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biện pháp </w:t>
            </w:r>
            <w:r w:rsidRPr="00530EAF">
              <w:rPr>
                <w:rFonts w:ascii="Calibri" w:hAnsi="Calibri" w:cs="Calibri"/>
                <w:color w:val="333333"/>
                <w:sz w:val="21"/>
                <w:szCs w:val="21"/>
              </w:rPr>
              <w:t>trừng phạt PF.</w:t>
            </w:r>
          </w:p>
        </w:tc>
      </w:tr>
      <w:tr w:rsidR="00001A62" w:rsidTr="004E136C">
        <w:tc>
          <w:tcPr>
            <w:tcW w:w="3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912CA7">
            <w:pPr>
              <w:pStyle w:val="Heading2"/>
              <w:spacing w:before="0"/>
              <w:rPr>
                <w:rFonts w:ascii="inherit" w:hAnsi="inherit" w:cs="Calibri"/>
                <w:color w:val="333333"/>
                <w:sz w:val="40"/>
                <w:szCs w:val="40"/>
              </w:rPr>
            </w:pPr>
            <w:bookmarkStart w:id="12" w:name="nicaragua"/>
            <w:bookmarkEnd w:id="12"/>
            <w:r w:rsidRPr="00912CA7">
              <w:rPr>
                <w:rFonts w:ascii="inherit" w:hAnsi="inherit" w:cs="Calibri"/>
                <w:b/>
                <w:bCs/>
                <w:color w:val="333333"/>
                <w:sz w:val="40"/>
                <w:szCs w:val="40"/>
              </w:rPr>
              <w:t>Nicaragua</w:t>
            </w:r>
          </w:p>
        </w:tc>
        <w:tc>
          <w:tcPr>
            <w:tcW w:w="136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912CA7" w:rsidP="00877DBD">
            <w:pPr>
              <w:jc w:val="both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912CA7">
              <w:rPr>
                <w:rFonts w:ascii="Calibri" w:hAnsi="Calibri" w:cs="Calibri"/>
                <w:color w:val="333333"/>
                <w:sz w:val="21"/>
                <w:szCs w:val="21"/>
              </w:rPr>
              <w:t>Vào tháng 2 năm 2020, Nicaragua đã đưa ra một cam kết chính trị cấp cao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nhằm</w:t>
            </w:r>
            <w:r w:rsidRPr="00912CA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hợp tác với FATF và GAFILAT 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>để</w:t>
            </w:r>
            <w:r w:rsidR="00877DBD" w:rsidRPr="00912CA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</w:t>
            </w:r>
            <w:r w:rsidRPr="00912CA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tăng cường hiệu quả của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</w:t>
            </w:r>
            <w:r w:rsidRPr="00912CA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chế AML / CFT. Kể từ khi hoàn thành MER vào tháng 7 năm 2017, Nicaragua đã đạt được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một số tiến triển đối với các </w:t>
            </w:r>
            <w:r w:rsidRPr="00912CA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hành động được MER khuyến nghị nhằm cải thiện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tính </w:t>
            </w:r>
            <w:r w:rsidRPr="00912CA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hiệu quả và tuân thủ kỹ thuật, bao gồm tăng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cường </w:t>
            </w:r>
            <w:r w:rsidRPr="00912CA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sử dụng thông tin tài chính trong việc điều tra và truy tố các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hành 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 </w:t>
            </w:r>
            <w:r w:rsidRPr="00912CA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ML và sửa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đổi khuôn khổ </w:t>
            </w:r>
            <w:r w:rsidRPr="00912CA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pháp lý để hình sự hóa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>hành vi tài trợ khủng bố</w:t>
            </w:r>
            <w:r w:rsidRPr="00912CA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. Nicaragua sẽ thực hiện kế hoạch hành động của mình, bao gồm: (1)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Tăng cường </w:t>
            </w:r>
            <w:r w:rsidRPr="00912CA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sự hiểu biết toàn diện về rủi ro ML / TF; (2) chủ động hơn trong việc tìm kiếm sự hợp tác quốc tế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nhằm </w:t>
            </w:r>
            <w:r w:rsidRPr="00912CA7">
              <w:rPr>
                <w:rFonts w:ascii="Calibri" w:hAnsi="Calibri" w:cs="Calibri"/>
                <w:color w:val="333333"/>
                <w:sz w:val="21"/>
                <w:szCs w:val="21"/>
              </w:rPr>
              <w:t>hỗ trợ điều tra ML, đặc biệ</w:t>
            </w:r>
            <w:r w:rsidR="009B3B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 tập trung vào việc </w:t>
            </w:r>
            <w:r w:rsidRPr="00912CA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xác định và truy tìm tài sản với mục đích tịch thu và </w:t>
            </w:r>
            <w:r w:rsidR="009B3B71">
              <w:rPr>
                <w:rFonts w:ascii="Calibri" w:hAnsi="Calibri" w:cs="Calibri"/>
                <w:color w:val="333333"/>
                <w:sz w:val="21"/>
                <w:szCs w:val="21"/>
              </w:rPr>
              <w:t>thu hồi tài sản</w:t>
            </w:r>
            <w:r w:rsidRPr="00912CA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; (3) thực hiện giám sát </w:t>
            </w:r>
            <w:r w:rsidR="009B3B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hiệu quả </w:t>
            </w:r>
            <w:r w:rsidRPr="00912CA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trên </w:t>
            </w:r>
            <w:r w:rsidR="009B3B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sở </w:t>
            </w:r>
            <w:r w:rsidRPr="00912CA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rủi ro; (4) thực hiện các biện pháp thích hợp để ngăn chặn các pháp nhân và </w:t>
            </w:r>
            <w:r w:rsidR="009B3B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thỏa thuận pháp lý </w:t>
            </w:r>
            <w:r w:rsidRPr="00912CA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bị lạm dụng cho mục đích </w:t>
            </w:r>
            <w:r w:rsidR="009B3B71">
              <w:rPr>
                <w:rFonts w:ascii="Calibri" w:hAnsi="Calibri" w:cs="Calibri"/>
                <w:color w:val="333333"/>
                <w:sz w:val="21"/>
                <w:szCs w:val="21"/>
              </w:rPr>
              <w:t>tội phạm</w:t>
            </w:r>
            <w:r w:rsidRPr="00912CA7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, và đảm bảo rằng thông tin </w:t>
            </w:r>
            <w:r w:rsidR="009B3B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chủ sở hữu hưởng lợi chính xác, </w:t>
            </w:r>
            <w:r w:rsidRPr="00912CA7">
              <w:rPr>
                <w:rFonts w:ascii="Calibri" w:hAnsi="Calibri" w:cs="Calibri"/>
                <w:color w:val="333333"/>
                <w:sz w:val="21"/>
                <w:szCs w:val="21"/>
              </w:rPr>
              <w:t>cập nhật</w:t>
            </w:r>
            <w:r w:rsidR="009B3B71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và sẵn có</w:t>
            </w:r>
            <w:r w:rsidRPr="00912CA7">
              <w:rPr>
                <w:rFonts w:ascii="Calibri" w:hAnsi="Calibri" w:cs="Calibri"/>
                <w:color w:val="333333"/>
                <w:sz w:val="21"/>
                <w:szCs w:val="21"/>
              </w:rPr>
              <w:t>.</w:t>
            </w:r>
          </w:p>
        </w:tc>
      </w:tr>
      <w:tr w:rsidR="00001A62" w:rsidTr="004E136C">
        <w:tc>
          <w:tcPr>
            <w:tcW w:w="3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001A62">
            <w:pPr>
              <w:pStyle w:val="Heading2"/>
              <w:spacing w:before="0"/>
              <w:rPr>
                <w:rFonts w:ascii="inherit" w:hAnsi="inherit" w:cs="Calibri"/>
                <w:color w:val="333333"/>
                <w:sz w:val="40"/>
                <w:szCs w:val="40"/>
              </w:rPr>
            </w:pPr>
            <w:bookmarkStart w:id="13" w:name="pakistan"/>
            <w:bookmarkEnd w:id="13"/>
            <w:r>
              <w:rPr>
                <w:rFonts w:ascii="inherit" w:hAnsi="inherit" w:cs="Calibri"/>
                <w:b/>
                <w:bCs/>
                <w:color w:val="333333"/>
                <w:sz w:val="40"/>
                <w:szCs w:val="40"/>
              </w:rPr>
              <w:t>Pakistan</w:t>
            </w:r>
          </w:p>
        </w:tc>
        <w:tc>
          <w:tcPr>
            <w:tcW w:w="136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7F6375" w:rsidP="004E136C">
            <w:pPr>
              <w:pStyle w:val="para"/>
              <w:spacing w:before="0" w:beforeAutospacing="0" w:after="150" w:afterAutospacing="0"/>
              <w:jc w:val="both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7F637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Kể từ tháng 6 năm 2018, khi Pakistan đưa ra cam kết chính trị cấp cao hợp tác với FATF và APG để tăng cường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</w:t>
            </w:r>
            <w:r w:rsidRPr="007F637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chế AML / CFT và giải quyết các thiếu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hụt </w:t>
            </w:r>
            <w:r w:rsidRPr="007F6375">
              <w:rPr>
                <w:rFonts w:ascii="Calibri" w:hAnsi="Calibri" w:cs="Calibri"/>
                <w:color w:val="333333"/>
                <w:sz w:val="21"/>
                <w:szCs w:val="21"/>
              </w:rPr>
              <w:lastRenderedPageBreak/>
              <w:t>liên quan đến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chống tài trợ khủng bố</w:t>
            </w:r>
            <w:r w:rsidRPr="007F637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, cam kết chính trị của Pakistan đã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đem </w:t>
            </w:r>
            <w:r w:rsidRPr="007F637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đến một số tiến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triển </w:t>
            </w:r>
            <w:r w:rsidRPr="007F637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các lĩnh vực trong kế hoạch hành động của mình, bao gồm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</w:t>
            </w:r>
            <w:r w:rsidRPr="007F637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giám sát trên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sở </w:t>
            </w:r>
            <w:r w:rsidRPr="007F637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rủi ro và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thực hiện </w:t>
            </w:r>
            <w:r w:rsidRPr="007F637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hợp tác trong nước và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nước ngoài </w:t>
            </w:r>
            <w:r w:rsidRPr="007F637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để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phát hiện </w:t>
            </w:r>
            <w:r w:rsidRPr="007F637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giao dịch tiền mặt. Pakistan </w:t>
            </w:r>
            <w:r w:rsidR="003978FC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cần </w:t>
            </w:r>
            <w:r w:rsidRPr="007F637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tiếp tục triển khai kế hoạch hành động </w:t>
            </w:r>
            <w:r w:rsidR="003978FC">
              <w:rPr>
                <w:rFonts w:ascii="Calibri" w:hAnsi="Calibri" w:cs="Calibri"/>
                <w:color w:val="333333"/>
                <w:sz w:val="21"/>
                <w:szCs w:val="21"/>
              </w:rPr>
              <w:t>nhằm</w:t>
            </w:r>
            <w:r w:rsidRPr="007F637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giải quyết các thiếu </w:t>
            </w:r>
            <w:r w:rsidR="003978FC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hụt </w:t>
            </w:r>
            <w:r w:rsidRPr="007F637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chiến lược của mình, bao gồm: (1) chứng minh rằng các hành động khắc phục và xử phạt được áp dụng trong các trường hợp vi phạm </w:t>
            </w:r>
            <w:r w:rsidR="003978FC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</w:t>
            </w:r>
            <w:r w:rsidRPr="007F637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AML / CFT, liên quan đến quản lý rủi ro TF và nghĩa vụ 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>trừng phạt tài chính mục tiêu</w:t>
            </w:r>
            <w:r w:rsidRPr="007F637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; (2) chứng minh rằng các cơ quan có thẩm quyền đang hợp tác và thực hiện hành động 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nhằm phát hiện </w:t>
            </w:r>
            <w:r w:rsidRPr="007F637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và 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</w:t>
            </w:r>
            <w:r w:rsidRPr="007F6375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hành động thực thi 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đối với dịch vụ chuyển tiền hoặc giá trị </w:t>
            </w:r>
            <w:r w:rsidRPr="007F6375">
              <w:rPr>
                <w:rFonts w:ascii="Calibri" w:hAnsi="Calibri" w:cs="Calibri"/>
                <w:color w:val="333333"/>
                <w:sz w:val="21"/>
                <w:szCs w:val="21"/>
              </w:rPr>
              <w:t>bất hợp pháp (MVTS);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(3) 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cho thấy 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thực hiện kiểm soát tiền tệ xuyên biên giới và kiểm soát 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>công cụ chuyển nhượng vô danh</w:t>
            </w:r>
            <w:r w:rsidR="00877DBD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tại tất cả các cảng nhập cảnh, bao gồm áp dụng các biện pháp trừng phạt hiệu quả, tương xứng và 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>mang tính răn đe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; (4) chứng minh rằng các cơ quan thực thi pháp luật (LEA) đang xác định và 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thực hiện 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điều tra 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hành vi TF ở 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>phạm vi rộng nhất và các cuộc điều tra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>,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truy tố 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TF nhắm vào 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>các nhân, tổ chức bị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chỉ định, và 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>các cá nhân, tổ chức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hành động thay mặt hoặc theo chỉ đạo của 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những cá nhân 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hoặc tổ chức 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bị 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chỉ định; (5) chứng minh rằng các vụ truy tố 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TF 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đưa 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đến 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áp dụng 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biện pháp trừng phạt hiệu quả, 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tương 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xứng và 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mang tính răn đe; 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(6) 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cho thấy 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thực thi hiệu quả các biện pháp trừng phạt tài chính có mục tiêu (được hỗ trợ bởi nghĩa vụ pháp lý toàn diện) 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đối với tất cả những kẻ khủng bố hoặc những người thay mặt chúng được chỉ định trong Nghị quyết 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1267 và 1373, bao gồm ngăn chặn việc 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huy động 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và di chuyển 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quỹ, 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phát hiện 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và 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đóng băng 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>tài sản (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>động sản và bất động sản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) và cấm 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tham gia 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vào các quỹ và dịch vụ tài chính; (7) 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cho thấy việc thực thi các biện pháp đối với các vi phạm liên quan đến </w:t>
            </w:r>
            <w:r w:rsidR="00877DBD">
              <w:rPr>
                <w:rFonts w:ascii="Calibri" w:hAnsi="Calibri" w:cs="Calibri"/>
                <w:color w:val="333333"/>
                <w:sz w:val="21"/>
                <w:szCs w:val="21"/>
              </w:rPr>
              <w:t>trừng phạt tài chính mục tiêu</w:t>
            </w:r>
            <w:r w:rsidR="00877DBD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bao 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gồm các hình phạt hành chính, 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hình sự và </w:t>
            </w:r>
            <w:r w:rsid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thể hiện sự phối hợp </w:t>
            </w:r>
            <w:r w:rsidR="009E03E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của các cơ quan cấp tỉnh và liên bang trong 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</w:t>
            </w:r>
            <w:r w:rsidR="009E03E6">
              <w:rPr>
                <w:rFonts w:ascii="Calibri" w:hAnsi="Calibri" w:cs="Calibri"/>
                <w:color w:val="333333"/>
                <w:sz w:val="21"/>
                <w:szCs w:val="21"/>
              </w:rPr>
              <w:t>vụ việc này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>; (8) chứng minh rằng các cơ sở và dịch vụ do người được chỉ địn</w:t>
            </w:r>
            <w:r w:rsidR="009E03E6">
              <w:rPr>
                <w:rFonts w:ascii="Calibri" w:hAnsi="Calibri" w:cs="Calibri"/>
                <w:color w:val="333333"/>
                <w:sz w:val="21"/>
                <w:szCs w:val="21"/>
              </w:rPr>
              <w:t>h sở hữu hoặc kiểm soát không còn các nguồn lực và việc sử dụng các nguồn lực đó</w:t>
            </w:r>
            <w:r w:rsidR="00361452" w:rsidRPr="00361452">
              <w:rPr>
                <w:rFonts w:ascii="Calibri" w:hAnsi="Calibri" w:cs="Calibri"/>
                <w:color w:val="333333"/>
                <w:sz w:val="21"/>
                <w:szCs w:val="21"/>
              </w:rPr>
              <w:t>.</w:t>
            </w:r>
          </w:p>
          <w:p w:rsidR="00001A62" w:rsidRDefault="009E03E6" w:rsidP="004E136C">
            <w:pPr>
              <w:pStyle w:val="para"/>
              <w:spacing w:before="0" w:beforeAutospacing="0" w:after="150" w:afterAutospacing="0"/>
              <w:jc w:val="both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9E03E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Tất cả các thời hạn trong kế hoạch hành động đã hết hạn. Mặc dù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ghi nhận </w:t>
            </w:r>
            <w:r w:rsidRPr="009E03E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những tiến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triển đáng kể </w:t>
            </w:r>
            <w:r w:rsidRPr="009E03E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gần đây, một lần nữa, FATF bày tỏ mối lo ngại về việc Pakistan không hoàn thành kế hoạch hành động theo các mốc thời gian đã thỏa thuận và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tương xứng với </w:t>
            </w:r>
            <w:r w:rsidRPr="009E03E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rủi ro TF phát sinh từ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>quốc gia này</w:t>
            </w:r>
            <w:r w:rsidRPr="009E03E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. Đến nay, Pakistan đã giải quyết phần lớn 14 trong số 27 mục hành động, với các mức độ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hoàn thành </w:t>
            </w:r>
            <w:r w:rsidRPr="009E03E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khác nhau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đối với các nội dung </w:t>
            </w:r>
            <w:r w:rsidRPr="009E03E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còn lại của kế hoạch hành động. FATF rất khuyến khích Pakistan nhanh chóng hoàn thành kế hoạch hành động đầy đủ vào tháng 6 năm 2020. Nếu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không đưa ra được các tiến triển </w:t>
            </w:r>
            <w:r w:rsidRPr="009E03E6">
              <w:rPr>
                <w:rFonts w:ascii="Calibri" w:hAnsi="Calibri" w:cs="Calibri"/>
                <w:color w:val="333333"/>
                <w:sz w:val="21"/>
                <w:szCs w:val="21"/>
              </w:rPr>
              <w:t>đáng kể đặc biệt là trong việc truy tố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, xét xử hành vi </w:t>
            </w:r>
            <w:r w:rsidRPr="009E03E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TF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khi diễn ra </w:t>
            </w:r>
            <w:r w:rsidRPr="009E03E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Hội nghị toàn thể tiếp theo, FATF sẽ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đưa ra </w:t>
            </w:r>
            <w:r w:rsidRPr="009E03E6">
              <w:rPr>
                <w:rFonts w:ascii="Calibri" w:hAnsi="Calibri" w:cs="Calibri"/>
                <w:color w:val="333333"/>
                <w:sz w:val="21"/>
                <w:szCs w:val="21"/>
              </w:rPr>
              <w:t>hành động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của mình</w:t>
            </w:r>
            <w:r w:rsidRPr="009E03E6">
              <w:rPr>
                <w:rFonts w:ascii="Calibri" w:hAnsi="Calibri" w:cs="Calibri"/>
                <w:color w:val="333333"/>
                <w:sz w:val="21"/>
                <w:szCs w:val="21"/>
              </w:rPr>
              <w:t>, trong đó có thể bao gồm cả việc kêu gọi các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quốc gia</w:t>
            </w:r>
            <w:r w:rsidRPr="009E03E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thành viên và tất cả các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quốc gia khác yêu cầu </w:t>
            </w:r>
            <w:r w:rsidRPr="009E03E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FI của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mình lưu ý </w:t>
            </w:r>
            <w:r w:rsidRPr="009E03E6">
              <w:rPr>
                <w:rFonts w:ascii="Calibri" w:hAnsi="Calibri" w:cs="Calibri"/>
                <w:color w:val="333333"/>
                <w:sz w:val="21"/>
                <w:szCs w:val="21"/>
              </w:rPr>
              <w:t>đặc biệt đến các mối quan hệ kinh doanh và giao dịch với Pakistan.</w:t>
            </w:r>
          </w:p>
        </w:tc>
      </w:tr>
      <w:tr w:rsidR="00001A62" w:rsidTr="004E136C">
        <w:tc>
          <w:tcPr>
            <w:tcW w:w="3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001A62">
            <w:pPr>
              <w:pStyle w:val="Heading2"/>
              <w:spacing w:before="0"/>
              <w:rPr>
                <w:rFonts w:ascii="inherit" w:hAnsi="inherit" w:cs="Calibri"/>
                <w:color w:val="333333"/>
                <w:sz w:val="40"/>
                <w:szCs w:val="40"/>
              </w:rPr>
            </w:pPr>
            <w:bookmarkStart w:id="14" w:name="panama"/>
            <w:bookmarkEnd w:id="14"/>
            <w:r>
              <w:rPr>
                <w:rFonts w:ascii="inherit" w:hAnsi="inherit" w:cs="Calibri"/>
                <w:b/>
                <w:bCs/>
                <w:color w:val="333333"/>
                <w:sz w:val="40"/>
                <w:szCs w:val="40"/>
              </w:rPr>
              <w:lastRenderedPageBreak/>
              <w:t>Panama</w:t>
            </w:r>
          </w:p>
        </w:tc>
        <w:tc>
          <w:tcPr>
            <w:tcW w:w="136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E55096" w:rsidP="004E136C">
            <w:pPr>
              <w:pStyle w:val="para"/>
              <w:spacing w:before="0" w:beforeAutospacing="0" w:after="150" w:afterAutospacing="0"/>
              <w:jc w:val="both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Kể từ tháng 6 năm 2019, khi Panama đưa ra cam kết chính trị cấp cao hợp tác với FATF và GAFILAT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nhằm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tăng cường hiệu quả của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chế AML / CFT, Panama đã thực hiện một số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hành động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để cải thiện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chế AML / CFT của mình, bao gồm cả việc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thực hiện đánh giá rủi ro ngành đối với các doanh nghiệp và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DNFBP và khu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vực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thương mại tự do. Panama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cần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tiếp tục thực hiện kế hoạch hành động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>nhằm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giải quyết các thiếu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hụt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chiến lược của mình, bao gồm: (1)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Nâng cao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hiểu biết về rủi ro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quốc gia và rủi ro ngành về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ML / TF và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đưa các phát hiện vào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chính sách quốc gia của mình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nhằm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giảm thiểu rủi ro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được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xác định; (2) chủ động thực hiện hành động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>nhằm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xác định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tổ chức chuyển tiền không được cấp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phép, áp dụng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phương thức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tiếp cận trên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sở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rủi ro để giám sát lĩnh vực DNFBP và đảm bảo các biện pháp trừng phạt hiệu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lastRenderedPageBreak/>
              <w:t xml:space="preserve">quả,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tương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xứng và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mang tính răn đe đối với các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 phạm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AML / CFT; (3) đảm bảo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đối tượng có nghĩa vụ phải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xác minh đầy đủ và cập nhật thông tin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chủ sở hữu hưởng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lợi, thiết lập một cơ chế hiệu quả để giám sát hoạt động của các thực thể ở nước ngoài, đánh giá các rủi ro hiện có </w:t>
            </w:r>
            <w:r w:rsid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đối với pháp nhân và thỏa thuận pháp lý để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xác định và thực hiện các biện pháp cụ thể nhằm ngăn chặn việc lạm dụng cổ đông được </w:t>
            </w:r>
            <w:r w:rsidR="00B97BC4">
              <w:rPr>
                <w:rFonts w:ascii="Calibri" w:hAnsi="Calibri" w:cs="Calibri"/>
                <w:color w:val="333333"/>
                <w:sz w:val="21"/>
                <w:szCs w:val="21"/>
              </w:rPr>
              <w:t>chỉ định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và giám đốc, và đảm bảo </w:t>
            </w:r>
            <w:r w:rsidR="00B97BC4">
              <w:rPr>
                <w:rFonts w:ascii="Calibri" w:hAnsi="Calibri" w:cs="Calibri"/>
                <w:color w:val="333333"/>
                <w:sz w:val="21"/>
                <w:szCs w:val="21"/>
              </w:rPr>
              <w:t>việc tiếp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cập kịp thời </w:t>
            </w:r>
            <w:r w:rsid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thông tin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>đầy đủ và chính xác</w:t>
            </w:r>
            <w:r w:rsid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về chủ sở hữu hưởng lợi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; và (4) đảm bảo sử dụng hiệu quả các </w:t>
            </w:r>
            <w:r w:rsid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kết quả phân tích của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FIU </w:t>
            </w:r>
            <w:r w:rsid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trong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điều tra </w:t>
            </w:r>
            <w:r w:rsid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ML, </w:t>
            </w:r>
            <w:r w:rsid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cho thấy năng lực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điều tra và truy tố </w:t>
            </w:r>
            <w:r w:rsid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ML liên quan đến tội phạm thuế nước ngoài và </w:t>
            </w:r>
            <w:r w:rsid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chứng minh sự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>hợp tác quốc tế</w:t>
            </w:r>
            <w:r w:rsid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kịp thời và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mang tính xây dựng và tiếp tục tập trung vào điều tra ML liên quan đến </w:t>
            </w:r>
            <w:r w:rsid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lĩnh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vực rủi ro </w:t>
            </w:r>
            <w:r w:rsid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cao </w:t>
            </w:r>
            <w:r w:rsidRPr="00E55096">
              <w:rPr>
                <w:rFonts w:ascii="Calibri" w:hAnsi="Calibri" w:cs="Calibri"/>
                <w:color w:val="333333"/>
                <w:sz w:val="21"/>
                <w:szCs w:val="21"/>
              </w:rPr>
              <w:t>được xác định trong NRA và MER.</w:t>
            </w:r>
          </w:p>
        </w:tc>
      </w:tr>
      <w:tr w:rsidR="00001A62" w:rsidTr="004E136C">
        <w:tc>
          <w:tcPr>
            <w:tcW w:w="3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001A62">
            <w:pPr>
              <w:pStyle w:val="Heading2"/>
              <w:spacing w:before="0"/>
              <w:rPr>
                <w:rFonts w:ascii="inherit" w:hAnsi="inherit" w:cs="Calibri"/>
                <w:color w:val="333333"/>
                <w:sz w:val="40"/>
                <w:szCs w:val="40"/>
              </w:rPr>
            </w:pPr>
            <w:bookmarkStart w:id="15" w:name="syria"/>
            <w:bookmarkEnd w:id="15"/>
            <w:r>
              <w:rPr>
                <w:rFonts w:ascii="inherit" w:hAnsi="inherit" w:cs="Calibri"/>
                <w:b/>
                <w:bCs/>
                <w:color w:val="333333"/>
                <w:sz w:val="40"/>
                <w:szCs w:val="40"/>
              </w:rPr>
              <w:lastRenderedPageBreak/>
              <w:t>Syria</w:t>
            </w:r>
          </w:p>
        </w:tc>
        <w:tc>
          <w:tcPr>
            <w:tcW w:w="136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97BC4" w:rsidRDefault="00B97BC4" w:rsidP="004E136C">
            <w:pPr>
              <w:pStyle w:val="para"/>
              <w:spacing w:before="0" w:beforeAutospacing="0" w:after="150" w:afterAutospacing="0"/>
              <w:jc w:val="both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Kể từ tháng 2 năm 2010, khi Syria đưa ra cam kết chính trị cấp cao để hợp tác với FATF và MENAFATF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nhằm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giải quyết các thiếu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hụt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chiến lược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AML / CFT của mình, Syria đã đạt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có những tiến triển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cải thiện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chế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AML / CFT. </w:t>
            </w:r>
            <w:r w:rsidR="00581E40">
              <w:rPr>
                <w:rFonts w:ascii="Calibri" w:hAnsi="Calibri" w:cs="Calibri"/>
                <w:color w:val="333333"/>
                <w:sz w:val="21"/>
                <w:szCs w:val="21"/>
              </w:rPr>
              <w:t>T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háng 6 năm 2014, FATF xác định rằng Syria đã giải quyết căn bản kế hoạch hành động của mình ở cấp độ kỹ thuật, bao gồm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hình sự hóa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hành vi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tài trợ khủng bố và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ban hành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quy trình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đóng băng tài sản khủng bố. Mặc dù FATF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cho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rằng Syria đã hoàn thành kế hoạch hành động,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nhưng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do tình hình an ninh, FATF không thể thực hiện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đánh giá tại chỗ nhằm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xác nhận xem quá trình thực hiện các hành động cần thiết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theo yêu cầu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đã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>và đang diễn ra hay chưa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. FATF sẽ tiếp tục theo dõi tình hình và sẽ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thực hiện đánh giá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tại chỗ vào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thời gian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>sớm nhất có thể.</w:t>
            </w:r>
          </w:p>
          <w:p w:rsidR="00001A62" w:rsidRDefault="00001A62" w:rsidP="00B97BC4">
            <w:pPr>
              <w:pStyle w:val="para"/>
              <w:spacing w:before="0" w:beforeAutospacing="0" w:after="150" w:afterAutospacing="0"/>
              <w:jc w:val="both"/>
              <w:rPr>
                <w:rFonts w:ascii="Calibri" w:hAnsi="Calibri" w:cs="Calibri"/>
                <w:color w:val="333333"/>
                <w:sz w:val="21"/>
                <w:szCs w:val="21"/>
              </w:rPr>
            </w:pPr>
          </w:p>
        </w:tc>
      </w:tr>
      <w:tr w:rsidR="00001A62" w:rsidTr="004E136C">
        <w:tc>
          <w:tcPr>
            <w:tcW w:w="3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001A62">
            <w:pPr>
              <w:pStyle w:val="Heading2"/>
              <w:spacing w:before="0"/>
              <w:rPr>
                <w:rFonts w:ascii="inherit" w:hAnsi="inherit" w:cs="Calibri"/>
                <w:color w:val="333333"/>
                <w:sz w:val="40"/>
                <w:szCs w:val="40"/>
              </w:rPr>
            </w:pPr>
            <w:bookmarkStart w:id="16" w:name="uganda"/>
            <w:bookmarkEnd w:id="16"/>
            <w:r>
              <w:rPr>
                <w:rFonts w:ascii="inherit" w:hAnsi="inherit" w:cs="Calibri"/>
                <w:b/>
                <w:bCs/>
                <w:color w:val="333333"/>
                <w:sz w:val="40"/>
                <w:szCs w:val="40"/>
              </w:rPr>
              <w:t>Uganda</w:t>
            </w:r>
          </w:p>
        </w:tc>
        <w:tc>
          <w:tcPr>
            <w:tcW w:w="136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B97BC4" w:rsidP="00581E40">
            <w:pPr>
              <w:pStyle w:val="para"/>
              <w:spacing w:before="0" w:beforeAutospacing="0" w:after="150" w:afterAutospacing="0"/>
              <w:jc w:val="both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Vào tháng 2 năm 2020, Uganda đã thực hiện một cam kết chính trị cấp cao để hợp tác với FATF và ESAAMLG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nhằm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tăng cường hiệu quả của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chế AML / CFT. Kể từ khi hoàn thành MER năm 2016, Uganda đã đạt được </w:t>
            </w:r>
            <w:r w:rsidR="00581E40">
              <w:rPr>
                <w:rFonts w:ascii="Calibri" w:hAnsi="Calibri" w:cs="Calibri"/>
                <w:color w:val="333333"/>
                <w:sz w:val="21"/>
                <w:szCs w:val="21"/>
              </w:rPr>
              <w:t>tiến triển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về một số hành động được MER khuyến nghị nhằm cải thiện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tính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hiệu quả và tuân thủ kỹ thuật, bao gồm thực hiện đánh giá rủi ro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quốc gia về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ML / TF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đầu tiên và sửa đổi khuôn khổ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pháp lý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có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liên quan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nhằm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giải quyết các thiếu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hụt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kỹ thuật </w:t>
            </w:r>
            <w:r w:rsidR="005708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hành vi phạm tội ML và TF. Uganda sẽ nỗ lực thực hiện kế hoạch hành động của mình, bao gồm: (1) </w:t>
            </w:r>
            <w:r w:rsidR="005708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ban hành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chiến lược </w:t>
            </w:r>
            <w:r w:rsidR="005708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quốc gia về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AML / CFT; (2) tìm kiếm sự hợp tác quốc tế </w:t>
            </w:r>
            <w:r w:rsidR="005708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tương ứng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với hồ sơ rủi ro của quốc gia; (3) xây dựng và triển khai giám sát trên </w:t>
            </w:r>
            <w:r w:rsidR="005708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sở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rủi ro đối với các FI và DNFBP; (4) đảm bảo rằng các cơ quan có thẩm quyền có quyền truy cập kịp thời </w:t>
            </w:r>
            <w:r w:rsidR="005708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thông tin </w:t>
            </w:r>
            <w:r w:rsidR="005708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bản và chính xác về chủ sở hữu hưởng lợi của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>pháp nhân; (5) chứng minh</w:t>
            </w:r>
            <w:r w:rsidR="005708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rằng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LEA và cơ quan tư pháp </w:t>
            </w:r>
            <w:r w:rsidR="0057086F">
              <w:rPr>
                <w:rFonts w:ascii="Calibri" w:hAnsi="Calibri" w:cs="Calibri"/>
                <w:color w:val="333333"/>
                <w:sz w:val="21"/>
                <w:szCs w:val="21"/>
              </w:rPr>
              <w:t>tập trung vào tội phạm M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L </w:t>
            </w:r>
            <w:r w:rsidR="005708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tương xứng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với các rủi ro đã </w:t>
            </w:r>
            <w:r w:rsidR="005708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được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xác định; (6) thiết lập và thực hiện các </w:t>
            </w:r>
            <w:r w:rsidR="0057086F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quy trình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và thủ tục để </w:t>
            </w:r>
            <w:r w:rsidR="0057086F">
              <w:rPr>
                <w:rFonts w:ascii="Calibri" w:hAnsi="Calibri" w:cs="Calibri"/>
                <w:color w:val="333333"/>
                <w:sz w:val="21"/>
                <w:szCs w:val="21"/>
              </w:rPr>
              <w:t>phát hiện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, truy tìm, thu giữ và tịch thu tiền thu được và các công cụ của tội phạm; (7) chứng minh rằng LEA thực hiện các cuộc điều tra </w:t>
            </w:r>
            <w:r w:rsidR="006B2F2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TF và theo đuổi </w:t>
            </w:r>
            <w:r w:rsidR="006B2F2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truy tố các vụ việc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tương xứng với hồ sơ rủi ro </w:t>
            </w:r>
            <w:r w:rsidR="006B2F2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TF của </w:t>
            </w:r>
            <w:r w:rsidR="006B2F29">
              <w:rPr>
                <w:rFonts w:ascii="Calibri" w:hAnsi="Calibri" w:cs="Calibri"/>
                <w:color w:val="333333"/>
                <w:sz w:val="21"/>
                <w:szCs w:val="21"/>
              </w:rPr>
              <w:t>Uganda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; (8) giải quyết các thiếu </w:t>
            </w:r>
            <w:r w:rsidR="006B2F2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hụt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kỹ thuật trong </w:t>
            </w:r>
            <w:r w:rsidR="006B2F2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khuôn khổ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pháp lý để triển khai </w:t>
            </w:r>
            <w:r w:rsidR="00581E40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trừng phạt tài chính mục tiêu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>liên quan đến PF và</w:t>
            </w:r>
            <w:r w:rsidR="006B2F2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áp dụng phương thức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tiếp cận trên </w:t>
            </w:r>
            <w:r w:rsidR="006B2F2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sở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rủi ro để giám sát lĩnh vực NPO </w:t>
            </w:r>
            <w:r w:rsidR="006B2F2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nhằm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ngăn chặn </w:t>
            </w:r>
            <w:r w:rsidR="006B2F2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lạm dụng </w:t>
            </w:r>
            <w:r w:rsidR="006B2F2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lĩnh vực này </w:t>
            </w:r>
            <w:r w:rsidRPr="00B97BC4">
              <w:rPr>
                <w:rFonts w:ascii="Calibri" w:hAnsi="Calibri" w:cs="Calibri"/>
                <w:color w:val="333333"/>
                <w:sz w:val="21"/>
                <w:szCs w:val="21"/>
              </w:rPr>
              <w:t>cho mục đích TF.</w:t>
            </w:r>
          </w:p>
        </w:tc>
      </w:tr>
      <w:tr w:rsidR="00001A62" w:rsidTr="004E136C">
        <w:tc>
          <w:tcPr>
            <w:tcW w:w="3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001A62">
            <w:pPr>
              <w:pStyle w:val="Heading2"/>
              <w:spacing w:before="0"/>
              <w:rPr>
                <w:rFonts w:ascii="inherit" w:hAnsi="inherit" w:cs="Calibri"/>
                <w:color w:val="333333"/>
                <w:sz w:val="40"/>
                <w:szCs w:val="40"/>
              </w:rPr>
            </w:pPr>
            <w:bookmarkStart w:id="17" w:name="yemen"/>
            <w:bookmarkEnd w:id="17"/>
            <w:r>
              <w:rPr>
                <w:rFonts w:ascii="inherit" w:hAnsi="inherit" w:cs="Calibri"/>
                <w:b/>
                <w:bCs/>
                <w:color w:val="333333"/>
                <w:sz w:val="40"/>
                <w:szCs w:val="40"/>
              </w:rPr>
              <w:t>Yemen</w:t>
            </w:r>
          </w:p>
        </w:tc>
        <w:tc>
          <w:tcPr>
            <w:tcW w:w="136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6B2F29" w:rsidP="004E136C">
            <w:pPr>
              <w:pStyle w:val="para"/>
              <w:spacing w:before="0" w:beforeAutospacing="0" w:after="150" w:afterAutospacing="0"/>
              <w:jc w:val="both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6B2F2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Kể từ tháng 2 năm 2010, khi Yemen thực hiện cam kết chính trị cấp cao để hợp tác với FATF và MENAFATF </w:t>
            </w:r>
            <w:r w:rsidR="00AF65EC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nhằm </w:t>
            </w:r>
            <w:r w:rsidRPr="006B2F2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giải quyết các thiếu </w:t>
            </w:r>
            <w:r w:rsidR="00AF65EC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hụt chiến lược về </w:t>
            </w:r>
            <w:r w:rsidRPr="006B2F2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AML / CFT chiến lược, Yemen đã đạt được tiến bộ để cải thiện </w:t>
            </w:r>
            <w:r w:rsidR="00AF65EC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</w:t>
            </w:r>
            <w:r w:rsidRPr="006B2F2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chế AML / CFT của mình. Vào tháng 6 năm 2014, FATF xác định rằng Yemen đã giải quyết căn bản kế hoạch hành động của mình ở cấp độ kỹ thuật, bao gồm: (1) hình sự hóa đầy đủ </w:t>
            </w:r>
            <w:r w:rsidR="00AF65EC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hành vi </w:t>
            </w:r>
            <w:r w:rsidRPr="006B2F2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rửa tiền và tài trợ khủng bố; (2) thiết lập các </w:t>
            </w:r>
            <w:r w:rsidR="00AF65EC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quy trình </w:t>
            </w:r>
            <w:r w:rsidRPr="006B2F2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để xác định và đóng băng tài sản khủng bố; (3) </w:t>
            </w:r>
            <w:r w:rsidR="00AF65EC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cải thiện các yêu cầu về cập </w:t>
            </w:r>
            <w:r w:rsidR="00AF65EC">
              <w:rPr>
                <w:rFonts w:ascii="Calibri" w:hAnsi="Calibri" w:cs="Calibri"/>
                <w:color w:val="333333"/>
                <w:sz w:val="21"/>
                <w:szCs w:val="21"/>
              </w:rPr>
              <w:lastRenderedPageBreak/>
              <w:t xml:space="preserve">nhật thông tin </w:t>
            </w:r>
            <w:r w:rsidRPr="006B2F2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khách hàng và báo cáo giao dịch đáng ngờ; (4) ban hành hướng dẫn; (5) </w:t>
            </w:r>
            <w:r w:rsidR="00AF65EC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tăng cường </w:t>
            </w:r>
            <w:r w:rsidRPr="006B2F2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năng lực </w:t>
            </w:r>
            <w:r w:rsidR="00AF65EC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thanh tra, </w:t>
            </w:r>
            <w:r w:rsidRPr="006B2F29">
              <w:rPr>
                <w:rFonts w:ascii="Calibri" w:hAnsi="Calibri" w:cs="Calibri"/>
                <w:color w:val="333333"/>
                <w:sz w:val="21"/>
                <w:szCs w:val="21"/>
              </w:rPr>
              <w:t>giám sát</w:t>
            </w:r>
            <w:r w:rsidR="00AF65EC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cho </w:t>
            </w:r>
            <w:r w:rsidRPr="006B2F2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quan giám sát </w:t>
            </w:r>
            <w:r w:rsidR="00AF65EC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lĩnh vực </w:t>
            </w:r>
            <w:r w:rsidRPr="006B2F2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tài chính và đơn vị tình báo tài chính; và (6) thành lập một đơn vị tình báo tài chính </w:t>
            </w:r>
            <w:r w:rsidR="007B123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với đầy đủ chức năng và </w:t>
            </w:r>
            <w:r w:rsidRPr="006B2F2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hoạt động hiệu quả. Mặc dù FATF </w:t>
            </w:r>
            <w:r w:rsidR="007B123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cho </w:t>
            </w:r>
            <w:r w:rsidRPr="006B2F2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rằng Yemen đã hoàn thành kế hoạch hành động, </w:t>
            </w:r>
            <w:r w:rsidR="007B123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nhưng </w:t>
            </w:r>
            <w:r w:rsidRPr="006B2F29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do tình hình an ninh, </w:t>
            </w:r>
            <w:r w:rsidR="007B123E"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FATF không thể thực hiện </w:t>
            </w:r>
            <w:r w:rsidR="007B123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đánh giá tại chỗ nhằm </w:t>
            </w:r>
            <w:r w:rsidR="007B123E"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xác nhận xem quá trình thực hiện các hành động cần thiết </w:t>
            </w:r>
            <w:r w:rsidR="007B123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theo yêu cầu </w:t>
            </w:r>
            <w:r w:rsidR="007B123E"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đã </w:t>
            </w:r>
            <w:r w:rsidR="007B123E">
              <w:rPr>
                <w:rFonts w:ascii="Calibri" w:hAnsi="Calibri" w:cs="Calibri"/>
                <w:color w:val="333333"/>
                <w:sz w:val="21"/>
                <w:szCs w:val="21"/>
              </w:rPr>
              <w:t>và đang diễn ra hay chưa</w:t>
            </w:r>
            <w:r w:rsidR="007B123E"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. FATF sẽ tiếp tục theo dõi tình hình và sẽ </w:t>
            </w:r>
            <w:r w:rsidR="007B123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thực hiện đánh giá </w:t>
            </w:r>
            <w:r w:rsidR="007B123E" w:rsidRPr="00B97BC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tại chỗ vào </w:t>
            </w:r>
            <w:r w:rsidR="007B123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thời gian </w:t>
            </w:r>
            <w:r w:rsidR="007B123E" w:rsidRPr="00B97BC4">
              <w:rPr>
                <w:rFonts w:ascii="Calibri" w:hAnsi="Calibri" w:cs="Calibri"/>
                <w:color w:val="333333"/>
                <w:sz w:val="21"/>
                <w:szCs w:val="21"/>
              </w:rPr>
              <w:t>sớm nhất có thể.</w:t>
            </w:r>
          </w:p>
        </w:tc>
      </w:tr>
      <w:tr w:rsidR="00001A62" w:rsidTr="004E136C">
        <w:tc>
          <w:tcPr>
            <w:tcW w:w="3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001A62">
            <w:pPr>
              <w:pStyle w:val="Heading2"/>
              <w:spacing w:before="0"/>
              <w:rPr>
                <w:rFonts w:ascii="inherit" w:hAnsi="inherit" w:cs="Calibri"/>
                <w:color w:val="333333"/>
                <w:sz w:val="40"/>
                <w:szCs w:val="40"/>
              </w:rPr>
            </w:pPr>
            <w:bookmarkStart w:id="18" w:name="zimbabwe"/>
            <w:bookmarkEnd w:id="18"/>
            <w:r>
              <w:rPr>
                <w:rFonts w:ascii="inherit" w:hAnsi="inherit" w:cs="Calibri"/>
                <w:b/>
                <w:bCs/>
                <w:color w:val="333333"/>
                <w:sz w:val="40"/>
                <w:szCs w:val="40"/>
              </w:rPr>
              <w:lastRenderedPageBreak/>
              <w:t>Zimbabwe</w:t>
            </w:r>
          </w:p>
        </w:tc>
        <w:tc>
          <w:tcPr>
            <w:tcW w:w="136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C64" w:rsidRDefault="00405C64" w:rsidP="00405C64">
            <w:pPr>
              <w:pStyle w:val="para"/>
              <w:spacing w:before="0" w:beforeAutospacing="0" w:after="150" w:afterAutospacing="0"/>
              <w:jc w:val="both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Kể từ tháng 10 năm 2019, khi Zimbabwe đưa ra cam kết chính trị cấp cao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để hợp tác với FATF và ESAAMLG nhằm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tăng cường hiệu quả của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chế AML / CFT và giải quyết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>những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thiếu sót kỹ thuật liên quan, Zimbabwe đã thực hiện các bước ban đầu để cải thiện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chế AML / CFT của mình, bao gồm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thiết lập một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khuôn khổ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pháp lý để thu thập thông tin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chủ sở hữu hưởng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>lợi của pháp nhân và các thỏa thuận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pháp lý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. Zimbabwe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cần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tiếp tục thực hiện kế hoạch hành động của mình, bao gồm: (1) nâng cao hiểu biết về các rủi ro ML / TF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cho các đối tượng có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liên quan và thực hiện chính sách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quốc gia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AML / CFT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trên cơ sở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rủi ro đã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được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xác định; (2) thực hiện giám sát trên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sở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rủi ro đối với các FI và DNFBP bao gồm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tăng cường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năng lực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cho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>các cơ quan giám sát; (3) đảm bảo xây dựng các biện pháp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đầy đủ nhằm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giảm thiểu rủi ro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trong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FI và DNFBP, bao gồm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việc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áp dụng các biện pháp trừng phạt tương xứng và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mang tính răn đe đối với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vi phạm; (4) xây dựng khung pháp lý và cơ chế toàn diện để thu thập và duy trì thông tin chính xác và cập nhật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về chủ sở hữu hưởng lợi của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>các pháp nhân và thỏa thuận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pháp lý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, và đảm bảo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các cơ quan có thẩm quyền được tiếp cận một cách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kịp thời; và (5) giải quyết các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thiếu hụt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>còn lại tron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g khuôn khổ pháp lý về TF và </w:t>
            </w:r>
            <w:r w:rsidR="00581E40">
              <w:rPr>
                <w:rFonts w:ascii="Calibri" w:hAnsi="Calibri" w:cs="Calibri"/>
                <w:color w:val="333333"/>
                <w:sz w:val="21"/>
                <w:szCs w:val="21"/>
              </w:rPr>
              <w:t>trừng phạt tài chính mục tiêu</w:t>
            </w:r>
            <w:r w:rsidR="00581E40"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liên quan đến TF và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>chứng minh hiệu quả thực thi.</w:t>
            </w:r>
          </w:p>
          <w:p w:rsidR="00001A62" w:rsidRDefault="00001A62" w:rsidP="004E136C">
            <w:pPr>
              <w:pStyle w:val="para"/>
              <w:spacing w:before="0" w:beforeAutospacing="0" w:after="150" w:afterAutospacing="0"/>
              <w:jc w:val="both"/>
              <w:rPr>
                <w:rFonts w:ascii="Calibri" w:hAnsi="Calibri" w:cs="Calibri"/>
                <w:color w:val="333333"/>
                <w:sz w:val="21"/>
                <w:szCs w:val="21"/>
              </w:rPr>
            </w:pPr>
          </w:p>
        </w:tc>
      </w:tr>
      <w:tr w:rsidR="00001A62" w:rsidTr="004E136C">
        <w:tc>
          <w:tcPr>
            <w:tcW w:w="171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405C64" w:rsidP="004E136C">
            <w:pPr>
              <w:pStyle w:val="Heading2"/>
              <w:spacing w:before="0"/>
              <w:jc w:val="both"/>
              <w:rPr>
                <w:rFonts w:ascii="inherit" w:hAnsi="inherit" w:cs="Calibri"/>
                <w:color w:val="333333"/>
                <w:sz w:val="40"/>
                <w:szCs w:val="40"/>
              </w:rPr>
            </w:pPr>
            <w:r w:rsidRPr="00405C64">
              <w:rPr>
                <w:rStyle w:val="Emphasis"/>
                <w:rFonts w:ascii="inherit" w:hAnsi="inherit" w:cs="Calibri"/>
                <w:color w:val="333333"/>
                <w:sz w:val="40"/>
                <w:szCs w:val="40"/>
              </w:rPr>
              <w:t xml:space="preserve">Các </w:t>
            </w:r>
            <w:r>
              <w:rPr>
                <w:rStyle w:val="Emphasis"/>
                <w:rFonts w:ascii="inherit" w:hAnsi="inherit" w:cs="Calibri"/>
                <w:color w:val="333333"/>
                <w:sz w:val="40"/>
                <w:szCs w:val="40"/>
              </w:rPr>
              <w:t xml:space="preserve">quốc gia </w:t>
            </w:r>
            <w:r w:rsidRPr="00405C64">
              <w:rPr>
                <w:rStyle w:val="Emphasis"/>
                <w:rFonts w:ascii="inherit" w:hAnsi="inherit" w:cs="Calibri"/>
                <w:color w:val="333333"/>
                <w:sz w:val="40"/>
                <w:szCs w:val="40"/>
              </w:rPr>
              <w:t xml:space="preserve">không còn chịu sự giám sát tăng </w:t>
            </w:r>
            <w:r>
              <w:rPr>
                <w:rStyle w:val="Emphasis"/>
                <w:rFonts w:ascii="inherit" w:hAnsi="inherit" w:cs="Calibri"/>
                <w:color w:val="333333"/>
                <w:sz w:val="40"/>
                <w:szCs w:val="40"/>
              </w:rPr>
              <w:t xml:space="preserve">cường </w:t>
            </w:r>
            <w:r w:rsidRPr="00405C64">
              <w:rPr>
                <w:rStyle w:val="Emphasis"/>
                <w:rFonts w:ascii="inherit" w:hAnsi="inherit" w:cs="Calibri"/>
                <w:color w:val="333333"/>
                <w:sz w:val="40"/>
                <w:szCs w:val="40"/>
              </w:rPr>
              <w:t>của FATF</w:t>
            </w:r>
          </w:p>
          <w:p w:rsidR="00001A62" w:rsidRDefault="00001A62" w:rsidP="004E136C">
            <w:pPr>
              <w:pStyle w:val="para"/>
              <w:spacing w:before="0" w:beforeAutospacing="0" w:after="150" w:afterAutospacing="0"/>
              <w:jc w:val="both"/>
              <w:rPr>
                <w:rFonts w:ascii="Calibri" w:hAnsi="Calibri" w:cs="Calibri"/>
                <w:color w:val="333333"/>
                <w:sz w:val="21"/>
                <w:szCs w:val="21"/>
              </w:rPr>
            </w:pPr>
            <w:r>
              <w:rPr>
                <w:rFonts w:ascii="Calibri" w:hAnsi="Calibri" w:cs="Calibri"/>
                <w:color w:val="333333"/>
                <w:sz w:val="21"/>
                <w:szCs w:val="21"/>
              </w:rPr>
              <w:t> </w:t>
            </w:r>
          </w:p>
        </w:tc>
      </w:tr>
      <w:tr w:rsidR="00001A62" w:rsidTr="004E136C">
        <w:tc>
          <w:tcPr>
            <w:tcW w:w="34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01A62" w:rsidRDefault="00405C64">
            <w:pPr>
              <w:pStyle w:val="Heading2"/>
              <w:spacing w:before="0"/>
              <w:rPr>
                <w:rFonts w:ascii="inherit" w:hAnsi="inherit" w:cs="Calibri"/>
                <w:color w:val="333333"/>
                <w:sz w:val="40"/>
                <w:szCs w:val="40"/>
              </w:rPr>
            </w:pPr>
            <w:bookmarkStart w:id="19" w:name="trinidadandtobago"/>
            <w:bookmarkEnd w:id="19"/>
            <w:r>
              <w:rPr>
                <w:rStyle w:val="Strong"/>
                <w:rFonts w:ascii="inherit" w:hAnsi="inherit" w:cs="Calibri"/>
                <w:b w:val="0"/>
                <w:bCs w:val="0"/>
                <w:color w:val="333333"/>
                <w:sz w:val="40"/>
                <w:szCs w:val="40"/>
              </w:rPr>
              <w:t xml:space="preserve">Trinidad và </w:t>
            </w:r>
            <w:r w:rsidR="00001A62">
              <w:rPr>
                <w:rStyle w:val="Strong"/>
                <w:rFonts w:ascii="inherit" w:hAnsi="inherit" w:cs="Calibri"/>
                <w:b w:val="0"/>
                <w:bCs w:val="0"/>
                <w:color w:val="333333"/>
                <w:sz w:val="40"/>
                <w:szCs w:val="40"/>
              </w:rPr>
              <w:t xml:space="preserve"> Tobago</w:t>
            </w:r>
          </w:p>
        </w:tc>
        <w:tc>
          <w:tcPr>
            <w:tcW w:w="136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5C64" w:rsidRDefault="00405C64" w:rsidP="00405C64">
            <w:pPr>
              <w:pStyle w:val="NormalWeb"/>
              <w:spacing w:before="0" w:beforeAutospacing="0" w:after="150" w:afterAutospacing="0"/>
              <w:jc w:val="both"/>
              <w:rPr>
                <w:rFonts w:ascii="Calibri" w:hAnsi="Calibri" w:cs="Calibri"/>
                <w:color w:val="333333"/>
                <w:sz w:val="21"/>
                <w:szCs w:val="21"/>
              </w:rPr>
            </w:pP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FATF hoan nghênh tiến bộ đáng kể của Trinidad và Tobago trong việc cải thiện </w:t>
            </w:r>
            <w:r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chế AML / CFT của mình và </w:t>
            </w:r>
            <w:r w:rsidR="00D65BE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ghi nhận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Trinidad và Tobago đã </w:t>
            </w:r>
            <w:r w:rsidR="00D65BE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nâng cao tính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>hiệu quả của</w:t>
            </w:r>
            <w:r w:rsidR="00D65BE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cơ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chế AML</w:t>
            </w:r>
            <w:r w:rsidR="00D65BE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/ CFT và giải quyết các thiếu hụt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kỹ thuật liên quan </w:t>
            </w:r>
            <w:r w:rsidR="00D65BE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nhằm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đáp ứng các cam kết trong kế hoạch hành động </w:t>
            </w:r>
            <w:r w:rsidR="00581E40">
              <w:rPr>
                <w:rFonts w:ascii="Calibri" w:hAnsi="Calibri" w:cs="Calibri"/>
                <w:color w:val="333333"/>
                <w:sz w:val="21"/>
                <w:szCs w:val="21"/>
              </w:rPr>
              <w:t>đối với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 các thiếu </w:t>
            </w:r>
            <w:r w:rsidR="00D65BE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hụt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chiến lược </w:t>
            </w:r>
            <w:r w:rsidR="00581E40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được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FATF xác định vào tháng 11 năm 2017. Do đó Trinidad và Tobago không còn phải tuân theo quy trình giám sát tăng </w:t>
            </w:r>
            <w:r w:rsidR="00D65BE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cường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của FATF. Trinidad và Tobago sẽ tiếp tục hợp tác với CFATF để cải thiện hơn nữa </w:t>
            </w:r>
            <w:r w:rsidR="00D65BEE">
              <w:rPr>
                <w:rFonts w:ascii="Calibri" w:hAnsi="Calibri" w:cs="Calibri"/>
                <w:color w:val="333333"/>
                <w:sz w:val="21"/>
                <w:szCs w:val="21"/>
              </w:rPr>
              <w:t xml:space="preserve">cơ </w:t>
            </w:r>
            <w:r w:rsidRPr="00405C64">
              <w:rPr>
                <w:rFonts w:ascii="Calibri" w:hAnsi="Calibri" w:cs="Calibri"/>
                <w:color w:val="333333"/>
                <w:sz w:val="21"/>
                <w:szCs w:val="21"/>
              </w:rPr>
              <w:t>chế AML / CFT của mình.</w:t>
            </w:r>
          </w:p>
          <w:p w:rsidR="00001A62" w:rsidRDefault="00001A62" w:rsidP="00405C64">
            <w:pPr>
              <w:pStyle w:val="NormalWeb"/>
              <w:spacing w:before="0" w:beforeAutospacing="0" w:after="150" w:afterAutospacing="0"/>
              <w:jc w:val="both"/>
              <w:rPr>
                <w:rFonts w:ascii="Calibri" w:hAnsi="Calibri" w:cs="Calibri"/>
                <w:color w:val="333333"/>
                <w:sz w:val="21"/>
                <w:szCs w:val="21"/>
              </w:rPr>
            </w:pPr>
          </w:p>
        </w:tc>
      </w:tr>
    </w:tbl>
    <w:p w:rsidR="00001A62" w:rsidRDefault="00001A62" w:rsidP="00001A62">
      <w:pPr>
        <w:pStyle w:val="NormalWeb"/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  <w:sz w:val="21"/>
          <w:szCs w:val="21"/>
        </w:rPr>
      </w:pPr>
      <w:r>
        <w:rPr>
          <w:rFonts w:ascii="Calibri" w:hAnsi="Calibri" w:cs="Calibri"/>
          <w:color w:val="333333"/>
          <w:sz w:val="21"/>
          <w:szCs w:val="21"/>
        </w:rPr>
        <w:t> </w:t>
      </w:r>
    </w:p>
    <w:p w:rsidR="003978FC" w:rsidRDefault="00001A62" w:rsidP="00001A62">
      <w:pPr>
        <w:pStyle w:val="NormalWeb"/>
        <w:shd w:val="clear" w:color="auto" w:fill="FFFFFF"/>
        <w:spacing w:before="0" w:beforeAutospacing="0" w:after="150" w:afterAutospacing="0"/>
      </w:pPr>
      <w:r>
        <w:rPr>
          <w:rFonts w:ascii="Calibri" w:hAnsi="Calibri" w:cs="Calibri"/>
          <w:color w:val="333333"/>
          <w:sz w:val="21"/>
          <w:szCs w:val="21"/>
        </w:rPr>
        <w:t xml:space="preserve"> * </w:t>
      </w:r>
      <w:r w:rsidR="00D65BEE" w:rsidRPr="00D65BEE">
        <w:rPr>
          <w:rFonts w:ascii="Calibri" w:hAnsi="Calibri" w:cs="Calibri"/>
          <w:color w:val="333333"/>
          <w:sz w:val="21"/>
          <w:szCs w:val="21"/>
        </w:rPr>
        <w:t xml:space="preserve">Tuyên bố này trước đây được gọi là "Cải thiện </w:t>
      </w:r>
      <w:r w:rsidR="00D65BEE">
        <w:rPr>
          <w:rFonts w:ascii="Calibri" w:hAnsi="Calibri" w:cs="Calibri"/>
          <w:color w:val="333333"/>
          <w:sz w:val="21"/>
          <w:szCs w:val="21"/>
        </w:rPr>
        <w:t xml:space="preserve">tính </w:t>
      </w:r>
      <w:r w:rsidR="00D65BEE" w:rsidRPr="00D65BEE">
        <w:rPr>
          <w:rFonts w:ascii="Calibri" w:hAnsi="Calibri" w:cs="Calibri"/>
          <w:color w:val="333333"/>
          <w:sz w:val="21"/>
          <w:szCs w:val="21"/>
        </w:rPr>
        <w:t xml:space="preserve">tuân thủ </w:t>
      </w:r>
      <w:r w:rsidR="00D65BEE">
        <w:rPr>
          <w:rFonts w:ascii="Calibri" w:hAnsi="Calibri" w:cs="Calibri"/>
          <w:color w:val="333333"/>
          <w:sz w:val="21"/>
          <w:szCs w:val="21"/>
        </w:rPr>
        <w:t xml:space="preserve">về </w:t>
      </w:r>
      <w:r w:rsidR="00D65BEE" w:rsidRPr="00D65BEE">
        <w:rPr>
          <w:rFonts w:ascii="Calibri" w:hAnsi="Calibri" w:cs="Calibri"/>
          <w:color w:val="333333"/>
          <w:sz w:val="21"/>
          <w:szCs w:val="21"/>
        </w:rPr>
        <w:t xml:space="preserve">AML / CFT toàn cầu: </w:t>
      </w:r>
      <w:r w:rsidR="00D65BEE">
        <w:rPr>
          <w:rFonts w:ascii="Calibri" w:hAnsi="Calibri" w:cs="Calibri"/>
          <w:color w:val="333333"/>
          <w:sz w:val="21"/>
          <w:szCs w:val="21"/>
        </w:rPr>
        <w:t>Giám sát liên tục</w:t>
      </w:r>
      <w:r>
        <w:rPr>
          <w:rFonts w:ascii="Calibri" w:hAnsi="Calibri" w:cs="Calibri"/>
          <w:color w:val="333333"/>
          <w:sz w:val="21"/>
          <w:szCs w:val="21"/>
        </w:rPr>
        <w:t>".</w:t>
      </w:r>
    </w:p>
    <w:sectPr w:rsidR="003978FC" w:rsidSect="003167E8">
      <w:pgSz w:w="11907" w:h="16840" w:code="9"/>
      <w:pgMar w:top="1276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hideSpellingErrors/>
  <w:hideGrammaticalErrors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0E6"/>
    <w:rsid w:val="00001A62"/>
    <w:rsid w:val="0001105E"/>
    <w:rsid w:val="000779B5"/>
    <w:rsid w:val="000C315E"/>
    <w:rsid w:val="000D4CAE"/>
    <w:rsid w:val="001123F5"/>
    <w:rsid w:val="00211FC9"/>
    <w:rsid w:val="0022598A"/>
    <w:rsid w:val="00295664"/>
    <w:rsid w:val="002E1799"/>
    <w:rsid w:val="003167E8"/>
    <w:rsid w:val="00326899"/>
    <w:rsid w:val="003318BD"/>
    <w:rsid w:val="00361452"/>
    <w:rsid w:val="003622F1"/>
    <w:rsid w:val="003978FC"/>
    <w:rsid w:val="003E5D79"/>
    <w:rsid w:val="00405C64"/>
    <w:rsid w:val="00407760"/>
    <w:rsid w:val="004E136C"/>
    <w:rsid w:val="004E5F93"/>
    <w:rsid w:val="00500371"/>
    <w:rsid w:val="005007AE"/>
    <w:rsid w:val="005070E6"/>
    <w:rsid w:val="00525D5F"/>
    <w:rsid w:val="00530EAF"/>
    <w:rsid w:val="00536FE0"/>
    <w:rsid w:val="00542BB8"/>
    <w:rsid w:val="00552DA9"/>
    <w:rsid w:val="0057086F"/>
    <w:rsid w:val="00581E40"/>
    <w:rsid w:val="005D6993"/>
    <w:rsid w:val="00666AF1"/>
    <w:rsid w:val="0069554B"/>
    <w:rsid w:val="006B2F29"/>
    <w:rsid w:val="00714021"/>
    <w:rsid w:val="00742D62"/>
    <w:rsid w:val="0075205B"/>
    <w:rsid w:val="007902E6"/>
    <w:rsid w:val="007B123E"/>
    <w:rsid w:val="007F6375"/>
    <w:rsid w:val="00877DBD"/>
    <w:rsid w:val="008E7E96"/>
    <w:rsid w:val="0090764E"/>
    <w:rsid w:val="00912CA7"/>
    <w:rsid w:val="009B3B71"/>
    <w:rsid w:val="009E03E6"/>
    <w:rsid w:val="00A41117"/>
    <w:rsid w:val="00A56278"/>
    <w:rsid w:val="00AA04AA"/>
    <w:rsid w:val="00AE1977"/>
    <w:rsid w:val="00AF65EC"/>
    <w:rsid w:val="00B63FA3"/>
    <w:rsid w:val="00B70360"/>
    <w:rsid w:val="00B97BC4"/>
    <w:rsid w:val="00BA2325"/>
    <w:rsid w:val="00C4357F"/>
    <w:rsid w:val="00C87E6F"/>
    <w:rsid w:val="00CB28C5"/>
    <w:rsid w:val="00CD7691"/>
    <w:rsid w:val="00D2109A"/>
    <w:rsid w:val="00D65BEE"/>
    <w:rsid w:val="00D965C8"/>
    <w:rsid w:val="00DA4022"/>
    <w:rsid w:val="00DC050E"/>
    <w:rsid w:val="00DC4F35"/>
    <w:rsid w:val="00DD7568"/>
    <w:rsid w:val="00DE63A9"/>
    <w:rsid w:val="00E12015"/>
    <w:rsid w:val="00E55096"/>
    <w:rsid w:val="00E9251C"/>
    <w:rsid w:val="00EB71A1"/>
    <w:rsid w:val="00EC746D"/>
    <w:rsid w:val="00ED1149"/>
    <w:rsid w:val="00F61F93"/>
    <w:rsid w:val="00F66508"/>
    <w:rsid w:val="00F7143B"/>
    <w:rsid w:val="00F81C26"/>
    <w:rsid w:val="00F9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D3B892-07C6-44B9-875C-B8447339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70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8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0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070E6"/>
    <w:rPr>
      <w:color w:val="0000FF"/>
      <w:u w:val="single"/>
    </w:rPr>
  </w:style>
  <w:style w:type="paragraph" w:customStyle="1" w:styleId="para0">
    <w:name w:val="para0"/>
    <w:basedOn w:val="Normal"/>
    <w:rsid w:val="0050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07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070E6"/>
    <w:rPr>
      <w:b/>
      <w:bCs/>
    </w:rPr>
  </w:style>
  <w:style w:type="character" w:customStyle="1" w:styleId="tlid-translation">
    <w:name w:val="tlid-translation"/>
    <w:basedOn w:val="DefaultParagraphFont"/>
    <w:rsid w:val="00E12015"/>
  </w:style>
  <w:style w:type="character" w:customStyle="1" w:styleId="Heading2Char">
    <w:name w:val="Heading 2 Char"/>
    <w:basedOn w:val="DefaultParagraphFont"/>
    <w:link w:val="Heading2"/>
    <w:uiPriority w:val="9"/>
    <w:semiHidden/>
    <w:rsid w:val="003318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ara">
    <w:name w:val="para"/>
    <w:basedOn w:val="Normal"/>
    <w:rsid w:val="00001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01A6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1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9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3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43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3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3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3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5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3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5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6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4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tf-gafi.org/publications/high-risk-and-other-monitored-jurisdictions/documents/increased-monitoring-february-2020.html" TargetMode="External"/><Relationship Id="rId13" Type="http://schemas.openxmlformats.org/officeDocument/2006/relationships/hyperlink" Target="http://www.fatf-gafi.org/publications/high-risk-and-other-monitored-jurisdictions/documents/increased-monitoring-february-2020.html" TargetMode="External"/><Relationship Id="rId18" Type="http://schemas.openxmlformats.org/officeDocument/2006/relationships/hyperlink" Target="http://www.fatf-gafi.org/publications/high-risk-and-other-monitored-jurisdictions/documents/increased-monitoring-february-2020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fatf-gafi.org/publications/high-risk-and-other-monitored-jurisdictions/documents/increased-monitoring-february-2020.html" TargetMode="External"/><Relationship Id="rId7" Type="http://schemas.openxmlformats.org/officeDocument/2006/relationships/hyperlink" Target="http://www.fatf-gafi.org/publications/high-risk-and-other-monitored-jurisdictions/documents/increased-monitoring-february-2020.html" TargetMode="External"/><Relationship Id="rId12" Type="http://schemas.openxmlformats.org/officeDocument/2006/relationships/hyperlink" Target="http://www.fatf-gafi.org/publications/high-risk-and-other-monitored-jurisdictions/documents/increased-monitoring-february-2020.html" TargetMode="External"/><Relationship Id="rId17" Type="http://schemas.openxmlformats.org/officeDocument/2006/relationships/hyperlink" Target="http://www.fatf-gafi.org/publications/high-risk-and-other-monitored-jurisdictions/documents/increased-monitoring-february-2020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fatf-gafi.org/publications/high-risk-and-other-monitored-jurisdictions/documents/increased-monitoring-february-2020.html" TargetMode="External"/><Relationship Id="rId20" Type="http://schemas.openxmlformats.org/officeDocument/2006/relationships/hyperlink" Target="http://www.fatf-gafi.org/publications/high-risk-and-other-monitored-jurisdictions/documents/increased-monitoring-february-2020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atf-gafi.org/publications/high-risk-and-other-monitored-jurisdictions/documents/increased-monitoring-february-2020.html" TargetMode="External"/><Relationship Id="rId11" Type="http://schemas.openxmlformats.org/officeDocument/2006/relationships/hyperlink" Target="http://www.fatf-gafi.org/publications/high-risk-and-other-monitored-jurisdictions/documents/increased-monitoring-february-2020.html" TargetMode="External"/><Relationship Id="rId5" Type="http://schemas.openxmlformats.org/officeDocument/2006/relationships/hyperlink" Target="http://www.fatf-gafi.org/publications/high-risk-and-other-monitored-jurisdictions/documents/increased-monitoring-february-2020.html" TargetMode="External"/><Relationship Id="rId15" Type="http://schemas.openxmlformats.org/officeDocument/2006/relationships/hyperlink" Target="http://www.fatf-gafi.org/publications/high-risk-and-other-monitored-jurisdictions/documents/increased-monitoring-february-2020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atf-gafi.org/publications/high-risk-and-other-monitored-jurisdictions/documents/increased-monitoring-february-2020.html" TargetMode="External"/><Relationship Id="rId19" Type="http://schemas.openxmlformats.org/officeDocument/2006/relationships/hyperlink" Target="http://www.fatf-gafi.org/publications/high-risk-and-other-monitored-jurisdictions/documents/increased-monitoring-february-2020.html" TargetMode="External"/><Relationship Id="rId4" Type="http://schemas.openxmlformats.org/officeDocument/2006/relationships/hyperlink" Target="http://www.fatf-gafi.org/publications/high-risk-and-other-monitored-jurisdictions/documents/increased-monitoring-february-2020.html" TargetMode="External"/><Relationship Id="rId9" Type="http://schemas.openxmlformats.org/officeDocument/2006/relationships/hyperlink" Target="http://www.fatf-gafi.org/publications/high-risk-and-other-monitored-jurisdictions/documents/increased-monitoring-february-2020.html" TargetMode="External"/><Relationship Id="rId14" Type="http://schemas.openxmlformats.org/officeDocument/2006/relationships/hyperlink" Target="http://www.fatf-gafi.org/publications/high-risk-and-other-monitored-jurisdictions/documents/increased-monitoring-february-2020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4456</Words>
  <Characters>25404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Thi Diem (PCRT)</dc:creator>
  <cp:lastModifiedBy>Nguyen Quang Hung (CQTTGSNH)</cp:lastModifiedBy>
  <cp:revision>3</cp:revision>
  <dcterms:created xsi:type="dcterms:W3CDTF">2020-04-21T04:20:00Z</dcterms:created>
  <dcterms:modified xsi:type="dcterms:W3CDTF">2020-04-23T03:59:00Z</dcterms:modified>
</cp:coreProperties>
</file>