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D17" w:rsidRPr="002057EE" w:rsidRDefault="00200D17" w:rsidP="002057EE">
      <w:pPr>
        <w:pStyle w:val="NormalWeb"/>
        <w:shd w:val="clear" w:color="auto" w:fill="FFFFFF"/>
        <w:spacing w:before="0" w:beforeAutospacing="0" w:after="60" w:afterAutospacing="0"/>
        <w:jc w:val="both"/>
        <w:rPr>
          <w:rFonts w:ascii="Arial" w:hAnsi="Arial" w:cs="Arial"/>
          <w:sz w:val="20"/>
          <w:szCs w:val="20"/>
        </w:rPr>
      </w:pPr>
      <w:r w:rsidRPr="002057EE">
        <w:rPr>
          <w:rFonts w:ascii="Arial" w:hAnsi="Arial" w:cs="Arial"/>
          <w:sz w:val="20"/>
          <w:szCs w:val="20"/>
        </w:rPr>
        <w:t>T</w:t>
      </w:r>
      <w:r w:rsidR="00053AFE" w:rsidRPr="002057EE">
        <w:rPr>
          <w:rFonts w:ascii="Arial" w:hAnsi="Arial" w:cs="Arial"/>
          <w:sz w:val="20"/>
          <w:szCs w:val="20"/>
        </w:rPr>
        <w:t>heo ghi nhận của Hãng tin Reuters</w:t>
      </w:r>
      <w:r w:rsidRPr="002057EE">
        <w:rPr>
          <w:rFonts w:ascii="Arial" w:hAnsi="Arial" w:cs="Arial"/>
          <w:sz w:val="20"/>
          <w:szCs w:val="20"/>
        </w:rPr>
        <w:t xml:space="preserve">, chỉ số MSCI toàn cầu đóng cửa ở mức 514,53 điểm, tăng 22% so với năm trước. Bất chấp những yếu tố tiêu cực như tiền ảo </w:t>
      </w:r>
      <w:r w:rsidR="00E208A8" w:rsidRPr="002057EE">
        <w:rPr>
          <w:rFonts w:ascii="Arial" w:hAnsi="Arial" w:cs="Arial"/>
          <w:sz w:val="20"/>
          <w:szCs w:val="20"/>
        </w:rPr>
        <w:t>B</w:t>
      </w:r>
      <w:r w:rsidRPr="002057EE">
        <w:rPr>
          <w:rFonts w:ascii="Arial" w:hAnsi="Arial" w:cs="Arial"/>
          <w:sz w:val="20"/>
          <w:szCs w:val="20"/>
        </w:rPr>
        <w:t xml:space="preserve">itcoin </w:t>
      </w:r>
      <w:r w:rsidR="00A83B1C" w:rsidRPr="002057EE">
        <w:rPr>
          <w:rFonts w:ascii="Arial" w:hAnsi="Arial" w:cs="Arial"/>
          <w:sz w:val="20"/>
          <w:szCs w:val="20"/>
        </w:rPr>
        <w:t xml:space="preserve">đạt </w:t>
      </w:r>
      <w:r w:rsidRPr="002057EE">
        <w:rPr>
          <w:rFonts w:ascii="Arial" w:hAnsi="Arial" w:cs="Arial"/>
          <w:sz w:val="20"/>
          <w:szCs w:val="20"/>
        </w:rPr>
        <w:t>mức giá kỷ lục trong gần 14 năm qua, căng thẳng leo thang tại bán đảo Triều Tiên, rố</w:t>
      </w:r>
      <w:r w:rsidR="00A83B1C" w:rsidRPr="002057EE">
        <w:rPr>
          <w:rFonts w:ascii="Arial" w:hAnsi="Arial" w:cs="Arial"/>
          <w:sz w:val="20"/>
          <w:szCs w:val="20"/>
        </w:rPr>
        <w:t>i loạn</w:t>
      </w:r>
      <w:r w:rsidR="00EF32FF" w:rsidRPr="002057EE">
        <w:rPr>
          <w:rFonts w:ascii="Arial" w:hAnsi="Arial" w:cs="Arial"/>
          <w:sz w:val="20"/>
          <w:szCs w:val="20"/>
        </w:rPr>
        <w:t xml:space="preserve"> chính trị tại châu Âu bắt nguồn từ</w:t>
      </w:r>
      <w:r w:rsidRPr="002057EE">
        <w:rPr>
          <w:rFonts w:ascii="Arial" w:hAnsi="Arial" w:cs="Arial"/>
          <w:sz w:val="20"/>
          <w:szCs w:val="20"/>
        </w:rPr>
        <w:t xml:space="preserve"> làn sóng ly khai tại Catalonie và CH</w:t>
      </w:r>
      <w:r w:rsidR="00E208A8" w:rsidRPr="002057EE">
        <w:rPr>
          <w:rFonts w:ascii="Arial" w:hAnsi="Arial" w:cs="Arial"/>
          <w:sz w:val="20"/>
          <w:szCs w:val="20"/>
        </w:rPr>
        <w:t>LB Đức vẫn chưa thành lập được C</w:t>
      </w:r>
      <w:r w:rsidRPr="002057EE">
        <w:rPr>
          <w:rFonts w:ascii="Arial" w:hAnsi="Arial" w:cs="Arial"/>
          <w:sz w:val="20"/>
          <w:szCs w:val="20"/>
        </w:rPr>
        <w:t>hính phủ mới sau bầu cử.</w:t>
      </w:r>
    </w:p>
    <w:p w:rsidR="000D6F04" w:rsidRPr="002057EE" w:rsidRDefault="000D6F04" w:rsidP="00EA2E5F">
      <w:pPr>
        <w:spacing w:after="60" w:line="240" w:lineRule="auto"/>
        <w:jc w:val="center"/>
        <w:rPr>
          <w:rFonts w:ascii="Arial" w:hAnsi="Arial" w:cs="Arial"/>
          <w:b/>
          <w:i/>
          <w:sz w:val="20"/>
          <w:szCs w:val="20"/>
        </w:rPr>
      </w:pPr>
      <w:r w:rsidRPr="002057EE">
        <w:rPr>
          <w:rFonts w:ascii="Arial" w:hAnsi="Arial" w:cs="Arial"/>
          <w:b/>
          <w:i/>
          <w:sz w:val="20"/>
          <w:szCs w:val="20"/>
        </w:rPr>
        <w:t>Chỉ số chứng khoán chủ chốt trên thế giới cuối năm 2017</w:t>
      </w:r>
    </w:p>
    <w:tbl>
      <w:tblPr>
        <w:tblStyle w:val="TableGrid"/>
        <w:tblW w:w="0" w:type="auto"/>
        <w:tblInd w:w="108" w:type="dxa"/>
        <w:tblLook w:val="04A0" w:firstRow="1" w:lastRow="0" w:firstColumn="1" w:lastColumn="0" w:noHBand="0" w:noVBand="1"/>
      </w:tblPr>
      <w:tblGrid>
        <w:gridCol w:w="3998"/>
        <w:gridCol w:w="2671"/>
        <w:gridCol w:w="2573"/>
      </w:tblGrid>
      <w:tr w:rsidR="000D6F04" w:rsidRPr="002057EE" w:rsidTr="009D6A7E">
        <w:tc>
          <w:tcPr>
            <w:tcW w:w="4050" w:type="dxa"/>
          </w:tcPr>
          <w:p w:rsidR="000D6F04" w:rsidRPr="002057EE" w:rsidRDefault="000D6F04" w:rsidP="002057EE">
            <w:pPr>
              <w:spacing w:after="60"/>
              <w:jc w:val="both"/>
              <w:rPr>
                <w:rFonts w:ascii="Arial" w:hAnsi="Arial" w:cs="Arial"/>
                <w:b/>
                <w:sz w:val="20"/>
                <w:szCs w:val="20"/>
              </w:rPr>
            </w:pPr>
            <w:r w:rsidRPr="002057EE">
              <w:rPr>
                <w:rFonts w:ascii="Arial" w:hAnsi="Arial" w:cs="Arial"/>
                <w:b/>
                <w:sz w:val="20"/>
                <w:szCs w:val="20"/>
              </w:rPr>
              <w:t>Chỉ số chứng khoán</w:t>
            </w:r>
          </w:p>
        </w:tc>
        <w:tc>
          <w:tcPr>
            <w:tcW w:w="2700" w:type="dxa"/>
          </w:tcPr>
          <w:p w:rsidR="000D6F04" w:rsidRPr="002057EE" w:rsidRDefault="000D6F04" w:rsidP="002057EE">
            <w:pPr>
              <w:spacing w:after="60"/>
              <w:jc w:val="center"/>
              <w:rPr>
                <w:rFonts w:ascii="Arial" w:hAnsi="Arial" w:cs="Arial"/>
                <w:b/>
                <w:sz w:val="20"/>
                <w:szCs w:val="20"/>
              </w:rPr>
            </w:pPr>
            <w:r w:rsidRPr="002057EE">
              <w:rPr>
                <w:rFonts w:ascii="Arial" w:hAnsi="Arial" w:cs="Arial"/>
                <w:b/>
                <w:sz w:val="20"/>
                <w:szCs w:val="20"/>
              </w:rPr>
              <w:t>Đóng cửa 2017</w:t>
            </w:r>
          </w:p>
        </w:tc>
        <w:tc>
          <w:tcPr>
            <w:tcW w:w="2610" w:type="dxa"/>
          </w:tcPr>
          <w:p w:rsidR="000D6F04" w:rsidRPr="002057EE" w:rsidRDefault="000D6F04" w:rsidP="002057EE">
            <w:pPr>
              <w:spacing w:after="60"/>
              <w:jc w:val="center"/>
              <w:rPr>
                <w:rFonts w:ascii="Arial" w:hAnsi="Arial" w:cs="Arial"/>
                <w:b/>
                <w:sz w:val="20"/>
                <w:szCs w:val="20"/>
              </w:rPr>
            </w:pPr>
            <w:r w:rsidRPr="002057EE">
              <w:rPr>
                <w:rFonts w:ascii="Arial" w:hAnsi="Arial" w:cs="Arial"/>
                <w:b/>
                <w:sz w:val="20"/>
                <w:szCs w:val="20"/>
              </w:rPr>
              <w:t>Tăng giảm so 2016 (%)</w:t>
            </w:r>
          </w:p>
        </w:tc>
      </w:tr>
      <w:tr w:rsidR="000D6F04" w:rsidRPr="002057EE" w:rsidTr="009D6A7E">
        <w:tc>
          <w:tcPr>
            <w:tcW w:w="4050" w:type="dxa"/>
          </w:tcPr>
          <w:p w:rsidR="000D6F04" w:rsidRPr="002057EE" w:rsidRDefault="000D6F04" w:rsidP="002057EE">
            <w:pPr>
              <w:jc w:val="both"/>
              <w:rPr>
                <w:rFonts w:ascii="Arial" w:hAnsi="Arial" w:cs="Arial"/>
                <w:sz w:val="20"/>
                <w:szCs w:val="20"/>
              </w:rPr>
            </w:pPr>
            <w:r w:rsidRPr="002057EE">
              <w:rPr>
                <w:rFonts w:ascii="Arial" w:hAnsi="Arial" w:cs="Arial"/>
                <w:sz w:val="20"/>
                <w:szCs w:val="20"/>
              </w:rPr>
              <w:t>MSCI toàn cầu</w:t>
            </w:r>
          </w:p>
        </w:tc>
        <w:tc>
          <w:tcPr>
            <w:tcW w:w="270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514,53</w:t>
            </w:r>
          </w:p>
        </w:tc>
        <w:tc>
          <w:tcPr>
            <w:tcW w:w="261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22,0</w:t>
            </w:r>
          </w:p>
        </w:tc>
      </w:tr>
      <w:tr w:rsidR="000D6F04" w:rsidRPr="002057EE" w:rsidTr="009D6A7E">
        <w:tc>
          <w:tcPr>
            <w:tcW w:w="4050" w:type="dxa"/>
          </w:tcPr>
          <w:p w:rsidR="000D6F04" w:rsidRPr="002057EE" w:rsidRDefault="000D6F04" w:rsidP="002057EE">
            <w:pPr>
              <w:jc w:val="both"/>
              <w:rPr>
                <w:rFonts w:ascii="Arial" w:hAnsi="Arial" w:cs="Arial"/>
                <w:sz w:val="20"/>
                <w:szCs w:val="20"/>
              </w:rPr>
            </w:pPr>
            <w:r w:rsidRPr="002057EE">
              <w:rPr>
                <w:rFonts w:ascii="Arial" w:hAnsi="Arial" w:cs="Arial"/>
                <w:sz w:val="20"/>
                <w:szCs w:val="20"/>
              </w:rPr>
              <w:t>Global Dow</w:t>
            </w:r>
          </w:p>
        </w:tc>
        <w:tc>
          <w:tcPr>
            <w:tcW w:w="270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3.085,41</w:t>
            </w:r>
          </w:p>
        </w:tc>
        <w:tc>
          <w:tcPr>
            <w:tcW w:w="261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22,15</w:t>
            </w:r>
          </w:p>
        </w:tc>
      </w:tr>
      <w:tr w:rsidR="000D6F04" w:rsidRPr="002057EE" w:rsidTr="009D6A7E">
        <w:tc>
          <w:tcPr>
            <w:tcW w:w="4050" w:type="dxa"/>
          </w:tcPr>
          <w:p w:rsidR="000D6F04" w:rsidRPr="002057EE" w:rsidRDefault="000D6F04" w:rsidP="002057EE">
            <w:pPr>
              <w:jc w:val="both"/>
              <w:rPr>
                <w:rFonts w:ascii="Arial" w:hAnsi="Arial" w:cs="Arial"/>
                <w:sz w:val="20"/>
                <w:szCs w:val="20"/>
              </w:rPr>
            </w:pPr>
            <w:r w:rsidRPr="002057EE">
              <w:rPr>
                <w:rFonts w:ascii="Arial" w:hAnsi="Arial" w:cs="Arial"/>
                <w:sz w:val="20"/>
                <w:szCs w:val="20"/>
              </w:rPr>
              <w:t>Dow Jones</w:t>
            </w:r>
          </w:p>
        </w:tc>
        <w:tc>
          <w:tcPr>
            <w:tcW w:w="270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24.719,22</w:t>
            </w:r>
          </w:p>
        </w:tc>
        <w:tc>
          <w:tcPr>
            <w:tcW w:w="261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25,08</w:t>
            </w:r>
          </w:p>
        </w:tc>
      </w:tr>
      <w:tr w:rsidR="000D6F04" w:rsidRPr="002057EE" w:rsidTr="009D6A7E">
        <w:tc>
          <w:tcPr>
            <w:tcW w:w="4050" w:type="dxa"/>
          </w:tcPr>
          <w:p w:rsidR="000D6F04" w:rsidRPr="002057EE" w:rsidRDefault="000D6F04" w:rsidP="002057EE">
            <w:pPr>
              <w:jc w:val="both"/>
              <w:rPr>
                <w:rFonts w:ascii="Arial" w:hAnsi="Arial" w:cs="Arial"/>
                <w:sz w:val="20"/>
                <w:szCs w:val="20"/>
              </w:rPr>
            </w:pPr>
            <w:r w:rsidRPr="002057EE">
              <w:rPr>
                <w:rFonts w:ascii="Arial" w:hAnsi="Arial" w:cs="Arial"/>
                <w:sz w:val="20"/>
                <w:szCs w:val="20"/>
              </w:rPr>
              <w:t>Nasdaq composite</w:t>
            </w:r>
          </w:p>
        </w:tc>
        <w:tc>
          <w:tcPr>
            <w:tcW w:w="270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6.903,39</w:t>
            </w:r>
          </w:p>
        </w:tc>
        <w:tc>
          <w:tcPr>
            <w:tcW w:w="261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28,24</w:t>
            </w:r>
          </w:p>
        </w:tc>
      </w:tr>
      <w:tr w:rsidR="000D6F04" w:rsidRPr="002057EE" w:rsidTr="009D6A7E">
        <w:tc>
          <w:tcPr>
            <w:tcW w:w="4050" w:type="dxa"/>
          </w:tcPr>
          <w:p w:rsidR="000D6F04" w:rsidRPr="002057EE" w:rsidRDefault="000D6F04" w:rsidP="002057EE">
            <w:pPr>
              <w:jc w:val="both"/>
              <w:rPr>
                <w:rFonts w:ascii="Arial" w:hAnsi="Arial" w:cs="Arial"/>
                <w:sz w:val="20"/>
                <w:szCs w:val="20"/>
              </w:rPr>
            </w:pPr>
            <w:r w:rsidRPr="002057EE">
              <w:rPr>
                <w:rFonts w:ascii="Arial" w:hAnsi="Arial" w:cs="Arial"/>
                <w:sz w:val="20"/>
                <w:szCs w:val="20"/>
              </w:rPr>
              <w:t>S&amp;P 500</w:t>
            </w:r>
          </w:p>
        </w:tc>
        <w:tc>
          <w:tcPr>
            <w:tcW w:w="270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2.673,61</w:t>
            </w:r>
          </w:p>
        </w:tc>
        <w:tc>
          <w:tcPr>
            <w:tcW w:w="261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18,42</w:t>
            </w:r>
          </w:p>
        </w:tc>
      </w:tr>
      <w:tr w:rsidR="000D6F04" w:rsidRPr="002057EE" w:rsidTr="009D6A7E">
        <w:tc>
          <w:tcPr>
            <w:tcW w:w="4050" w:type="dxa"/>
          </w:tcPr>
          <w:p w:rsidR="000D6F04" w:rsidRPr="002057EE" w:rsidRDefault="000D6F04" w:rsidP="002057EE">
            <w:pPr>
              <w:jc w:val="both"/>
              <w:rPr>
                <w:rFonts w:ascii="Arial" w:hAnsi="Arial" w:cs="Arial"/>
                <w:sz w:val="20"/>
                <w:szCs w:val="20"/>
              </w:rPr>
            </w:pPr>
            <w:r w:rsidRPr="002057EE">
              <w:rPr>
                <w:rFonts w:ascii="Arial" w:hAnsi="Arial" w:cs="Arial"/>
                <w:sz w:val="20"/>
                <w:szCs w:val="20"/>
              </w:rPr>
              <w:t>Russell 2000</w:t>
            </w:r>
          </w:p>
        </w:tc>
        <w:tc>
          <w:tcPr>
            <w:tcW w:w="270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1.535,51</w:t>
            </w:r>
          </w:p>
        </w:tc>
        <w:tc>
          <w:tcPr>
            <w:tcW w:w="261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13,14</w:t>
            </w:r>
          </w:p>
        </w:tc>
      </w:tr>
      <w:tr w:rsidR="000D6F04" w:rsidRPr="002057EE" w:rsidTr="009D6A7E">
        <w:tc>
          <w:tcPr>
            <w:tcW w:w="4050" w:type="dxa"/>
          </w:tcPr>
          <w:p w:rsidR="000D6F04" w:rsidRPr="002057EE" w:rsidRDefault="000D6F04" w:rsidP="002057EE">
            <w:pPr>
              <w:jc w:val="both"/>
              <w:rPr>
                <w:rFonts w:ascii="Arial" w:hAnsi="Arial" w:cs="Arial"/>
                <w:sz w:val="20"/>
                <w:szCs w:val="20"/>
              </w:rPr>
            </w:pPr>
            <w:r w:rsidRPr="002057EE">
              <w:rPr>
                <w:rFonts w:ascii="Arial" w:hAnsi="Arial" w:cs="Arial"/>
                <w:sz w:val="20"/>
                <w:szCs w:val="20"/>
              </w:rPr>
              <w:t>NYSE composite</w:t>
            </w:r>
          </w:p>
        </w:tc>
        <w:tc>
          <w:tcPr>
            <w:tcW w:w="270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12.808,84</w:t>
            </w:r>
          </w:p>
        </w:tc>
        <w:tc>
          <w:tcPr>
            <w:tcW w:w="261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15,84</w:t>
            </w:r>
          </w:p>
        </w:tc>
      </w:tr>
      <w:tr w:rsidR="000D6F04" w:rsidRPr="002057EE" w:rsidTr="009D6A7E">
        <w:tc>
          <w:tcPr>
            <w:tcW w:w="4050" w:type="dxa"/>
          </w:tcPr>
          <w:p w:rsidR="000D6F04" w:rsidRPr="002057EE" w:rsidRDefault="000D6F04" w:rsidP="002057EE">
            <w:pPr>
              <w:jc w:val="both"/>
              <w:rPr>
                <w:rFonts w:ascii="Arial" w:hAnsi="Arial" w:cs="Arial"/>
                <w:sz w:val="20"/>
                <w:szCs w:val="20"/>
              </w:rPr>
            </w:pPr>
            <w:r w:rsidRPr="002057EE">
              <w:rPr>
                <w:rFonts w:ascii="Arial" w:hAnsi="Arial" w:cs="Arial"/>
                <w:sz w:val="20"/>
                <w:szCs w:val="20"/>
              </w:rPr>
              <w:t>Canada S&amp;P/TSE composite</w:t>
            </w:r>
          </w:p>
        </w:tc>
        <w:tc>
          <w:tcPr>
            <w:tcW w:w="270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16.209,13</w:t>
            </w:r>
          </w:p>
        </w:tc>
        <w:tc>
          <w:tcPr>
            <w:tcW w:w="261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5,32</w:t>
            </w:r>
          </w:p>
        </w:tc>
      </w:tr>
      <w:tr w:rsidR="000D6F04" w:rsidRPr="002057EE" w:rsidTr="009D6A7E">
        <w:tc>
          <w:tcPr>
            <w:tcW w:w="4050" w:type="dxa"/>
          </w:tcPr>
          <w:p w:rsidR="000D6F04" w:rsidRPr="002057EE" w:rsidRDefault="000D6F04" w:rsidP="002057EE">
            <w:pPr>
              <w:jc w:val="both"/>
              <w:rPr>
                <w:rFonts w:ascii="Arial" w:hAnsi="Arial" w:cs="Arial"/>
                <w:sz w:val="20"/>
                <w:szCs w:val="20"/>
              </w:rPr>
            </w:pPr>
            <w:r w:rsidRPr="002057EE">
              <w:rPr>
                <w:rFonts w:ascii="Arial" w:hAnsi="Arial" w:cs="Arial"/>
                <w:sz w:val="20"/>
                <w:szCs w:val="20"/>
              </w:rPr>
              <w:t>Brazil Bovespa</w:t>
            </w:r>
          </w:p>
        </w:tc>
        <w:tc>
          <w:tcPr>
            <w:tcW w:w="270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76.402,08</w:t>
            </w:r>
          </w:p>
        </w:tc>
        <w:tc>
          <w:tcPr>
            <w:tcW w:w="261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24,23</w:t>
            </w:r>
          </w:p>
        </w:tc>
      </w:tr>
      <w:tr w:rsidR="000D6F04" w:rsidRPr="002057EE" w:rsidTr="009D6A7E">
        <w:tc>
          <w:tcPr>
            <w:tcW w:w="4050" w:type="dxa"/>
          </w:tcPr>
          <w:p w:rsidR="000D6F04" w:rsidRPr="002057EE" w:rsidRDefault="000D6F04" w:rsidP="002057EE">
            <w:pPr>
              <w:jc w:val="both"/>
              <w:rPr>
                <w:rFonts w:ascii="Arial" w:hAnsi="Arial" w:cs="Arial"/>
                <w:sz w:val="20"/>
                <w:szCs w:val="20"/>
              </w:rPr>
            </w:pPr>
            <w:r w:rsidRPr="002057EE">
              <w:rPr>
                <w:rFonts w:ascii="Arial" w:hAnsi="Arial" w:cs="Arial"/>
                <w:sz w:val="20"/>
                <w:szCs w:val="20"/>
              </w:rPr>
              <w:t>Merval Argentina</w:t>
            </w:r>
          </w:p>
        </w:tc>
        <w:tc>
          <w:tcPr>
            <w:tcW w:w="270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30.065,61</w:t>
            </w:r>
          </w:p>
        </w:tc>
        <w:tc>
          <w:tcPr>
            <w:tcW w:w="261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77,7</w:t>
            </w:r>
          </w:p>
        </w:tc>
      </w:tr>
      <w:tr w:rsidR="000D6F04" w:rsidRPr="002057EE" w:rsidTr="009D6A7E">
        <w:tc>
          <w:tcPr>
            <w:tcW w:w="4050" w:type="dxa"/>
          </w:tcPr>
          <w:p w:rsidR="000D6F04" w:rsidRPr="002057EE" w:rsidRDefault="000D6F04" w:rsidP="002057EE">
            <w:pPr>
              <w:jc w:val="both"/>
              <w:rPr>
                <w:rFonts w:ascii="Arial" w:hAnsi="Arial" w:cs="Arial"/>
                <w:sz w:val="20"/>
                <w:szCs w:val="20"/>
              </w:rPr>
            </w:pPr>
            <w:r w:rsidRPr="002057EE">
              <w:rPr>
                <w:rFonts w:ascii="Arial" w:hAnsi="Arial" w:cs="Arial"/>
                <w:sz w:val="20"/>
                <w:szCs w:val="20"/>
              </w:rPr>
              <w:t>Mêhicô: IPC All-share</w:t>
            </w:r>
          </w:p>
        </w:tc>
        <w:tc>
          <w:tcPr>
            <w:tcW w:w="270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49.354,42</w:t>
            </w:r>
          </w:p>
        </w:tc>
        <w:tc>
          <w:tcPr>
            <w:tcW w:w="261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8,01</w:t>
            </w:r>
          </w:p>
        </w:tc>
      </w:tr>
      <w:tr w:rsidR="000D6F04" w:rsidRPr="002057EE" w:rsidTr="009D6A7E">
        <w:tc>
          <w:tcPr>
            <w:tcW w:w="4050" w:type="dxa"/>
          </w:tcPr>
          <w:p w:rsidR="000D6F04" w:rsidRPr="002057EE" w:rsidRDefault="000D6F04" w:rsidP="002057EE">
            <w:pPr>
              <w:jc w:val="both"/>
              <w:rPr>
                <w:rFonts w:ascii="Arial" w:hAnsi="Arial" w:cs="Arial"/>
                <w:b/>
                <w:i/>
                <w:sz w:val="20"/>
                <w:szCs w:val="20"/>
              </w:rPr>
            </w:pPr>
            <w:r w:rsidRPr="002057EE">
              <w:rPr>
                <w:rFonts w:ascii="Arial" w:hAnsi="Arial" w:cs="Arial"/>
                <w:sz w:val="20"/>
                <w:szCs w:val="20"/>
              </w:rPr>
              <w:t>Venezuela IBC</w:t>
            </w:r>
          </w:p>
        </w:tc>
        <w:tc>
          <w:tcPr>
            <w:tcW w:w="270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1.262,8</w:t>
            </w:r>
          </w:p>
        </w:tc>
        <w:tc>
          <w:tcPr>
            <w:tcW w:w="261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-96,01</w:t>
            </w:r>
          </w:p>
        </w:tc>
      </w:tr>
      <w:tr w:rsidR="000D6F04" w:rsidRPr="002057EE" w:rsidTr="009D6A7E">
        <w:tc>
          <w:tcPr>
            <w:tcW w:w="4050" w:type="dxa"/>
          </w:tcPr>
          <w:p w:rsidR="000D6F04" w:rsidRPr="002057EE" w:rsidRDefault="000D6F04" w:rsidP="002057EE">
            <w:pPr>
              <w:jc w:val="both"/>
              <w:rPr>
                <w:rFonts w:ascii="Arial" w:hAnsi="Arial" w:cs="Arial"/>
                <w:sz w:val="20"/>
                <w:szCs w:val="20"/>
              </w:rPr>
            </w:pPr>
            <w:r w:rsidRPr="002057EE">
              <w:rPr>
                <w:rFonts w:ascii="Arial" w:hAnsi="Arial" w:cs="Arial"/>
                <w:sz w:val="20"/>
                <w:szCs w:val="20"/>
              </w:rPr>
              <w:t>Euro Stoxx 50</w:t>
            </w:r>
          </w:p>
        </w:tc>
        <w:tc>
          <w:tcPr>
            <w:tcW w:w="270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3.503,96</w:t>
            </w:r>
          </w:p>
        </w:tc>
        <w:tc>
          <w:tcPr>
            <w:tcW w:w="261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6,49</w:t>
            </w:r>
          </w:p>
        </w:tc>
      </w:tr>
      <w:tr w:rsidR="000D6F04" w:rsidRPr="002057EE" w:rsidTr="009D6A7E">
        <w:tc>
          <w:tcPr>
            <w:tcW w:w="4050" w:type="dxa"/>
          </w:tcPr>
          <w:p w:rsidR="000D6F04" w:rsidRPr="002057EE" w:rsidRDefault="000D6F04" w:rsidP="002057EE">
            <w:pPr>
              <w:jc w:val="both"/>
              <w:rPr>
                <w:rFonts w:ascii="Arial" w:hAnsi="Arial" w:cs="Arial"/>
                <w:sz w:val="20"/>
                <w:szCs w:val="20"/>
              </w:rPr>
            </w:pPr>
            <w:r w:rsidRPr="002057EE">
              <w:rPr>
                <w:rFonts w:ascii="Arial" w:hAnsi="Arial" w:cs="Arial"/>
                <w:sz w:val="20"/>
                <w:szCs w:val="20"/>
              </w:rPr>
              <w:t>Stoxx Europe 50</w:t>
            </w:r>
          </w:p>
        </w:tc>
        <w:tc>
          <w:tcPr>
            <w:tcW w:w="270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3.177,84</w:t>
            </w:r>
          </w:p>
        </w:tc>
        <w:tc>
          <w:tcPr>
            <w:tcW w:w="261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5,56</w:t>
            </w:r>
          </w:p>
        </w:tc>
      </w:tr>
      <w:tr w:rsidR="000D6F04" w:rsidRPr="002057EE" w:rsidTr="009D6A7E">
        <w:tc>
          <w:tcPr>
            <w:tcW w:w="4050" w:type="dxa"/>
          </w:tcPr>
          <w:p w:rsidR="000D6F04" w:rsidRPr="002057EE" w:rsidRDefault="000D6F04" w:rsidP="002057EE">
            <w:pPr>
              <w:jc w:val="both"/>
              <w:rPr>
                <w:rFonts w:ascii="Arial" w:hAnsi="Arial" w:cs="Arial"/>
                <w:sz w:val="20"/>
                <w:szCs w:val="20"/>
              </w:rPr>
            </w:pPr>
            <w:r w:rsidRPr="002057EE">
              <w:rPr>
                <w:rFonts w:ascii="Arial" w:hAnsi="Arial" w:cs="Arial"/>
                <w:sz w:val="20"/>
                <w:szCs w:val="20"/>
              </w:rPr>
              <w:t>Europe Dow</w:t>
            </w:r>
          </w:p>
        </w:tc>
        <w:tc>
          <w:tcPr>
            <w:tcW w:w="270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1.917,42</w:t>
            </w:r>
          </w:p>
        </w:tc>
        <w:tc>
          <w:tcPr>
            <w:tcW w:w="261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21,92</w:t>
            </w:r>
          </w:p>
        </w:tc>
      </w:tr>
      <w:tr w:rsidR="000D6F04" w:rsidRPr="002057EE" w:rsidTr="009D6A7E">
        <w:tc>
          <w:tcPr>
            <w:tcW w:w="4050" w:type="dxa"/>
          </w:tcPr>
          <w:p w:rsidR="000D6F04" w:rsidRPr="002057EE" w:rsidRDefault="000D6F04" w:rsidP="002057EE">
            <w:pPr>
              <w:jc w:val="both"/>
              <w:rPr>
                <w:rFonts w:ascii="Arial" w:hAnsi="Arial" w:cs="Arial"/>
                <w:sz w:val="20"/>
                <w:szCs w:val="20"/>
              </w:rPr>
            </w:pPr>
            <w:r w:rsidRPr="002057EE">
              <w:rPr>
                <w:rFonts w:ascii="Arial" w:hAnsi="Arial" w:cs="Arial"/>
                <w:sz w:val="20"/>
                <w:szCs w:val="20"/>
              </w:rPr>
              <w:t>FTSE 100 Luân Đôn</w:t>
            </w:r>
          </w:p>
        </w:tc>
        <w:tc>
          <w:tcPr>
            <w:tcW w:w="270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7.687,77</w:t>
            </w:r>
          </w:p>
        </w:tc>
        <w:tc>
          <w:tcPr>
            <w:tcW w:w="261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7,63</w:t>
            </w:r>
          </w:p>
        </w:tc>
      </w:tr>
      <w:tr w:rsidR="000D6F04" w:rsidRPr="002057EE" w:rsidTr="009D6A7E">
        <w:tc>
          <w:tcPr>
            <w:tcW w:w="4050" w:type="dxa"/>
          </w:tcPr>
          <w:p w:rsidR="000D6F04" w:rsidRPr="002057EE" w:rsidRDefault="000D6F04" w:rsidP="002057EE">
            <w:pPr>
              <w:jc w:val="both"/>
              <w:rPr>
                <w:rFonts w:ascii="Arial" w:hAnsi="Arial" w:cs="Arial"/>
                <w:sz w:val="20"/>
                <w:szCs w:val="20"/>
              </w:rPr>
            </w:pPr>
            <w:r w:rsidRPr="002057EE">
              <w:rPr>
                <w:rFonts w:ascii="Arial" w:hAnsi="Arial" w:cs="Arial"/>
                <w:sz w:val="20"/>
                <w:szCs w:val="20"/>
              </w:rPr>
              <w:t>CAC 40 Paris</w:t>
            </w:r>
          </w:p>
        </w:tc>
        <w:tc>
          <w:tcPr>
            <w:tcW w:w="270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5.312,56</w:t>
            </w:r>
          </w:p>
        </w:tc>
        <w:tc>
          <w:tcPr>
            <w:tcW w:w="261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9,26</w:t>
            </w:r>
          </w:p>
        </w:tc>
      </w:tr>
      <w:tr w:rsidR="000D6F04" w:rsidRPr="002057EE" w:rsidTr="009D6A7E">
        <w:tc>
          <w:tcPr>
            <w:tcW w:w="4050" w:type="dxa"/>
          </w:tcPr>
          <w:p w:rsidR="000D6F04" w:rsidRPr="002057EE" w:rsidRDefault="000D6F04" w:rsidP="002057EE">
            <w:pPr>
              <w:jc w:val="both"/>
              <w:rPr>
                <w:rFonts w:ascii="Arial" w:hAnsi="Arial" w:cs="Arial"/>
                <w:sz w:val="20"/>
                <w:szCs w:val="20"/>
              </w:rPr>
            </w:pPr>
            <w:r w:rsidRPr="002057EE">
              <w:rPr>
                <w:rFonts w:ascii="Arial" w:hAnsi="Arial" w:cs="Arial"/>
                <w:sz w:val="20"/>
                <w:szCs w:val="20"/>
              </w:rPr>
              <w:t>DAX Frankfurt</w:t>
            </w:r>
          </w:p>
        </w:tc>
        <w:tc>
          <w:tcPr>
            <w:tcW w:w="270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12.917,64</w:t>
            </w:r>
          </w:p>
        </w:tc>
        <w:tc>
          <w:tcPr>
            <w:tcW w:w="261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12,51</w:t>
            </w:r>
          </w:p>
        </w:tc>
      </w:tr>
      <w:tr w:rsidR="000D6F04" w:rsidRPr="002057EE" w:rsidTr="009D6A7E">
        <w:tc>
          <w:tcPr>
            <w:tcW w:w="4050" w:type="dxa"/>
          </w:tcPr>
          <w:p w:rsidR="000D6F04" w:rsidRPr="002057EE" w:rsidRDefault="000D6F04" w:rsidP="002057EE">
            <w:pPr>
              <w:jc w:val="both"/>
              <w:rPr>
                <w:rFonts w:ascii="Arial" w:hAnsi="Arial" w:cs="Arial"/>
                <w:sz w:val="20"/>
                <w:szCs w:val="20"/>
              </w:rPr>
            </w:pPr>
            <w:r w:rsidRPr="002057EE">
              <w:rPr>
                <w:rFonts w:ascii="Arial" w:hAnsi="Arial" w:cs="Arial"/>
                <w:sz w:val="20"/>
                <w:szCs w:val="20"/>
              </w:rPr>
              <w:t>Italy FTSE MIB</w:t>
            </w:r>
          </w:p>
        </w:tc>
        <w:tc>
          <w:tcPr>
            <w:tcW w:w="270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21.853,34</w:t>
            </w:r>
          </w:p>
        </w:tc>
        <w:tc>
          <w:tcPr>
            <w:tcW w:w="261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13,61</w:t>
            </w:r>
          </w:p>
        </w:tc>
      </w:tr>
      <w:tr w:rsidR="000D6F04" w:rsidRPr="002057EE" w:rsidTr="009D6A7E">
        <w:tc>
          <w:tcPr>
            <w:tcW w:w="4050" w:type="dxa"/>
          </w:tcPr>
          <w:p w:rsidR="000D6F04" w:rsidRPr="002057EE" w:rsidRDefault="000D6F04" w:rsidP="002057EE">
            <w:pPr>
              <w:jc w:val="both"/>
              <w:rPr>
                <w:rFonts w:ascii="Arial" w:hAnsi="Arial" w:cs="Arial"/>
                <w:sz w:val="20"/>
                <w:szCs w:val="20"/>
              </w:rPr>
            </w:pPr>
            <w:r w:rsidRPr="002057EE">
              <w:rPr>
                <w:rFonts w:ascii="Arial" w:hAnsi="Arial" w:cs="Arial"/>
                <w:sz w:val="20"/>
                <w:szCs w:val="20"/>
              </w:rPr>
              <w:t>Spain IBEX 35</w:t>
            </w:r>
          </w:p>
        </w:tc>
        <w:tc>
          <w:tcPr>
            <w:tcW w:w="270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10.043,9</w:t>
            </w:r>
          </w:p>
        </w:tc>
        <w:tc>
          <w:tcPr>
            <w:tcW w:w="261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7,04</w:t>
            </w:r>
          </w:p>
        </w:tc>
      </w:tr>
      <w:tr w:rsidR="000D6F04" w:rsidRPr="002057EE" w:rsidTr="009D6A7E">
        <w:tc>
          <w:tcPr>
            <w:tcW w:w="4050" w:type="dxa"/>
          </w:tcPr>
          <w:p w:rsidR="000D6F04" w:rsidRPr="002057EE" w:rsidRDefault="000D6F04" w:rsidP="002057EE">
            <w:pPr>
              <w:jc w:val="both"/>
              <w:rPr>
                <w:rFonts w:ascii="Arial" w:hAnsi="Arial" w:cs="Arial"/>
                <w:sz w:val="20"/>
                <w:szCs w:val="20"/>
              </w:rPr>
            </w:pPr>
            <w:r w:rsidRPr="002057EE">
              <w:rPr>
                <w:rFonts w:ascii="Arial" w:hAnsi="Arial" w:cs="Arial"/>
                <w:sz w:val="20"/>
                <w:szCs w:val="20"/>
              </w:rPr>
              <w:t>Bồ Đào Nha PSI 20</w:t>
            </w:r>
          </w:p>
        </w:tc>
        <w:tc>
          <w:tcPr>
            <w:tcW w:w="270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5.388,33</w:t>
            </w:r>
          </w:p>
        </w:tc>
        <w:tc>
          <w:tcPr>
            <w:tcW w:w="261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15,15</w:t>
            </w:r>
          </w:p>
        </w:tc>
      </w:tr>
      <w:tr w:rsidR="000D6F04" w:rsidRPr="002057EE" w:rsidTr="009D6A7E">
        <w:tc>
          <w:tcPr>
            <w:tcW w:w="4050" w:type="dxa"/>
          </w:tcPr>
          <w:p w:rsidR="000D6F04" w:rsidRPr="002057EE" w:rsidRDefault="000D6F04" w:rsidP="002057EE">
            <w:pPr>
              <w:jc w:val="both"/>
              <w:rPr>
                <w:rFonts w:ascii="Arial" w:hAnsi="Arial" w:cs="Arial"/>
                <w:sz w:val="20"/>
                <w:szCs w:val="20"/>
              </w:rPr>
            </w:pPr>
            <w:r w:rsidRPr="002057EE">
              <w:rPr>
                <w:rFonts w:ascii="Arial" w:hAnsi="Arial" w:cs="Arial"/>
                <w:sz w:val="20"/>
                <w:szCs w:val="20"/>
              </w:rPr>
              <w:t>Russia RTS</w:t>
            </w:r>
          </w:p>
        </w:tc>
        <w:tc>
          <w:tcPr>
            <w:tcW w:w="270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1.154,43</w:t>
            </w:r>
          </w:p>
        </w:tc>
        <w:tc>
          <w:tcPr>
            <w:tcW w:w="261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-2,93</w:t>
            </w:r>
          </w:p>
        </w:tc>
      </w:tr>
      <w:tr w:rsidR="000D6F04" w:rsidRPr="002057EE" w:rsidTr="009D6A7E">
        <w:tc>
          <w:tcPr>
            <w:tcW w:w="4050" w:type="dxa"/>
          </w:tcPr>
          <w:p w:rsidR="000D6F04" w:rsidRPr="002057EE" w:rsidRDefault="000D6F04" w:rsidP="002057EE">
            <w:pPr>
              <w:jc w:val="both"/>
              <w:rPr>
                <w:rFonts w:ascii="Arial" w:hAnsi="Arial" w:cs="Arial"/>
                <w:sz w:val="20"/>
                <w:szCs w:val="20"/>
              </w:rPr>
            </w:pPr>
            <w:r w:rsidRPr="002057EE">
              <w:rPr>
                <w:rFonts w:ascii="Arial" w:hAnsi="Arial" w:cs="Arial"/>
                <w:sz w:val="20"/>
                <w:szCs w:val="20"/>
              </w:rPr>
              <w:t>Thổ Nhĩ Kỳ BIST 100</w:t>
            </w:r>
          </w:p>
        </w:tc>
        <w:tc>
          <w:tcPr>
            <w:tcW w:w="270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115.333,01</w:t>
            </w:r>
          </w:p>
        </w:tc>
        <w:tc>
          <w:tcPr>
            <w:tcW w:w="261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47,6</w:t>
            </w:r>
          </w:p>
        </w:tc>
      </w:tr>
      <w:tr w:rsidR="000D6F04" w:rsidRPr="002057EE" w:rsidTr="009D6A7E">
        <w:tc>
          <w:tcPr>
            <w:tcW w:w="4050" w:type="dxa"/>
          </w:tcPr>
          <w:p w:rsidR="000D6F04" w:rsidRPr="002057EE" w:rsidRDefault="000D6F04" w:rsidP="002057EE">
            <w:pPr>
              <w:jc w:val="both"/>
              <w:rPr>
                <w:rFonts w:ascii="Arial" w:hAnsi="Arial" w:cs="Arial"/>
                <w:sz w:val="20"/>
                <w:szCs w:val="20"/>
              </w:rPr>
            </w:pPr>
            <w:r w:rsidRPr="002057EE">
              <w:rPr>
                <w:rFonts w:ascii="Arial" w:hAnsi="Arial" w:cs="Arial"/>
                <w:sz w:val="20"/>
                <w:szCs w:val="20"/>
              </w:rPr>
              <w:t>Latvia OMX Riga</w:t>
            </w:r>
          </w:p>
        </w:tc>
        <w:tc>
          <w:tcPr>
            <w:tcW w:w="270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996,13</w:t>
            </w:r>
          </w:p>
        </w:tc>
        <w:tc>
          <w:tcPr>
            <w:tcW w:w="261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35,76</w:t>
            </w:r>
          </w:p>
        </w:tc>
      </w:tr>
      <w:tr w:rsidR="000D6F04" w:rsidRPr="002057EE" w:rsidTr="009D6A7E">
        <w:tc>
          <w:tcPr>
            <w:tcW w:w="4050" w:type="dxa"/>
          </w:tcPr>
          <w:p w:rsidR="000D6F04" w:rsidRPr="002057EE" w:rsidRDefault="000D6F04" w:rsidP="002057EE">
            <w:pPr>
              <w:jc w:val="both"/>
              <w:rPr>
                <w:rFonts w:ascii="Arial" w:hAnsi="Arial" w:cs="Arial"/>
                <w:sz w:val="20"/>
                <w:szCs w:val="20"/>
              </w:rPr>
            </w:pPr>
            <w:r w:rsidRPr="002057EE">
              <w:rPr>
                <w:rFonts w:ascii="Arial" w:hAnsi="Arial" w:cs="Arial"/>
                <w:sz w:val="20"/>
                <w:szCs w:val="20"/>
              </w:rPr>
              <w:t>Thụy Sỹ</w:t>
            </w:r>
          </w:p>
        </w:tc>
        <w:tc>
          <w:tcPr>
            <w:tcW w:w="270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9.381,87</w:t>
            </w:r>
          </w:p>
        </w:tc>
        <w:tc>
          <w:tcPr>
            <w:tcW w:w="261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14,14</w:t>
            </w:r>
          </w:p>
        </w:tc>
      </w:tr>
      <w:tr w:rsidR="000D6F04" w:rsidRPr="002057EE" w:rsidTr="009D6A7E">
        <w:tc>
          <w:tcPr>
            <w:tcW w:w="4050" w:type="dxa"/>
          </w:tcPr>
          <w:p w:rsidR="000D6F04" w:rsidRPr="002057EE" w:rsidRDefault="000D6F04" w:rsidP="002057EE">
            <w:pPr>
              <w:jc w:val="both"/>
              <w:rPr>
                <w:rFonts w:ascii="Arial" w:hAnsi="Arial" w:cs="Arial"/>
                <w:sz w:val="20"/>
                <w:szCs w:val="20"/>
              </w:rPr>
            </w:pPr>
            <w:r w:rsidRPr="002057EE">
              <w:rPr>
                <w:rFonts w:ascii="Arial" w:hAnsi="Arial" w:cs="Arial"/>
                <w:sz w:val="20"/>
                <w:szCs w:val="20"/>
              </w:rPr>
              <w:t>Đan Mạch OMX Copenhagen</w:t>
            </w:r>
          </w:p>
        </w:tc>
        <w:tc>
          <w:tcPr>
            <w:tcW w:w="270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1.024,22</w:t>
            </w:r>
          </w:p>
        </w:tc>
        <w:tc>
          <w:tcPr>
            <w:tcW w:w="261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15,87</w:t>
            </w:r>
          </w:p>
        </w:tc>
      </w:tr>
      <w:tr w:rsidR="000D6F04" w:rsidRPr="002057EE" w:rsidTr="009D6A7E">
        <w:tc>
          <w:tcPr>
            <w:tcW w:w="4050" w:type="dxa"/>
          </w:tcPr>
          <w:p w:rsidR="000D6F04" w:rsidRPr="002057EE" w:rsidRDefault="000D6F04" w:rsidP="002057EE">
            <w:pPr>
              <w:jc w:val="both"/>
              <w:rPr>
                <w:rFonts w:ascii="Arial" w:hAnsi="Arial" w:cs="Arial"/>
                <w:sz w:val="20"/>
                <w:szCs w:val="20"/>
              </w:rPr>
            </w:pPr>
            <w:r w:rsidRPr="002057EE">
              <w:rPr>
                <w:rFonts w:ascii="Arial" w:hAnsi="Arial" w:cs="Arial"/>
                <w:sz w:val="20"/>
                <w:szCs w:val="20"/>
              </w:rPr>
              <w:t>Austria ATX index</w:t>
            </w:r>
          </w:p>
        </w:tc>
        <w:tc>
          <w:tcPr>
            <w:tcW w:w="270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3.420,14</w:t>
            </w:r>
          </w:p>
        </w:tc>
        <w:tc>
          <w:tcPr>
            <w:tcW w:w="261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30,62</w:t>
            </w:r>
          </w:p>
        </w:tc>
      </w:tr>
      <w:tr w:rsidR="000D6F04" w:rsidRPr="002057EE" w:rsidTr="009D6A7E">
        <w:tc>
          <w:tcPr>
            <w:tcW w:w="4050" w:type="dxa"/>
          </w:tcPr>
          <w:p w:rsidR="000D6F04" w:rsidRPr="002057EE" w:rsidRDefault="000D6F04" w:rsidP="002057EE">
            <w:pPr>
              <w:jc w:val="both"/>
              <w:rPr>
                <w:rFonts w:ascii="Arial" w:hAnsi="Arial" w:cs="Arial"/>
                <w:sz w:val="20"/>
                <w:szCs w:val="20"/>
              </w:rPr>
            </w:pPr>
            <w:r w:rsidRPr="002057EE">
              <w:rPr>
                <w:rFonts w:ascii="Arial" w:hAnsi="Arial" w:cs="Arial"/>
                <w:sz w:val="20"/>
                <w:szCs w:val="20"/>
              </w:rPr>
              <w:t>Asia Dow</w:t>
            </w:r>
          </w:p>
        </w:tc>
        <w:tc>
          <w:tcPr>
            <w:tcW w:w="270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3.676,49</w:t>
            </w:r>
          </w:p>
        </w:tc>
        <w:tc>
          <w:tcPr>
            <w:tcW w:w="261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25,71</w:t>
            </w:r>
          </w:p>
        </w:tc>
      </w:tr>
      <w:tr w:rsidR="000D6F04" w:rsidRPr="002057EE" w:rsidTr="009D6A7E">
        <w:tc>
          <w:tcPr>
            <w:tcW w:w="4050" w:type="dxa"/>
          </w:tcPr>
          <w:p w:rsidR="000D6F04" w:rsidRPr="002057EE" w:rsidRDefault="000D6F04" w:rsidP="002057EE">
            <w:pPr>
              <w:jc w:val="both"/>
              <w:rPr>
                <w:rFonts w:ascii="Arial" w:hAnsi="Arial" w:cs="Arial"/>
                <w:sz w:val="20"/>
                <w:szCs w:val="20"/>
              </w:rPr>
            </w:pPr>
            <w:r w:rsidRPr="002057EE">
              <w:rPr>
                <w:rFonts w:ascii="Arial" w:hAnsi="Arial" w:cs="Arial"/>
                <w:sz w:val="20"/>
                <w:szCs w:val="20"/>
              </w:rPr>
              <w:t>Australia All ordinaries</w:t>
            </w:r>
          </w:p>
        </w:tc>
        <w:tc>
          <w:tcPr>
            <w:tcW w:w="270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6.167,30</w:t>
            </w:r>
          </w:p>
        </w:tc>
        <w:tc>
          <w:tcPr>
            <w:tcW w:w="261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7,84</w:t>
            </w:r>
          </w:p>
        </w:tc>
      </w:tr>
      <w:tr w:rsidR="000D6F04" w:rsidRPr="002057EE" w:rsidTr="009D6A7E">
        <w:tc>
          <w:tcPr>
            <w:tcW w:w="4050" w:type="dxa"/>
          </w:tcPr>
          <w:p w:rsidR="000D6F04" w:rsidRPr="002057EE" w:rsidRDefault="000D6F04" w:rsidP="002057EE">
            <w:pPr>
              <w:jc w:val="both"/>
              <w:rPr>
                <w:rFonts w:ascii="Arial" w:hAnsi="Arial" w:cs="Arial"/>
                <w:sz w:val="20"/>
                <w:szCs w:val="20"/>
              </w:rPr>
            </w:pPr>
            <w:r w:rsidRPr="002057EE">
              <w:rPr>
                <w:rFonts w:ascii="Arial" w:hAnsi="Arial" w:cs="Arial"/>
                <w:sz w:val="20"/>
                <w:szCs w:val="20"/>
              </w:rPr>
              <w:t>Australia S&amp;P/ASX</w:t>
            </w:r>
          </w:p>
        </w:tc>
        <w:tc>
          <w:tcPr>
            <w:tcW w:w="270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6.065,1</w:t>
            </w:r>
          </w:p>
        </w:tc>
        <w:tc>
          <w:tcPr>
            <w:tcW w:w="261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7,05</w:t>
            </w:r>
          </w:p>
        </w:tc>
      </w:tr>
      <w:tr w:rsidR="000D6F04" w:rsidRPr="002057EE" w:rsidTr="009D6A7E">
        <w:tc>
          <w:tcPr>
            <w:tcW w:w="4050" w:type="dxa"/>
          </w:tcPr>
          <w:p w:rsidR="000D6F04" w:rsidRPr="002057EE" w:rsidRDefault="000D6F04" w:rsidP="002057EE">
            <w:pPr>
              <w:jc w:val="both"/>
              <w:rPr>
                <w:rFonts w:ascii="Arial" w:hAnsi="Arial" w:cs="Arial"/>
                <w:sz w:val="20"/>
                <w:szCs w:val="20"/>
              </w:rPr>
            </w:pPr>
            <w:r w:rsidRPr="002057EE">
              <w:rPr>
                <w:rFonts w:ascii="Arial" w:hAnsi="Arial" w:cs="Arial"/>
                <w:sz w:val="20"/>
                <w:szCs w:val="20"/>
              </w:rPr>
              <w:t>Nikkei 225</w:t>
            </w:r>
          </w:p>
        </w:tc>
        <w:tc>
          <w:tcPr>
            <w:tcW w:w="270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22.764,94</w:t>
            </w:r>
          </w:p>
        </w:tc>
        <w:tc>
          <w:tcPr>
            <w:tcW w:w="261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19,10</w:t>
            </w:r>
          </w:p>
        </w:tc>
      </w:tr>
      <w:tr w:rsidR="000D6F04" w:rsidRPr="002057EE" w:rsidTr="009D6A7E">
        <w:tc>
          <w:tcPr>
            <w:tcW w:w="4050" w:type="dxa"/>
          </w:tcPr>
          <w:p w:rsidR="000D6F04" w:rsidRPr="002057EE" w:rsidRDefault="000D6F04" w:rsidP="002057EE">
            <w:pPr>
              <w:jc w:val="both"/>
              <w:rPr>
                <w:rFonts w:ascii="Arial" w:hAnsi="Arial" w:cs="Arial"/>
                <w:sz w:val="20"/>
                <w:szCs w:val="20"/>
              </w:rPr>
            </w:pPr>
            <w:r w:rsidRPr="002057EE">
              <w:rPr>
                <w:rFonts w:ascii="Arial" w:hAnsi="Arial" w:cs="Arial"/>
                <w:sz w:val="20"/>
                <w:szCs w:val="20"/>
              </w:rPr>
              <w:t>Japan TOPIX</w:t>
            </w:r>
          </w:p>
        </w:tc>
        <w:tc>
          <w:tcPr>
            <w:tcW w:w="270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1.817,56</w:t>
            </w:r>
          </w:p>
        </w:tc>
        <w:tc>
          <w:tcPr>
            <w:tcW w:w="261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19,69</w:t>
            </w:r>
          </w:p>
        </w:tc>
      </w:tr>
      <w:tr w:rsidR="000D6F04" w:rsidRPr="002057EE" w:rsidTr="009D6A7E">
        <w:tc>
          <w:tcPr>
            <w:tcW w:w="4050" w:type="dxa"/>
          </w:tcPr>
          <w:p w:rsidR="000D6F04" w:rsidRPr="002057EE" w:rsidRDefault="000D6F04" w:rsidP="002057EE">
            <w:pPr>
              <w:jc w:val="both"/>
              <w:rPr>
                <w:rFonts w:ascii="Arial" w:hAnsi="Arial" w:cs="Arial"/>
                <w:sz w:val="20"/>
                <w:szCs w:val="20"/>
              </w:rPr>
            </w:pPr>
            <w:r w:rsidRPr="002057EE">
              <w:rPr>
                <w:rFonts w:ascii="Arial" w:hAnsi="Arial" w:cs="Arial"/>
                <w:sz w:val="20"/>
                <w:szCs w:val="20"/>
              </w:rPr>
              <w:t>Hongkong Hangseng</w:t>
            </w:r>
          </w:p>
        </w:tc>
        <w:tc>
          <w:tcPr>
            <w:tcW w:w="270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29.919,15</w:t>
            </w:r>
          </w:p>
        </w:tc>
        <w:tc>
          <w:tcPr>
            <w:tcW w:w="261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35,99</w:t>
            </w:r>
          </w:p>
        </w:tc>
      </w:tr>
      <w:tr w:rsidR="000D6F04" w:rsidRPr="002057EE" w:rsidTr="009D6A7E">
        <w:tc>
          <w:tcPr>
            <w:tcW w:w="4050" w:type="dxa"/>
          </w:tcPr>
          <w:p w:rsidR="000D6F04" w:rsidRPr="002057EE" w:rsidRDefault="000D6F04" w:rsidP="002057EE">
            <w:pPr>
              <w:jc w:val="both"/>
              <w:rPr>
                <w:rFonts w:ascii="Arial" w:hAnsi="Arial" w:cs="Arial"/>
                <w:sz w:val="20"/>
                <w:szCs w:val="20"/>
              </w:rPr>
            </w:pPr>
            <w:r w:rsidRPr="002057EE">
              <w:rPr>
                <w:rFonts w:ascii="Arial" w:hAnsi="Arial" w:cs="Arial"/>
                <w:sz w:val="20"/>
                <w:szCs w:val="20"/>
              </w:rPr>
              <w:t>Shanghai composite</w:t>
            </w:r>
          </w:p>
        </w:tc>
        <w:tc>
          <w:tcPr>
            <w:tcW w:w="270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3.307,17</w:t>
            </w:r>
          </w:p>
        </w:tc>
        <w:tc>
          <w:tcPr>
            <w:tcW w:w="261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6,56</w:t>
            </w:r>
          </w:p>
        </w:tc>
      </w:tr>
      <w:tr w:rsidR="000D6F04" w:rsidRPr="002057EE" w:rsidTr="009D6A7E">
        <w:tc>
          <w:tcPr>
            <w:tcW w:w="4050" w:type="dxa"/>
          </w:tcPr>
          <w:p w:rsidR="000D6F04" w:rsidRPr="002057EE" w:rsidRDefault="000D6F04" w:rsidP="002057EE">
            <w:pPr>
              <w:jc w:val="both"/>
              <w:rPr>
                <w:rFonts w:ascii="Arial" w:hAnsi="Arial" w:cs="Arial"/>
                <w:sz w:val="20"/>
                <w:szCs w:val="20"/>
              </w:rPr>
            </w:pPr>
            <w:r w:rsidRPr="002057EE">
              <w:rPr>
                <w:rFonts w:ascii="Arial" w:hAnsi="Arial" w:cs="Arial"/>
                <w:sz w:val="20"/>
                <w:szCs w:val="20"/>
              </w:rPr>
              <w:t>Thâm Quyến composite</w:t>
            </w:r>
          </w:p>
        </w:tc>
        <w:tc>
          <w:tcPr>
            <w:tcW w:w="270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1.899,34</w:t>
            </w:r>
          </w:p>
        </w:tc>
        <w:tc>
          <w:tcPr>
            <w:tcW w:w="261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-3,54</w:t>
            </w:r>
          </w:p>
        </w:tc>
      </w:tr>
      <w:tr w:rsidR="000D6F04" w:rsidRPr="002057EE" w:rsidTr="009D6A7E">
        <w:tc>
          <w:tcPr>
            <w:tcW w:w="4050" w:type="dxa"/>
          </w:tcPr>
          <w:p w:rsidR="000D6F04" w:rsidRPr="002057EE" w:rsidRDefault="000D6F04" w:rsidP="002057EE">
            <w:pPr>
              <w:jc w:val="both"/>
              <w:rPr>
                <w:rFonts w:ascii="Arial" w:hAnsi="Arial" w:cs="Arial"/>
                <w:sz w:val="20"/>
                <w:szCs w:val="20"/>
              </w:rPr>
            </w:pPr>
            <w:r w:rsidRPr="002057EE">
              <w:rPr>
                <w:rFonts w:ascii="Arial" w:hAnsi="Arial" w:cs="Arial"/>
                <w:sz w:val="20"/>
                <w:szCs w:val="20"/>
              </w:rPr>
              <w:t>Ấn Độ BSE Sensex</w:t>
            </w:r>
          </w:p>
        </w:tc>
        <w:tc>
          <w:tcPr>
            <w:tcW w:w="270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34.056,83</w:t>
            </w:r>
          </w:p>
        </w:tc>
        <w:tc>
          <w:tcPr>
            <w:tcW w:w="261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27,91</w:t>
            </w:r>
          </w:p>
        </w:tc>
      </w:tr>
      <w:tr w:rsidR="000D6F04" w:rsidRPr="002057EE" w:rsidTr="009D6A7E">
        <w:tc>
          <w:tcPr>
            <w:tcW w:w="4050" w:type="dxa"/>
          </w:tcPr>
          <w:p w:rsidR="000D6F04" w:rsidRPr="002057EE" w:rsidRDefault="000D6F04" w:rsidP="002057EE">
            <w:pPr>
              <w:jc w:val="both"/>
              <w:rPr>
                <w:rFonts w:ascii="Arial" w:hAnsi="Arial" w:cs="Arial"/>
                <w:sz w:val="20"/>
                <w:szCs w:val="20"/>
              </w:rPr>
            </w:pPr>
            <w:r w:rsidRPr="002057EE">
              <w:rPr>
                <w:rFonts w:ascii="Arial" w:hAnsi="Arial" w:cs="Arial"/>
                <w:sz w:val="20"/>
                <w:szCs w:val="20"/>
              </w:rPr>
              <w:t>Indonesia JSX Index</w:t>
            </w:r>
          </w:p>
        </w:tc>
        <w:tc>
          <w:tcPr>
            <w:tcW w:w="270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6.355,65</w:t>
            </w:r>
          </w:p>
        </w:tc>
        <w:tc>
          <w:tcPr>
            <w:tcW w:w="261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19,99</w:t>
            </w:r>
          </w:p>
        </w:tc>
      </w:tr>
      <w:tr w:rsidR="000D6F04" w:rsidRPr="002057EE" w:rsidTr="009D6A7E">
        <w:tc>
          <w:tcPr>
            <w:tcW w:w="4050" w:type="dxa"/>
          </w:tcPr>
          <w:p w:rsidR="000D6F04" w:rsidRPr="002057EE" w:rsidRDefault="000D6F04" w:rsidP="002057EE">
            <w:pPr>
              <w:jc w:val="both"/>
              <w:rPr>
                <w:rFonts w:ascii="Arial" w:hAnsi="Arial" w:cs="Arial"/>
                <w:sz w:val="20"/>
                <w:szCs w:val="20"/>
              </w:rPr>
            </w:pPr>
            <w:r w:rsidRPr="002057EE">
              <w:rPr>
                <w:rFonts w:ascii="Arial" w:hAnsi="Arial" w:cs="Arial"/>
                <w:sz w:val="20"/>
                <w:szCs w:val="20"/>
              </w:rPr>
              <w:t>Kopsi Hàn Quốc</w:t>
            </w:r>
          </w:p>
        </w:tc>
        <w:tc>
          <w:tcPr>
            <w:tcW w:w="270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2.467,49</w:t>
            </w:r>
          </w:p>
        </w:tc>
        <w:tc>
          <w:tcPr>
            <w:tcW w:w="261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21,76</w:t>
            </w:r>
          </w:p>
        </w:tc>
      </w:tr>
      <w:tr w:rsidR="000D6F04" w:rsidRPr="002057EE" w:rsidTr="009D6A7E">
        <w:tc>
          <w:tcPr>
            <w:tcW w:w="4050" w:type="dxa"/>
          </w:tcPr>
          <w:p w:rsidR="000D6F04" w:rsidRPr="002057EE" w:rsidRDefault="000D6F04" w:rsidP="002057EE">
            <w:pPr>
              <w:jc w:val="both"/>
              <w:rPr>
                <w:rFonts w:ascii="Arial" w:hAnsi="Arial" w:cs="Arial"/>
                <w:sz w:val="20"/>
                <w:szCs w:val="20"/>
              </w:rPr>
            </w:pPr>
            <w:r w:rsidRPr="002057EE">
              <w:rPr>
                <w:rFonts w:ascii="Arial" w:hAnsi="Arial" w:cs="Arial"/>
                <w:sz w:val="20"/>
                <w:szCs w:val="20"/>
              </w:rPr>
              <w:t>Singapore Straits Times</w:t>
            </w:r>
          </w:p>
        </w:tc>
        <w:tc>
          <w:tcPr>
            <w:tcW w:w="270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3.402,92</w:t>
            </w:r>
          </w:p>
        </w:tc>
        <w:tc>
          <w:tcPr>
            <w:tcW w:w="261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18,13</w:t>
            </w:r>
          </w:p>
        </w:tc>
      </w:tr>
      <w:tr w:rsidR="000D6F04" w:rsidRPr="002057EE" w:rsidTr="009D6A7E">
        <w:tc>
          <w:tcPr>
            <w:tcW w:w="4050" w:type="dxa"/>
          </w:tcPr>
          <w:p w:rsidR="000D6F04" w:rsidRPr="002057EE" w:rsidRDefault="000D6F04" w:rsidP="002057EE">
            <w:pPr>
              <w:jc w:val="both"/>
              <w:rPr>
                <w:rFonts w:ascii="Arial" w:hAnsi="Arial" w:cs="Arial"/>
                <w:sz w:val="20"/>
                <w:szCs w:val="20"/>
              </w:rPr>
            </w:pPr>
            <w:r w:rsidRPr="002057EE">
              <w:rPr>
                <w:rFonts w:ascii="Arial" w:hAnsi="Arial" w:cs="Arial"/>
                <w:sz w:val="20"/>
                <w:szCs w:val="20"/>
              </w:rPr>
              <w:t>Philippines PSE Composite</w:t>
            </w:r>
          </w:p>
        </w:tc>
        <w:tc>
          <w:tcPr>
            <w:tcW w:w="270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8.558,42</w:t>
            </w:r>
          </w:p>
        </w:tc>
        <w:tc>
          <w:tcPr>
            <w:tcW w:w="261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25,11</w:t>
            </w:r>
          </w:p>
        </w:tc>
      </w:tr>
      <w:tr w:rsidR="000D6F04" w:rsidRPr="002057EE" w:rsidTr="009D6A7E">
        <w:tc>
          <w:tcPr>
            <w:tcW w:w="4050" w:type="dxa"/>
          </w:tcPr>
          <w:p w:rsidR="000D6F04" w:rsidRPr="002057EE" w:rsidRDefault="000D6F04" w:rsidP="002057EE">
            <w:pPr>
              <w:jc w:val="both"/>
              <w:rPr>
                <w:rFonts w:ascii="Arial" w:hAnsi="Arial" w:cs="Arial"/>
                <w:sz w:val="20"/>
                <w:szCs w:val="20"/>
              </w:rPr>
            </w:pPr>
            <w:r w:rsidRPr="002057EE">
              <w:rPr>
                <w:rFonts w:ascii="Arial" w:hAnsi="Arial" w:cs="Arial"/>
                <w:sz w:val="20"/>
                <w:szCs w:val="20"/>
              </w:rPr>
              <w:t>Thái Lan SET</w:t>
            </w:r>
          </w:p>
        </w:tc>
        <w:tc>
          <w:tcPr>
            <w:tcW w:w="270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1.753,71</w:t>
            </w:r>
          </w:p>
        </w:tc>
        <w:tc>
          <w:tcPr>
            <w:tcW w:w="261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13,65</w:t>
            </w:r>
          </w:p>
        </w:tc>
      </w:tr>
      <w:tr w:rsidR="000D6F04" w:rsidRPr="002057EE" w:rsidTr="009D6A7E">
        <w:tc>
          <w:tcPr>
            <w:tcW w:w="4050" w:type="dxa"/>
          </w:tcPr>
          <w:p w:rsidR="000D6F04" w:rsidRPr="002057EE" w:rsidRDefault="000D6F04" w:rsidP="002057EE">
            <w:pPr>
              <w:jc w:val="both"/>
              <w:rPr>
                <w:rFonts w:ascii="Arial" w:hAnsi="Arial" w:cs="Arial"/>
                <w:sz w:val="20"/>
                <w:szCs w:val="20"/>
              </w:rPr>
            </w:pPr>
            <w:r w:rsidRPr="002057EE">
              <w:rPr>
                <w:rFonts w:ascii="Arial" w:hAnsi="Arial" w:cs="Arial"/>
                <w:sz w:val="20"/>
                <w:szCs w:val="20"/>
              </w:rPr>
              <w:t>CH Nam Phi FTSE/JSE</w:t>
            </w:r>
          </w:p>
        </w:tc>
        <w:tc>
          <w:tcPr>
            <w:tcW w:w="270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59.504,67</w:t>
            </w:r>
          </w:p>
        </w:tc>
        <w:tc>
          <w:tcPr>
            <w:tcW w:w="261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17,47</w:t>
            </w:r>
          </w:p>
        </w:tc>
      </w:tr>
      <w:tr w:rsidR="000D6F04" w:rsidRPr="002057EE" w:rsidTr="009D6A7E">
        <w:tc>
          <w:tcPr>
            <w:tcW w:w="4050" w:type="dxa"/>
          </w:tcPr>
          <w:p w:rsidR="000D6F04" w:rsidRPr="002057EE" w:rsidRDefault="000D6F04" w:rsidP="002057EE">
            <w:pPr>
              <w:jc w:val="both"/>
              <w:rPr>
                <w:rFonts w:ascii="Arial" w:hAnsi="Arial" w:cs="Arial"/>
                <w:sz w:val="20"/>
                <w:szCs w:val="20"/>
              </w:rPr>
            </w:pPr>
            <w:r w:rsidRPr="002057EE">
              <w:rPr>
                <w:rFonts w:ascii="Arial" w:hAnsi="Arial" w:cs="Arial"/>
                <w:sz w:val="20"/>
                <w:szCs w:val="20"/>
              </w:rPr>
              <w:t xml:space="preserve">Pakistan KSE 100 </w:t>
            </w:r>
          </w:p>
        </w:tc>
        <w:tc>
          <w:tcPr>
            <w:tcW w:w="270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40.371,13</w:t>
            </w:r>
          </w:p>
        </w:tc>
        <w:tc>
          <w:tcPr>
            <w:tcW w:w="261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rPr>
              <w:t>-16,31</w:t>
            </w:r>
          </w:p>
        </w:tc>
      </w:tr>
      <w:tr w:rsidR="000D6F04" w:rsidRPr="002057EE" w:rsidTr="009D6A7E">
        <w:tc>
          <w:tcPr>
            <w:tcW w:w="4050" w:type="dxa"/>
          </w:tcPr>
          <w:p w:rsidR="000D6F04" w:rsidRPr="002057EE" w:rsidRDefault="000D6F04" w:rsidP="002057EE">
            <w:pPr>
              <w:jc w:val="both"/>
              <w:rPr>
                <w:rFonts w:ascii="Arial" w:hAnsi="Arial" w:cs="Arial"/>
                <w:sz w:val="20"/>
                <w:szCs w:val="20"/>
              </w:rPr>
            </w:pPr>
            <w:r w:rsidRPr="002057EE">
              <w:rPr>
                <w:rFonts w:ascii="Arial" w:hAnsi="Arial" w:cs="Arial"/>
                <w:sz w:val="20"/>
                <w:szCs w:val="20"/>
              </w:rPr>
              <w:t>Vn Index</w:t>
            </w:r>
          </w:p>
        </w:tc>
        <w:tc>
          <w:tcPr>
            <w:tcW w:w="270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shd w:val="clear" w:color="auto" w:fill="FFFFFF"/>
              </w:rPr>
              <w:t>984,24</w:t>
            </w:r>
          </w:p>
        </w:tc>
        <w:tc>
          <w:tcPr>
            <w:tcW w:w="2610" w:type="dxa"/>
          </w:tcPr>
          <w:p w:rsidR="000D6F04" w:rsidRPr="002057EE" w:rsidRDefault="000D6F04" w:rsidP="002057EE">
            <w:pPr>
              <w:jc w:val="center"/>
              <w:rPr>
                <w:rFonts w:ascii="Arial" w:hAnsi="Arial" w:cs="Arial"/>
                <w:sz w:val="20"/>
                <w:szCs w:val="20"/>
              </w:rPr>
            </w:pPr>
            <w:r w:rsidRPr="002057EE">
              <w:rPr>
                <w:rFonts w:ascii="Arial" w:hAnsi="Arial" w:cs="Arial"/>
                <w:sz w:val="20"/>
                <w:szCs w:val="20"/>
                <w:shd w:val="clear" w:color="auto" w:fill="FFFFFF"/>
              </w:rPr>
              <w:t>48,03</w:t>
            </w:r>
          </w:p>
        </w:tc>
      </w:tr>
      <w:tr w:rsidR="000D6F04" w:rsidRPr="002057EE" w:rsidTr="009D6A7E">
        <w:tc>
          <w:tcPr>
            <w:tcW w:w="4050" w:type="dxa"/>
          </w:tcPr>
          <w:p w:rsidR="000D6F04" w:rsidRPr="002057EE" w:rsidRDefault="000D6F04" w:rsidP="002057EE">
            <w:pPr>
              <w:spacing w:after="60"/>
              <w:jc w:val="both"/>
              <w:rPr>
                <w:rFonts w:ascii="Arial" w:hAnsi="Arial" w:cs="Arial"/>
                <w:sz w:val="20"/>
                <w:szCs w:val="20"/>
              </w:rPr>
            </w:pPr>
            <w:r w:rsidRPr="002057EE">
              <w:rPr>
                <w:rFonts w:ascii="Arial" w:hAnsi="Arial" w:cs="Arial"/>
                <w:sz w:val="20"/>
                <w:szCs w:val="20"/>
              </w:rPr>
              <w:t>HNX Index</w:t>
            </w:r>
          </w:p>
        </w:tc>
        <w:tc>
          <w:tcPr>
            <w:tcW w:w="2700" w:type="dxa"/>
          </w:tcPr>
          <w:p w:rsidR="000D6F04" w:rsidRPr="002057EE" w:rsidRDefault="000D6F04" w:rsidP="002057EE">
            <w:pPr>
              <w:spacing w:after="60"/>
              <w:jc w:val="center"/>
              <w:rPr>
                <w:rFonts w:ascii="Arial" w:hAnsi="Arial" w:cs="Arial"/>
                <w:sz w:val="20"/>
                <w:szCs w:val="20"/>
              </w:rPr>
            </w:pPr>
            <w:r w:rsidRPr="002057EE">
              <w:rPr>
                <w:rFonts w:ascii="Arial" w:hAnsi="Arial" w:cs="Arial"/>
                <w:sz w:val="20"/>
                <w:szCs w:val="20"/>
                <w:shd w:val="clear" w:color="auto" w:fill="FFFFFF"/>
              </w:rPr>
              <w:t>116,86</w:t>
            </w:r>
          </w:p>
        </w:tc>
        <w:tc>
          <w:tcPr>
            <w:tcW w:w="2610" w:type="dxa"/>
          </w:tcPr>
          <w:p w:rsidR="000D6F04" w:rsidRPr="002057EE" w:rsidRDefault="000D6F04" w:rsidP="002057EE">
            <w:pPr>
              <w:spacing w:after="60"/>
              <w:jc w:val="center"/>
              <w:rPr>
                <w:rFonts w:ascii="Arial" w:hAnsi="Arial" w:cs="Arial"/>
                <w:sz w:val="20"/>
                <w:szCs w:val="20"/>
              </w:rPr>
            </w:pPr>
            <w:r w:rsidRPr="002057EE">
              <w:rPr>
                <w:rFonts w:ascii="Arial" w:hAnsi="Arial" w:cs="Arial"/>
                <w:sz w:val="20"/>
                <w:szCs w:val="20"/>
                <w:shd w:val="clear" w:color="auto" w:fill="FFFFFF"/>
              </w:rPr>
              <w:t>45,86</w:t>
            </w:r>
          </w:p>
        </w:tc>
      </w:tr>
    </w:tbl>
    <w:p w:rsidR="000D6F04" w:rsidRPr="002057EE" w:rsidRDefault="000D6F04" w:rsidP="002057EE">
      <w:pPr>
        <w:pStyle w:val="ListParagraph"/>
        <w:spacing w:after="60" w:line="240" w:lineRule="auto"/>
        <w:ind w:left="0"/>
        <w:jc w:val="both"/>
        <w:rPr>
          <w:rFonts w:ascii="Arial" w:eastAsia="Times New Roman" w:hAnsi="Arial" w:cs="Arial"/>
          <w:i/>
          <w:sz w:val="16"/>
          <w:szCs w:val="16"/>
        </w:rPr>
      </w:pPr>
      <w:r w:rsidRPr="002057EE">
        <w:rPr>
          <w:rFonts w:ascii="Arial" w:eastAsia="Times New Roman" w:hAnsi="Arial" w:cs="Arial"/>
          <w:i/>
          <w:sz w:val="16"/>
          <w:szCs w:val="16"/>
        </w:rPr>
        <w:t>Nguồn</w:t>
      </w:r>
      <w:r w:rsidR="009D6A7E" w:rsidRPr="002057EE">
        <w:rPr>
          <w:rFonts w:ascii="Arial" w:eastAsia="Times New Roman" w:hAnsi="Arial" w:cs="Arial"/>
          <w:i/>
          <w:sz w:val="16"/>
          <w:szCs w:val="16"/>
        </w:rPr>
        <w:t>: Guardia</w:t>
      </w:r>
      <w:bookmarkStart w:id="0" w:name="_GoBack"/>
      <w:bookmarkEnd w:id="0"/>
      <w:r w:rsidR="009D6A7E" w:rsidRPr="002057EE">
        <w:rPr>
          <w:rFonts w:ascii="Arial" w:eastAsia="Times New Roman" w:hAnsi="Arial" w:cs="Arial"/>
          <w:i/>
          <w:sz w:val="16"/>
          <w:szCs w:val="16"/>
        </w:rPr>
        <w:t>n,</w:t>
      </w:r>
      <w:r w:rsidRPr="002057EE">
        <w:rPr>
          <w:rFonts w:ascii="Arial" w:eastAsia="Times New Roman" w:hAnsi="Arial" w:cs="Arial"/>
          <w:i/>
          <w:sz w:val="16"/>
          <w:szCs w:val="16"/>
        </w:rPr>
        <w:t xml:space="preserve"> WS. Journal</w:t>
      </w:r>
    </w:p>
    <w:p w:rsidR="00DC0D25" w:rsidRPr="002057EE" w:rsidRDefault="00053AFE" w:rsidP="002057EE">
      <w:pPr>
        <w:pStyle w:val="NormalWeb"/>
        <w:shd w:val="clear" w:color="auto" w:fill="FFFFFF"/>
        <w:spacing w:before="0" w:beforeAutospacing="0" w:after="60" w:afterAutospacing="0"/>
        <w:jc w:val="both"/>
        <w:rPr>
          <w:rFonts w:ascii="Arial" w:hAnsi="Arial" w:cs="Arial"/>
          <w:sz w:val="20"/>
          <w:szCs w:val="20"/>
        </w:rPr>
      </w:pPr>
      <w:r w:rsidRPr="002057EE">
        <w:rPr>
          <w:rFonts w:ascii="Arial" w:hAnsi="Arial" w:cs="Arial"/>
          <w:sz w:val="20"/>
          <w:szCs w:val="20"/>
        </w:rPr>
        <w:lastRenderedPageBreak/>
        <w:t>Trong năm 2017</w:t>
      </w:r>
      <w:r w:rsidR="00DC0D25" w:rsidRPr="002057EE">
        <w:rPr>
          <w:rFonts w:ascii="Arial" w:hAnsi="Arial" w:cs="Arial"/>
          <w:sz w:val="20"/>
          <w:szCs w:val="20"/>
        </w:rPr>
        <w:t>, hầu hết các cổ phiếu chủ chốt trên thị trường</w:t>
      </w:r>
      <w:r w:rsidRPr="002057EE">
        <w:rPr>
          <w:rFonts w:ascii="Arial" w:hAnsi="Arial" w:cs="Arial"/>
          <w:sz w:val="20"/>
          <w:szCs w:val="20"/>
        </w:rPr>
        <w:t> </w:t>
      </w:r>
      <w:r w:rsidR="00DC0D25" w:rsidRPr="002057EE">
        <w:rPr>
          <w:rFonts w:ascii="Arial" w:hAnsi="Arial" w:cs="Arial"/>
          <w:sz w:val="20"/>
          <w:szCs w:val="20"/>
          <w:bdr w:val="none" w:sz="0" w:space="0" w:color="auto" w:frame="1"/>
        </w:rPr>
        <w:t>chứng khoán Phố Wall</w:t>
      </w:r>
      <w:r w:rsidR="00DC0D25" w:rsidRPr="002057EE">
        <w:rPr>
          <w:rFonts w:ascii="Arial" w:hAnsi="Arial" w:cs="Arial"/>
          <w:sz w:val="20"/>
          <w:szCs w:val="20"/>
        </w:rPr>
        <w:t xml:space="preserve"> liên tiếp lập những đỉnh cao</w:t>
      </w:r>
      <w:r w:rsidRPr="002057EE">
        <w:rPr>
          <w:rFonts w:ascii="Arial" w:hAnsi="Arial" w:cs="Arial"/>
          <w:sz w:val="20"/>
          <w:szCs w:val="20"/>
        </w:rPr>
        <w:t xml:space="preserve"> mới. Đồng thời, </w:t>
      </w:r>
      <w:r w:rsidR="00DC0D25" w:rsidRPr="002057EE">
        <w:rPr>
          <w:rFonts w:ascii="Arial" w:hAnsi="Arial" w:cs="Arial"/>
          <w:sz w:val="20"/>
          <w:szCs w:val="20"/>
        </w:rPr>
        <w:t>thị trường chứng khoán tại nhiều quốc gia và vùng lãnh thổ khác trên thế giới cũng ghi nhận kết quả</w:t>
      </w:r>
      <w:r w:rsidRPr="002057EE">
        <w:rPr>
          <w:rFonts w:ascii="Arial" w:hAnsi="Arial" w:cs="Arial"/>
          <w:sz w:val="20"/>
          <w:szCs w:val="20"/>
        </w:rPr>
        <w:t xml:space="preserve"> tăng điểm </w:t>
      </w:r>
      <w:r w:rsidR="00DC0D25" w:rsidRPr="002057EE">
        <w:rPr>
          <w:rFonts w:ascii="Arial" w:hAnsi="Arial" w:cs="Arial"/>
          <w:sz w:val="20"/>
          <w:szCs w:val="20"/>
        </w:rPr>
        <w:t>đầy ấn tượng</w:t>
      </w:r>
      <w:r w:rsidRPr="002057EE">
        <w:rPr>
          <w:rFonts w:ascii="Arial" w:hAnsi="Arial" w:cs="Arial"/>
          <w:sz w:val="20"/>
          <w:szCs w:val="20"/>
        </w:rPr>
        <w:t>.</w:t>
      </w:r>
      <w:r w:rsidR="00DC0D25" w:rsidRPr="002057EE">
        <w:rPr>
          <w:rFonts w:ascii="Arial" w:hAnsi="Arial" w:cs="Arial"/>
          <w:sz w:val="20"/>
          <w:szCs w:val="20"/>
        </w:rPr>
        <w:t xml:space="preserve"> </w:t>
      </w:r>
      <w:r w:rsidRPr="002057EE">
        <w:rPr>
          <w:rFonts w:ascii="Arial" w:hAnsi="Arial" w:cs="Arial"/>
          <w:sz w:val="20"/>
          <w:szCs w:val="20"/>
        </w:rPr>
        <w:t xml:space="preserve">Nhờ đó, tổng giá trị vốn hóa của </w:t>
      </w:r>
      <w:r w:rsidR="00DC0D25" w:rsidRPr="002057EE">
        <w:rPr>
          <w:rFonts w:ascii="Arial" w:hAnsi="Arial" w:cs="Arial"/>
          <w:sz w:val="20"/>
          <w:szCs w:val="20"/>
        </w:rPr>
        <w:t>thị trường chứng khoán toàn cầu năm 2017</w:t>
      </w:r>
      <w:r w:rsidRPr="002057EE">
        <w:rPr>
          <w:rFonts w:ascii="Arial" w:hAnsi="Arial" w:cs="Arial"/>
          <w:sz w:val="20"/>
          <w:szCs w:val="20"/>
        </w:rPr>
        <w:t xml:space="preserve"> tăng thêm 12</w:t>
      </w:r>
      <w:proofErr w:type="gramStart"/>
      <w:r w:rsidRPr="002057EE">
        <w:rPr>
          <w:rFonts w:ascii="Arial" w:hAnsi="Arial" w:cs="Arial"/>
          <w:sz w:val="20"/>
          <w:szCs w:val="20"/>
        </w:rPr>
        <w:t>,4</w:t>
      </w:r>
      <w:proofErr w:type="gramEnd"/>
      <w:r w:rsidRPr="002057EE">
        <w:rPr>
          <w:rFonts w:ascii="Arial" w:hAnsi="Arial" w:cs="Arial"/>
          <w:sz w:val="20"/>
          <w:szCs w:val="20"/>
        </w:rPr>
        <w:t xml:space="preserve"> nghìn tỷ USD</w:t>
      </w:r>
      <w:r w:rsidR="00DC0D25" w:rsidRPr="002057EE">
        <w:rPr>
          <w:rFonts w:ascii="Arial" w:hAnsi="Arial" w:cs="Arial"/>
          <w:sz w:val="20"/>
          <w:szCs w:val="20"/>
        </w:rPr>
        <w:t>.</w:t>
      </w:r>
    </w:p>
    <w:p w:rsidR="006D3FC0" w:rsidRPr="002057EE" w:rsidRDefault="006D3FC0" w:rsidP="002057EE">
      <w:pPr>
        <w:shd w:val="clear" w:color="auto" w:fill="FFFFFF"/>
        <w:spacing w:after="60" w:line="240" w:lineRule="auto"/>
        <w:jc w:val="both"/>
        <w:textAlignment w:val="baseline"/>
        <w:rPr>
          <w:rFonts w:ascii="Arial" w:eastAsia="Times New Roman" w:hAnsi="Arial" w:cs="Arial"/>
          <w:sz w:val="20"/>
          <w:szCs w:val="20"/>
        </w:rPr>
      </w:pPr>
      <w:r w:rsidRPr="002057EE">
        <w:rPr>
          <w:rFonts w:ascii="Arial" w:eastAsia="Times New Roman" w:hAnsi="Arial" w:cs="Arial"/>
          <w:sz w:val="20"/>
          <w:szCs w:val="20"/>
        </w:rPr>
        <w:t>Kết thúc năm 2017, thị trường chứng khoán Mỹ ghi nhận 9 năm tăng điểm liên tiếp, và là năm tốt nhất kể từ năm 2013. Trong đó, chỉ số công nghiệp Dow Jones tăng trên 25% lên 24.719,22 điểm; chỉ số S&amp;P 500 tăng 18</w:t>
      </w:r>
      <w:proofErr w:type="gramStart"/>
      <w:r w:rsidRPr="002057EE">
        <w:rPr>
          <w:rFonts w:ascii="Arial" w:eastAsia="Times New Roman" w:hAnsi="Arial" w:cs="Arial"/>
          <w:sz w:val="20"/>
          <w:szCs w:val="20"/>
        </w:rPr>
        <w:t>,4</w:t>
      </w:r>
      <w:proofErr w:type="gramEnd"/>
      <w:r w:rsidRPr="002057EE">
        <w:rPr>
          <w:rFonts w:ascii="Arial" w:eastAsia="Times New Roman" w:hAnsi="Arial" w:cs="Arial"/>
          <w:sz w:val="20"/>
          <w:szCs w:val="20"/>
        </w:rPr>
        <w:t>% lên 2.673,61 điểm; chỉ số công nghệ Nasdaq Composite tăng 28,2% lên 6.903,39 điểm.</w:t>
      </w:r>
    </w:p>
    <w:p w:rsidR="00630064" w:rsidRPr="002057EE" w:rsidRDefault="00630064" w:rsidP="002057EE">
      <w:pPr>
        <w:pStyle w:val="NormalWeb"/>
        <w:shd w:val="clear" w:color="auto" w:fill="FFFFFF"/>
        <w:spacing w:before="0" w:beforeAutospacing="0" w:after="60" w:afterAutospacing="0"/>
        <w:jc w:val="both"/>
        <w:rPr>
          <w:rFonts w:ascii="Arial" w:hAnsi="Arial" w:cs="Arial"/>
          <w:sz w:val="20"/>
          <w:szCs w:val="20"/>
        </w:rPr>
      </w:pPr>
      <w:r w:rsidRPr="002057EE">
        <w:rPr>
          <w:rFonts w:ascii="Arial" w:hAnsi="Arial" w:cs="Arial"/>
          <w:sz w:val="20"/>
          <w:szCs w:val="20"/>
        </w:rPr>
        <w:t>T</w:t>
      </w:r>
      <w:r w:rsidR="000D6F04" w:rsidRPr="002057EE">
        <w:rPr>
          <w:rFonts w:ascii="Arial" w:hAnsi="Arial" w:cs="Arial"/>
          <w:sz w:val="20"/>
          <w:szCs w:val="20"/>
        </w:rPr>
        <w:t>ương tự, t</w:t>
      </w:r>
      <w:r w:rsidRPr="002057EE">
        <w:rPr>
          <w:rFonts w:ascii="Arial" w:hAnsi="Arial" w:cs="Arial"/>
          <w:sz w:val="20"/>
          <w:szCs w:val="20"/>
        </w:rPr>
        <w:t xml:space="preserve">hị trường chứng khoán châu Á khép lại năm 2017 trong tâm trạng </w:t>
      </w:r>
      <w:r w:rsidR="00D20AEB" w:rsidRPr="002057EE">
        <w:rPr>
          <w:rFonts w:ascii="Arial" w:hAnsi="Arial" w:cs="Arial"/>
          <w:sz w:val="20"/>
          <w:szCs w:val="20"/>
        </w:rPr>
        <w:t xml:space="preserve">đầy </w:t>
      </w:r>
      <w:r w:rsidRPr="002057EE">
        <w:rPr>
          <w:rFonts w:ascii="Arial" w:hAnsi="Arial" w:cs="Arial"/>
          <w:sz w:val="20"/>
          <w:szCs w:val="20"/>
        </w:rPr>
        <w:t>hứ</w:t>
      </w:r>
      <w:r w:rsidR="00D20AEB" w:rsidRPr="002057EE">
        <w:rPr>
          <w:rFonts w:ascii="Arial" w:hAnsi="Arial" w:cs="Arial"/>
          <w:sz w:val="20"/>
          <w:szCs w:val="20"/>
        </w:rPr>
        <w:t xml:space="preserve">ng khởi của giới đầu </w:t>
      </w:r>
      <w:proofErr w:type="gramStart"/>
      <w:r w:rsidR="00D20AEB" w:rsidRPr="002057EE">
        <w:rPr>
          <w:rFonts w:ascii="Arial" w:hAnsi="Arial" w:cs="Arial"/>
          <w:sz w:val="20"/>
          <w:szCs w:val="20"/>
        </w:rPr>
        <w:t>tư</w:t>
      </w:r>
      <w:proofErr w:type="gramEnd"/>
      <w:r w:rsidR="00D20AEB" w:rsidRPr="002057EE">
        <w:rPr>
          <w:rFonts w:ascii="Arial" w:hAnsi="Arial" w:cs="Arial"/>
          <w:sz w:val="20"/>
          <w:szCs w:val="20"/>
        </w:rPr>
        <w:t>. K</w:t>
      </w:r>
      <w:r w:rsidRPr="002057EE">
        <w:rPr>
          <w:rFonts w:ascii="Arial" w:hAnsi="Arial" w:cs="Arial"/>
          <w:sz w:val="20"/>
          <w:szCs w:val="20"/>
        </w:rPr>
        <w:t xml:space="preserve">inh tế toàn cầu </w:t>
      </w:r>
      <w:r w:rsidR="00D20AEB" w:rsidRPr="002057EE">
        <w:rPr>
          <w:rFonts w:ascii="Arial" w:hAnsi="Arial" w:cs="Arial"/>
          <w:sz w:val="20"/>
          <w:szCs w:val="20"/>
        </w:rPr>
        <w:t xml:space="preserve">tăng cao </w:t>
      </w:r>
      <w:r w:rsidRPr="002057EE">
        <w:rPr>
          <w:rFonts w:ascii="Arial" w:hAnsi="Arial" w:cs="Arial"/>
          <w:sz w:val="20"/>
          <w:szCs w:val="20"/>
        </w:rPr>
        <w:t xml:space="preserve">đã kéo </w:t>
      </w:r>
      <w:proofErr w:type="gramStart"/>
      <w:r w:rsidRPr="002057EE">
        <w:rPr>
          <w:rFonts w:ascii="Arial" w:hAnsi="Arial" w:cs="Arial"/>
          <w:sz w:val="20"/>
          <w:szCs w:val="20"/>
        </w:rPr>
        <w:t>theo</w:t>
      </w:r>
      <w:proofErr w:type="gramEnd"/>
      <w:r w:rsidRPr="002057EE">
        <w:rPr>
          <w:rFonts w:ascii="Arial" w:hAnsi="Arial" w:cs="Arial"/>
          <w:sz w:val="20"/>
          <w:szCs w:val="20"/>
        </w:rPr>
        <w:t xml:space="preserve"> lợi nhuận của các doanh nghiệp và giá hàng hóa cơ bản, trong khi lạm phát tiếp tục ở mức thấp tạo điều kiện để các </w:t>
      </w:r>
      <w:r w:rsidR="00D20AEB" w:rsidRPr="002057EE">
        <w:rPr>
          <w:rFonts w:ascii="Arial" w:hAnsi="Arial" w:cs="Arial"/>
          <w:sz w:val="20"/>
          <w:szCs w:val="20"/>
        </w:rPr>
        <w:t>NHTW</w:t>
      </w:r>
      <w:r w:rsidRPr="002057EE">
        <w:rPr>
          <w:rFonts w:ascii="Arial" w:hAnsi="Arial" w:cs="Arial"/>
          <w:sz w:val="20"/>
          <w:szCs w:val="20"/>
        </w:rPr>
        <w:t xml:space="preserve"> duy trì chính sách tiền tệ nới lỏng. Một trong những thị trường dẫn đầu sự tăng điểm trong khu vực là </w:t>
      </w:r>
      <w:r w:rsidR="00D20AEB" w:rsidRPr="002057EE">
        <w:rPr>
          <w:rFonts w:ascii="Arial" w:hAnsi="Arial" w:cs="Arial"/>
          <w:sz w:val="20"/>
          <w:szCs w:val="20"/>
        </w:rPr>
        <w:t>thị trường chứng khoán Việt Nam với mức tăng tới 48%, chứng khoán Hồng Kông tăng 36%</w:t>
      </w:r>
      <w:r w:rsidRPr="002057EE">
        <w:rPr>
          <w:rFonts w:ascii="Arial" w:hAnsi="Arial" w:cs="Arial"/>
          <w:sz w:val="20"/>
          <w:szCs w:val="20"/>
        </w:rPr>
        <w:t>, chứng khoán Hàn Quốc tăng gần 22%, chứng khoán Ấn Độ tăng 28%, chỉ số Nikkei 225 tại Nhật Bản tăng 19%.</w:t>
      </w:r>
    </w:p>
    <w:p w:rsidR="000D6F04" w:rsidRPr="002057EE" w:rsidRDefault="000D6F04" w:rsidP="002057EE">
      <w:pPr>
        <w:pStyle w:val="NormalWeb"/>
        <w:shd w:val="clear" w:color="auto" w:fill="FFFFFF"/>
        <w:spacing w:before="0" w:beforeAutospacing="0" w:after="60" w:afterAutospacing="0"/>
        <w:jc w:val="both"/>
        <w:rPr>
          <w:rFonts w:ascii="Arial" w:hAnsi="Arial" w:cs="Arial"/>
          <w:sz w:val="20"/>
          <w:szCs w:val="20"/>
        </w:rPr>
      </w:pPr>
      <w:r w:rsidRPr="002057EE">
        <w:rPr>
          <w:rFonts w:ascii="Arial" w:hAnsi="Arial" w:cs="Arial"/>
          <w:sz w:val="20"/>
          <w:szCs w:val="20"/>
        </w:rPr>
        <w:t xml:space="preserve">Tại thị trường châu Âu, hầu hết các thị trường chứng khoán đều tăng tốc, nhưng với tốc độ thấp hơn so với thị trường chứng khoán Mỹ và châu Á. Trong đó, kinh tế khu vực euro phục hồi </w:t>
      </w:r>
      <w:r w:rsidR="00D20AEB" w:rsidRPr="002057EE">
        <w:rPr>
          <w:rFonts w:ascii="Arial" w:hAnsi="Arial" w:cs="Arial"/>
          <w:sz w:val="20"/>
          <w:szCs w:val="20"/>
        </w:rPr>
        <w:t xml:space="preserve">vững chắc </w:t>
      </w:r>
      <w:r w:rsidRPr="002057EE">
        <w:rPr>
          <w:rFonts w:ascii="Arial" w:hAnsi="Arial" w:cs="Arial"/>
          <w:sz w:val="20"/>
          <w:szCs w:val="20"/>
        </w:rPr>
        <w:t>đã góp phần thúc đẩy thị trường chứng khoán. Kết thúc năm 2017, chỉ số DAX Frankfurt tăng 12</w:t>
      </w:r>
      <w:proofErr w:type="gramStart"/>
      <w:r w:rsidRPr="002057EE">
        <w:rPr>
          <w:rFonts w:ascii="Arial" w:hAnsi="Arial" w:cs="Arial"/>
          <w:sz w:val="20"/>
          <w:szCs w:val="20"/>
        </w:rPr>
        <w:t>,5</w:t>
      </w:r>
      <w:proofErr w:type="gramEnd"/>
      <w:r w:rsidRPr="002057EE">
        <w:rPr>
          <w:rFonts w:ascii="Arial" w:hAnsi="Arial" w:cs="Arial"/>
          <w:sz w:val="20"/>
          <w:szCs w:val="20"/>
        </w:rPr>
        <w:t xml:space="preserve">%, chỉ số </w:t>
      </w:r>
      <w:r w:rsidR="00291D50" w:rsidRPr="002057EE">
        <w:rPr>
          <w:rFonts w:ascii="Arial" w:hAnsi="Arial" w:cs="Arial"/>
          <w:sz w:val="20"/>
          <w:szCs w:val="20"/>
        </w:rPr>
        <w:t xml:space="preserve">FTSE MIB tăng 13,6%. Đáng chú ý, chỉ số </w:t>
      </w:r>
      <w:r w:rsidRPr="002057EE">
        <w:rPr>
          <w:rFonts w:ascii="Arial" w:hAnsi="Arial" w:cs="Arial"/>
          <w:sz w:val="20"/>
          <w:szCs w:val="20"/>
        </w:rPr>
        <w:t>FTSE 100 Luân Đôn tăng 7,6%</w:t>
      </w:r>
      <w:r w:rsidR="00291D50" w:rsidRPr="002057EE">
        <w:rPr>
          <w:rFonts w:ascii="Arial" w:hAnsi="Arial" w:cs="Arial"/>
          <w:sz w:val="20"/>
          <w:szCs w:val="20"/>
        </w:rPr>
        <w:t>, đánh dấu nỗ lực của V</w:t>
      </w:r>
      <w:r w:rsidR="00E208A8" w:rsidRPr="002057EE">
        <w:rPr>
          <w:rFonts w:ascii="Arial" w:hAnsi="Arial" w:cs="Arial"/>
          <w:sz w:val="20"/>
          <w:szCs w:val="20"/>
        </w:rPr>
        <w:t>ương quốc</w:t>
      </w:r>
      <w:r w:rsidR="00291D50" w:rsidRPr="002057EE">
        <w:rPr>
          <w:rFonts w:ascii="Arial" w:hAnsi="Arial" w:cs="Arial"/>
          <w:sz w:val="20"/>
          <w:szCs w:val="20"/>
        </w:rPr>
        <w:t xml:space="preserve"> Anh trong việc chặn đà suy giảm tăng trưởng kinh tế trong thời kỳ hậu Brexit và tác động tâm lý liên quan đến các cuộc đàm phán rời Liên minh châu Âu.</w:t>
      </w:r>
    </w:p>
    <w:p w:rsidR="00DC0D25" w:rsidRPr="002057EE" w:rsidRDefault="006D3FC0" w:rsidP="002057EE">
      <w:pPr>
        <w:shd w:val="clear" w:color="auto" w:fill="FFFFFF"/>
        <w:spacing w:after="60" w:line="240" w:lineRule="auto"/>
        <w:jc w:val="both"/>
        <w:rPr>
          <w:rFonts w:ascii="Arial" w:eastAsia="Times New Roman" w:hAnsi="Arial" w:cs="Arial"/>
          <w:sz w:val="20"/>
          <w:szCs w:val="20"/>
        </w:rPr>
      </w:pPr>
      <w:r w:rsidRPr="002057EE">
        <w:rPr>
          <w:rFonts w:ascii="Arial" w:hAnsi="Arial" w:cs="Arial"/>
          <w:sz w:val="20"/>
          <w:szCs w:val="20"/>
        </w:rPr>
        <w:t>V</w:t>
      </w:r>
      <w:r w:rsidR="00DC0D25" w:rsidRPr="002057EE">
        <w:rPr>
          <w:rFonts w:ascii="Arial" w:hAnsi="Arial" w:cs="Arial"/>
          <w:sz w:val="20"/>
          <w:szCs w:val="20"/>
        </w:rPr>
        <w:t xml:space="preserve">ề tốc độ phát triển </w:t>
      </w:r>
      <w:r w:rsidRPr="002057EE">
        <w:rPr>
          <w:rFonts w:ascii="Arial" w:hAnsi="Arial" w:cs="Arial"/>
          <w:sz w:val="20"/>
          <w:szCs w:val="20"/>
        </w:rPr>
        <w:t>thị trường chứng khoán</w:t>
      </w:r>
      <w:r w:rsidR="00DC0D25" w:rsidRPr="002057EE">
        <w:rPr>
          <w:rFonts w:ascii="Arial" w:hAnsi="Arial" w:cs="Arial"/>
          <w:sz w:val="20"/>
          <w:szCs w:val="20"/>
        </w:rPr>
        <w:t xml:space="preserve"> năm 2017</w:t>
      </w:r>
      <w:r w:rsidRPr="002057EE">
        <w:rPr>
          <w:rFonts w:ascii="Arial" w:hAnsi="Arial" w:cs="Arial"/>
          <w:sz w:val="20"/>
          <w:szCs w:val="20"/>
        </w:rPr>
        <w:t xml:space="preserve">, chỉ số Merval tại Argentina </w:t>
      </w:r>
      <w:r w:rsidR="00DC0D25" w:rsidRPr="002057EE">
        <w:rPr>
          <w:rFonts w:ascii="Arial" w:hAnsi="Arial" w:cs="Arial"/>
          <w:sz w:val="20"/>
          <w:szCs w:val="20"/>
        </w:rPr>
        <w:t xml:space="preserve"> </w:t>
      </w:r>
      <w:r w:rsidRPr="002057EE">
        <w:rPr>
          <w:rFonts w:ascii="Arial" w:hAnsi="Arial" w:cs="Arial"/>
          <w:sz w:val="20"/>
          <w:szCs w:val="20"/>
        </w:rPr>
        <w:t>đứng đầu danh sách</w:t>
      </w:r>
      <w:r w:rsidR="00DC0D25" w:rsidRPr="002057EE">
        <w:rPr>
          <w:rFonts w:ascii="Arial" w:hAnsi="Arial" w:cs="Arial"/>
          <w:sz w:val="20"/>
          <w:szCs w:val="20"/>
        </w:rPr>
        <w:t xml:space="preserve"> với kết quả tăng</w:t>
      </w:r>
      <w:r w:rsidR="00E928AA" w:rsidRPr="002057EE">
        <w:rPr>
          <w:rFonts w:ascii="Arial" w:eastAsia="Times New Roman" w:hAnsi="Arial" w:cs="Arial"/>
          <w:sz w:val="20"/>
          <w:szCs w:val="20"/>
        </w:rPr>
        <w:t xml:space="preserve"> 77,7</w:t>
      </w:r>
      <w:r w:rsidR="00DC0D25" w:rsidRPr="002057EE">
        <w:rPr>
          <w:rFonts w:ascii="Arial" w:eastAsia="Times New Roman" w:hAnsi="Arial" w:cs="Arial"/>
          <w:sz w:val="20"/>
          <w:szCs w:val="20"/>
        </w:rPr>
        <w:t xml:space="preserve">%, sau khi tăng 45% vào năm trước đó. Trong đó, </w:t>
      </w:r>
      <w:r w:rsidR="00FF2B06" w:rsidRPr="002057EE">
        <w:rPr>
          <w:rFonts w:ascii="Arial" w:eastAsia="Times New Roman" w:hAnsi="Arial" w:cs="Arial"/>
          <w:sz w:val="20"/>
          <w:szCs w:val="20"/>
        </w:rPr>
        <w:t>sự kiện</w:t>
      </w:r>
      <w:r w:rsidR="00DC0D25" w:rsidRPr="002057EE">
        <w:rPr>
          <w:rFonts w:ascii="Arial" w:eastAsia="Times New Roman" w:hAnsi="Arial" w:cs="Arial"/>
          <w:sz w:val="20"/>
          <w:szCs w:val="20"/>
        </w:rPr>
        <w:t xml:space="preserve"> ông Mauricio Macri đắc cử Tổng thống Argentina vào cuối năm 2015 </w:t>
      </w:r>
      <w:r w:rsidR="00FF2B06" w:rsidRPr="002057EE">
        <w:rPr>
          <w:rFonts w:ascii="Arial" w:eastAsia="Times New Roman" w:hAnsi="Arial" w:cs="Arial"/>
          <w:sz w:val="20"/>
          <w:szCs w:val="20"/>
        </w:rPr>
        <w:t xml:space="preserve">được cho là đã trở thành yếu tố tích cực thúc đẩy tăng trưởng kinh tế </w:t>
      </w:r>
      <w:r w:rsidR="00DC0D25" w:rsidRPr="002057EE">
        <w:rPr>
          <w:rFonts w:ascii="Arial" w:eastAsia="Times New Roman" w:hAnsi="Arial" w:cs="Arial"/>
          <w:sz w:val="20"/>
          <w:szCs w:val="20"/>
        </w:rPr>
        <w:t xml:space="preserve">và thị trường </w:t>
      </w:r>
      <w:r w:rsidR="00FF2B06" w:rsidRPr="002057EE">
        <w:rPr>
          <w:rFonts w:ascii="Arial" w:eastAsia="Times New Roman" w:hAnsi="Arial" w:cs="Arial"/>
          <w:sz w:val="20"/>
          <w:szCs w:val="20"/>
        </w:rPr>
        <w:t>chứng khoán</w:t>
      </w:r>
      <w:r w:rsidR="00D20AEB" w:rsidRPr="002057EE">
        <w:rPr>
          <w:rFonts w:ascii="Arial" w:eastAsia="Times New Roman" w:hAnsi="Arial" w:cs="Arial"/>
          <w:sz w:val="20"/>
          <w:szCs w:val="20"/>
        </w:rPr>
        <w:t xml:space="preserve"> quốc gia</w:t>
      </w:r>
      <w:r w:rsidR="00FF2B06" w:rsidRPr="002057EE">
        <w:rPr>
          <w:rFonts w:ascii="Arial" w:eastAsia="Times New Roman" w:hAnsi="Arial" w:cs="Arial"/>
          <w:sz w:val="20"/>
          <w:szCs w:val="20"/>
        </w:rPr>
        <w:t>. Tuy nhiên, lạm phát tại Argentina vẫn ở mức cao, trê</w:t>
      </w:r>
      <w:r w:rsidR="00DC0D25" w:rsidRPr="002057EE">
        <w:rPr>
          <w:rFonts w:ascii="Arial" w:eastAsia="Times New Roman" w:hAnsi="Arial" w:cs="Arial"/>
          <w:sz w:val="20"/>
          <w:szCs w:val="20"/>
        </w:rPr>
        <w:t xml:space="preserve">n 20%, và đồng nội tệ </w:t>
      </w:r>
      <w:r w:rsidR="00FF2B06" w:rsidRPr="002057EE">
        <w:rPr>
          <w:rFonts w:ascii="Arial" w:eastAsia="Times New Roman" w:hAnsi="Arial" w:cs="Arial"/>
          <w:sz w:val="20"/>
          <w:szCs w:val="20"/>
        </w:rPr>
        <w:t xml:space="preserve">pesos </w:t>
      </w:r>
      <w:r w:rsidR="00DC0D25" w:rsidRPr="002057EE">
        <w:rPr>
          <w:rFonts w:ascii="Arial" w:eastAsia="Times New Roman" w:hAnsi="Arial" w:cs="Arial"/>
          <w:sz w:val="20"/>
          <w:szCs w:val="20"/>
        </w:rPr>
        <w:t>tiếp tục mất giá.</w:t>
      </w:r>
    </w:p>
    <w:p w:rsidR="00E928AA" w:rsidRPr="002057EE" w:rsidRDefault="00E928AA" w:rsidP="002057EE">
      <w:pPr>
        <w:shd w:val="clear" w:color="auto" w:fill="FFFFFF"/>
        <w:spacing w:after="60" w:line="240" w:lineRule="auto"/>
        <w:jc w:val="both"/>
        <w:rPr>
          <w:rFonts w:ascii="Arial" w:hAnsi="Arial" w:cs="Arial"/>
          <w:bCs/>
          <w:sz w:val="20"/>
          <w:szCs w:val="20"/>
          <w:shd w:val="clear" w:color="auto" w:fill="F3F3F3"/>
        </w:rPr>
      </w:pPr>
      <w:r w:rsidRPr="002057EE">
        <w:rPr>
          <w:rFonts w:ascii="Arial" w:eastAsia="Times New Roman" w:hAnsi="Arial" w:cs="Arial"/>
          <w:sz w:val="20"/>
          <w:szCs w:val="20"/>
        </w:rPr>
        <w:t>Đứng thứ hai là thị trường chứng khoán Việt Nam với chỉ số VN Index tăng 48% và HNX Index tăng 46%, mức tăng cao nhất trong 10 năm qua và dẫn đầu các thị trường chứng khoán châu Á. Yếu tố cơ bản hỗ trợ thị trường chứng khoán Việt Nam tăng tốc bắt nguồn từ nỗ lực cải cách kinh tế, nhất là các giải pháp cổ phần hóa khu vực doanh nghiệp nhà nước</w:t>
      </w:r>
      <w:r w:rsidR="00630064" w:rsidRPr="002057EE">
        <w:rPr>
          <w:rFonts w:ascii="Arial" w:eastAsia="Times New Roman" w:hAnsi="Arial" w:cs="Arial"/>
          <w:sz w:val="20"/>
          <w:szCs w:val="20"/>
        </w:rPr>
        <w:t>. Ngoài ra, một số do</w:t>
      </w:r>
      <w:r w:rsidR="00630064" w:rsidRPr="002057EE">
        <w:rPr>
          <w:rFonts w:ascii="Arial" w:hAnsi="Arial" w:cs="Arial"/>
          <w:bCs/>
          <w:sz w:val="20"/>
          <w:szCs w:val="20"/>
          <w:shd w:val="clear" w:color="auto" w:fill="F3F3F3"/>
        </w:rPr>
        <w:t xml:space="preserve">anh nghiệp Việt Nam đang tích cực chuẩn bị đăng ký niêm yết trên thị trường chứng khoán quốc tế. </w:t>
      </w:r>
    </w:p>
    <w:p w:rsidR="006D3FC0" w:rsidRPr="002057EE" w:rsidRDefault="00630064" w:rsidP="002057EE">
      <w:pPr>
        <w:shd w:val="clear" w:color="auto" w:fill="FFFFFF"/>
        <w:spacing w:after="60" w:line="240" w:lineRule="auto"/>
        <w:jc w:val="both"/>
        <w:rPr>
          <w:rFonts w:ascii="Arial" w:eastAsia="Times New Roman" w:hAnsi="Arial" w:cs="Arial"/>
          <w:sz w:val="20"/>
          <w:szCs w:val="20"/>
        </w:rPr>
      </w:pPr>
      <w:r w:rsidRPr="002057EE">
        <w:rPr>
          <w:rFonts w:ascii="Arial" w:eastAsia="Times New Roman" w:hAnsi="Arial" w:cs="Arial"/>
          <w:sz w:val="20"/>
          <w:szCs w:val="20"/>
        </w:rPr>
        <w:t xml:space="preserve">Đứng thứ ba </w:t>
      </w:r>
      <w:r w:rsidR="006D3FC0" w:rsidRPr="002057EE">
        <w:rPr>
          <w:rFonts w:ascii="Arial" w:eastAsia="Times New Roman" w:hAnsi="Arial" w:cs="Arial"/>
          <w:sz w:val="20"/>
          <w:szCs w:val="20"/>
        </w:rPr>
        <w:t>là chứng khoán Thổ Nhĩ Kỳ với mức tăng 43</w:t>
      </w:r>
      <w:r w:rsidR="00E928AA" w:rsidRPr="002057EE">
        <w:rPr>
          <w:rFonts w:ascii="Arial" w:eastAsia="Times New Roman" w:hAnsi="Arial" w:cs="Arial"/>
          <w:sz w:val="20"/>
          <w:szCs w:val="20"/>
        </w:rPr>
        <w:t>,6</w:t>
      </w:r>
      <w:r w:rsidR="006D3FC0" w:rsidRPr="002057EE">
        <w:rPr>
          <w:rFonts w:ascii="Arial" w:eastAsia="Times New Roman" w:hAnsi="Arial" w:cs="Arial"/>
          <w:sz w:val="20"/>
          <w:szCs w:val="20"/>
        </w:rPr>
        <w:t>% trong năm nay, nhờ Chính ph</w:t>
      </w:r>
      <w:r w:rsidR="00D20AEB" w:rsidRPr="002057EE">
        <w:rPr>
          <w:rFonts w:ascii="Arial" w:eastAsia="Times New Roman" w:hAnsi="Arial" w:cs="Arial"/>
          <w:sz w:val="20"/>
          <w:szCs w:val="20"/>
        </w:rPr>
        <w:t>ủ cắt giảm thuế và thực hiện</w:t>
      </w:r>
      <w:r w:rsidR="006D3FC0" w:rsidRPr="002057EE">
        <w:rPr>
          <w:rFonts w:ascii="Arial" w:eastAsia="Times New Roman" w:hAnsi="Arial" w:cs="Arial"/>
          <w:sz w:val="20"/>
          <w:szCs w:val="20"/>
        </w:rPr>
        <w:t xml:space="preserve"> chương trình bảo lãnh nhằm khuyến khích các ngân hàng cho các doanh nghiệp nhỏ vay tiền. Tương tự là trường hợp Nigeria, </w:t>
      </w:r>
      <w:r w:rsidR="009A7BD4" w:rsidRPr="002057EE">
        <w:rPr>
          <w:rFonts w:ascii="Arial" w:eastAsia="Times New Roman" w:hAnsi="Arial" w:cs="Arial"/>
          <w:sz w:val="20"/>
          <w:szCs w:val="20"/>
        </w:rPr>
        <w:t>chỉ số All-Share i</w:t>
      </w:r>
      <w:r w:rsidR="006D3FC0" w:rsidRPr="002057EE">
        <w:rPr>
          <w:rFonts w:ascii="Arial" w:eastAsia="Times New Roman" w:hAnsi="Arial" w:cs="Arial"/>
          <w:sz w:val="20"/>
          <w:szCs w:val="20"/>
        </w:rPr>
        <w:t xml:space="preserve">ndex ghi nhận tốc độ phục hồi mạnh mẽ </w:t>
      </w:r>
      <w:r w:rsidR="009A7BD4" w:rsidRPr="002057EE">
        <w:rPr>
          <w:rFonts w:ascii="Arial" w:eastAsia="Times New Roman" w:hAnsi="Arial" w:cs="Arial"/>
          <w:sz w:val="20"/>
          <w:szCs w:val="20"/>
        </w:rPr>
        <w:t xml:space="preserve">với mức tăng trưởng 43% </w:t>
      </w:r>
      <w:r w:rsidR="006D3FC0" w:rsidRPr="002057EE">
        <w:rPr>
          <w:rFonts w:ascii="Arial" w:eastAsia="Times New Roman" w:hAnsi="Arial" w:cs="Arial"/>
          <w:sz w:val="20"/>
          <w:szCs w:val="20"/>
        </w:rPr>
        <w:t xml:space="preserve">sau khi giảm xuống mức đáy vào năm 2015 và 2016 do giá dầu giảm sâu, các cuộc tấn </w:t>
      </w:r>
      <w:r w:rsidR="00D20AEB" w:rsidRPr="002057EE">
        <w:rPr>
          <w:rFonts w:ascii="Arial" w:eastAsia="Times New Roman" w:hAnsi="Arial" w:cs="Arial"/>
          <w:sz w:val="20"/>
          <w:szCs w:val="20"/>
        </w:rPr>
        <w:t>công khủng bố</w:t>
      </w:r>
      <w:r w:rsidR="006D3FC0" w:rsidRPr="002057EE">
        <w:rPr>
          <w:rFonts w:ascii="Arial" w:eastAsia="Times New Roman" w:hAnsi="Arial" w:cs="Arial"/>
          <w:sz w:val="20"/>
          <w:szCs w:val="20"/>
        </w:rPr>
        <w:t xml:space="preserve">, đồng nội tệ mất giá, và đại dịch Ebola. </w:t>
      </w:r>
      <w:r w:rsidR="009A7BD4" w:rsidRPr="002057EE">
        <w:rPr>
          <w:rFonts w:ascii="Arial" w:eastAsia="Times New Roman" w:hAnsi="Arial" w:cs="Arial"/>
          <w:sz w:val="20"/>
          <w:szCs w:val="20"/>
        </w:rPr>
        <w:t>Hiện nay</w:t>
      </w:r>
      <w:r w:rsidR="00D20AEB" w:rsidRPr="002057EE">
        <w:rPr>
          <w:rFonts w:ascii="Arial" w:eastAsia="Times New Roman" w:hAnsi="Arial" w:cs="Arial"/>
          <w:sz w:val="20"/>
          <w:szCs w:val="20"/>
        </w:rPr>
        <w:t>, giá dầu</w:t>
      </w:r>
      <w:r w:rsidR="006D3FC0" w:rsidRPr="002057EE">
        <w:rPr>
          <w:rFonts w:ascii="Arial" w:eastAsia="Times New Roman" w:hAnsi="Arial" w:cs="Arial"/>
          <w:sz w:val="20"/>
          <w:szCs w:val="20"/>
        </w:rPr>
        <w:t xml:space="preserve"> đã hồi phục đáng kể, các quy định về đổi ngoại tệ được nới lỏng, và nền kinh tế nước này đã thoát khỏi suy thoái. </w:t>
      </w:r>
      <w:r w:rsidR="009A7BD4" w:rsidRPr="002057EE">
        <w:rPr>
          <w:rFonts w:ascii="Arial" w:eastAsia="Times New Roman" w:hAnsi="Arial" w:cs="Arial"/>
          <w:sz w:val="20"/>
          <w:szCs w:val="20"/>
        </w:rPr>
        <w:t>Tuy nhiên, thị trường chứng khoán Nigeria</w:t>
      </w:r>
      <w:r w:rsidR="006D3FC0" w:rsidRPr="002057EE">
        <w:rPr>
          <w:rFonts w:ascii="Arial" w:eastAsia="Times New Roman" w:hAnsi="Arial" w:cs="Arial"/>
          <w:sz w:val="20"/>
          <w:szCs w:val="20"/>
        </w:rPr>
        <w:t xml:space="preserve"> </w:t>
      </w:r>
      <w:r w:rsidR="009A7BD4" w:rsidRPr="002057EE">
        <w:rPr>
          <w:rFonts w:ascii="Arial" w:eastAsia="Times New Roman" w:hAnsi="Arial" w:cs="Arial"/>
          <w:sz w:val="20"/>
          <w:szCs w:val="20"/>
        </w:rPr>
        <w:t xml:space="preserve">vẫn </w:t>
      </w:r>
      <w:r w:rsidR="006D3FC0" w:rsidRPr="002057EE">
        <w:rPr>
          <w:rFonts w:ascii="Arial" w:eastAsia="Times New Roman" w:hAnsi="Arial" w:cs="Arial"/>
          <w:sz w:val="20"/>
          <w:szCs w:val="20"/>
        </w:rPr>
        <w:t>chưa tái lập được mức điểm kỷ lục</w:t>
      </w:r>
      <w:r w:rsidR="009A7BD4" w:rsidRPr="002057EE">
        <w:rPr>
          <w:rFonts w:ascii="Arial" w:eastAsia="Times New Roman" w:hAnsi="Arial" w:cs="Arial"/>
          <w:sz w:val="20"/>
          <w:szCs w:val="20"/>
        </w:rPr>
        <w:t>, vốn được</w:t>
      </w:r>
      <w:r w:rsidR="006D3FC0" w:rsidRPr="002057EE">
        <w:rPr>
          <w:rFonts w:ascii="Arial" w:eastAsia="Times New Roman" w:hAnsi="Arial" w:cs="Arial"/>
          <w:sz w:val="20"/>
          <w:szCs w:val="20"/>
        </w:rPr>
        <w:t xml:space="preserve"> thiết lập vào năm 2008.</w:t>
      </w:r>
    </w:p>
    <w:p w:rsidR="003B77C2" w:rsidRPr="002057EE" w:rsidRDefault="00630064" w:rsidP="002057EE">
      <w:pPr>
        <w:shd w:val="clear" w:color="auto" w:fill="FFFFFF"/>
        <w:spacing w:after="60" w:line="240" w:lineRule="auto"/>
        <w:jc w:val="both"/>
        <w:rPr>
          <w:rFonts w:ascii="Arial" w:eastAsia="Times New Roman" w:hAnsi="Arial" w:cs="Arial"/>
          <w:sz w:val="20"/>
          <w:szCs w:val="20"/>
        </w:rPr>
      </w:pPr>
      <w:r w:rsidRPr="002057EE">
        <w:rPr>
          <w:rFonts w:ascii="Arial" w:eastAsia="Times New Roman" w:hAnsi="Arial" w:cs="Arial"/>
          <w:sz w:val="20"/>
          <w:szCs w:val="20"/>
        </w:rPr>
        <w:t xml:space="preserve">Tiếp theo </w:t>
      </w:r>
      <w:r w:rsidR="009A7BD4" w:rsidRPr="002057EE">
        <w:rPr>
          <w:rFonts w:ascii="Arial" w:eastAsia="Times New Roman" w:hAnsi="Arial" w:cs="Arial"/>
          <w:sz w:val="20"/>
          <w:szCs w:val="20"/>
        </w:rPr>
        <w:t xml:space="preserve">là chỉ số Hang Seng của thị trường </w:t>
      </w:r>
      <w:r w:rsidRPr="002057EE">
        <w:rPr>
          <w:rFonts w:ascii="Arial" w:eastAsia="Times New Roman" w:hAnsi="Arial" w:cs="Arial"/>
          <w:sz w:val="20"/>
          <w:szCs w:val="20"/>
        </w:rPr>
        <w:t>chứng khoán Hồng Kông với kết quả tăng 36% trong năm 2017</w:t>
      </w:r>
      <w:r w:rsidR="009A7BD4" w:rsidRPr="002057EE">
        <w:rPr>
          <w:rFonts w:ascii="Arial" w:eastAsia="Times New Roman" w:hAnsi="Arial" w:cs="Arial"/>
          <w:sz w:val="20"/>
          <w:szCs w:val="20"/>
        </w:rPr>
        <w:t xml:space="preserve">, trái với xu hướng giảm điểm trên các thị trường chứng khoán Trung Quốc đại lục. Sự khác biệt này được cho là xuất phát từ diễn biến giá cổ phiếu </w:t>
      </w:r>
      <w:r w:rsidR="00D20AEB" w:rsidRPr="002057EE">
        <w:rPr>
          <w:rFonts w:ascii="Arial" w:eastAsia="Times New Roman" w:hAnsi="Arial" w:cs="Arial"/>
          <w:sz w:val="20"/>
          <w:szCs w:val="20"/>
        </w:rPr>
        <w:t xml:space="preserve">của </w:t>
      </w:r>
      <w:r w:rsidR="009A7BD4" w:rsidRPr="002057EE">
        <w:rPr>
          <w:rFonts w:ascii="Arial" w:eastAsia="Times New Roman" w:hAnsi="Arial" w:cs="Arial"/>
          <w:sz w:val="20"/>
          <w:szCs w:val="20"/>
        </w:rPr>
        <w:t>công ty công nghệ Tencent, với kết quả tăng trên hai lần trong năm 2017. Thậm chí, mức vốn hóa của Tencent đôi khi đã vượt mức vốn hóa của mạng xã hội lớn nhất thế giới Facebook.</w:t>
      </w:r>
      <w:r w:rsidRPr="002057EE">
        <w:rPr>
          <w:rFonts w:ascii="Arial" w:eastAsia="Times New Roman" w:hAnsi="Arial" w:cs="Arial"/>
          <w:sz w:val="20"/>
          <w:szCs w:val="20"/>
        </w:rPr>
        <w:t xml:space="preserve"> Thấp hơn một chút là thị trường chứng khoán Latvia với chỉ số </w:t>
      </w:r>
      <w:r w:rsidRPr="002057EE">
        <w:rPr>
          <w:rFonts w:ascii="Arial" w:hAnsi="Arial" w:cs="Arial"/>
          <w:sz w:val="20"/>
          <w:szCs w:val="20"/>
        </w:rPr>
        <w:t>OMX</w:t>
      </w:r>
      <w:r w:rsidRPr="002057EE">
        <w:rPr>
          <w:rFonts w:ascii="Arial" w:eastAsia="Times New Roman" w:hAnsi="Arial" w:cs="Arial"/>
          <w:sz w:val="20"/>
          <w:szCs w:val="20"/>
        </w:rPr>
        <w:t xml:space="preserve"> Riga tăng 35,8%</w:t>
      </w:r>
      <w:r w:rsidR="003B77C2" w:rsidRPr="002057EE">
        <w:rPr>
          <w:rFonts w:ascii="Arial" w:eastAsia="Times New Roman" w:hAnsi="Arial" w:cs="Arial"/>
          <w:sz w:val="20"/>
          <w:szCs w:val="20"/>
        </w:rPr>
        <w:t>, chủ yếu nhờ kinh tế phục hồi mạnh mẽ, nhất là các hoạt động công nghiệp và xuất khẩu.</w:t>
      </w:r>
    </w:p>
    <w:p w:rsidR="000D6F04" w:rsidRPr="002057EE" w:rsidRDefault="003B77C2" w:rsidP="002057EE">
      <w:pPr>
        <w:shd w:val="clear" w:color="auto" w:fill="FFFFFF"/>
        <w:spacing w:after="60" w:line="240" w:lineRule="auto"/>
        <w:jc w:val="both"/>
        <w:rPr>
          <w:rFonts w:ascii="Arial" w:eastAsia="Times New Roman" w:hAnsi="Arial" w:cs="Arial"/>
          <w:sz w:val="20"/>
          <w:szCs w:val="20"/>
        </w:rPr>
      </w:pPr>
      <w:r w:rsidRPr="002057EE">
        <w:rPr>
          <w:rFonts w:ascii="Arial" w:eastAsia="Times New Roman" w:hAnsi="Arial" w:cs="Arial"/>
          <w:sz w:val="20"/>
          <w:szCs w:val="20"/>
        </w:rPr>
        <w:t>Trái với kết quả tăng trưởng đầy ấn tượng tại hầu hết các thị trường chứng khoán thế giới, một số th</w:t>
      </w:r>
      <w:r w:rsidR="000D6F04" w:rsidRPr="002057EE">
        <w:rPr>
          <w:rFonts w:ascii="Arial" w:eastAsia="Times New Roman" w:hAnsi="Arial" w:cs="Arial"/>
          <w:sz w:val="20"/>
          <w:szCs w:val="20"/>
        </w:rPr>
        <w:t xml:space="preserve">ị trường chứng khoán vẫn ảm đạm. Trầm trọng nhất là trường hợp Venezuela, với mức suy giảm tới 100%, do giá dầu </w:t>
      </w:r>
      <w:proofErr w:type="gramStart"/>
      <w:r w:rsidR="000D6F04" w:rsidRPr="002057EE">
        <w:rPr>
          <w:rFonts w:ascii="Arial" w:eastAsia="Times New Roman" w:hAnsi="Arial" w:cs="Arial"/>
          <w:sz w:val="20"/>
          <w:szCs w:val="20"/>
        </w:rPr>
        <w:t>lao</w:t>
      </w:r>
      <w:proofErr w:type="gramEnd"/>
      <w:r w:rsidR="000D6F04" w:rsidRPr="002057EE">
        <w:rPr>
          <w:rFonts w:ascii="Arial" w:eastAsia="Times New Roman" w:hAnsi="Arial" w:cs="Arial"/>
          <w:sz w:val="20"/>
          <w:szCs w:val="20"/>
        </w:rPr>
        <w:t xml:space="preserve"> dốc và rối loạn chính trị đã đẩy quốc gia này vào giai đoạn khủng hoảng trầm trọng. Tiếp </w:t>
      </w:r>
      <w:proofErr w:type="gramStart"/>
      <w:r w:rsidR="000D6F04" w:rsidRPr="002057EE">
        <w:rPr>
          <w:rFonts w:ascii="Arial" w:eastAsia="Times New Roman" w:hAnsi="Arial" w:cs="Arial"/>
          <w:sz w:val="20"/>
          <w:szCs w:val="20"/>
        </w:rPr>
        <w:t>theo</w:t>
      </w:r>
      <w:proofErr w:type="gramEnd"/>
      <w:r w:rsidR="000D6F04" w:rsidRPr="002057EE">
        <w:rPr>
          <w:rFonts w:ascii="Arial" w:eastAsia="Times New Roman" w:hAnsi="Arial" w:cs="Arial"/>
          <w:sz w:val="20"/>
          <w:szCs w:val="20"/>
        </w:rPr>
        <w:t xml:space="preserve"> là thị trường chứng khoán Qatar, với mức suy giảm tới 19%, do khủng hoảng ngoại giao giữa Qatar với một loạt nước láng giềng trong khu vực, dẫn đầu là A rập Xê út, bắt nguồn từ những cáo buộc cho rằng, Qatar đã tài trợ cho khủng bố - một cáo buộc mà Qatar phủ nhận.</w:t>
      </w:r>
    </w:p>
    <w:p w:rsidR="00291D50" w:rsidRPr="002057EE" w:rsidRDefault="00291D50" w:rsidP="002057EE">
      <w:pPr>
        <w:pStyle w:val="NormalWeb"/>
        <w:shd w:val="clear" w:color="auto" w:fill="FFFFFF"/>
        <w:spacing w:before="0" w:beforeAutospacing="0" w:after="60" w:afterAutospacing="0"/>
        <w:jc w:val="both"/>
        <w:rPr>
          <w:rFonts w:ascii="Arial" w:hAnsi="Arial" w:cs="Arial"/>
          <w:sz w:val="20"/>
          <w:szCs w:val="20"/>
        </w:rPr>
      </w:pPr>
      <w:r w:rsidRPr="002057EE">
        <w:rPr>
          <w:rFonts w:ascii="Arial" w:hAnsi="Arial" w:cs="Arial"/>
          <w:sz w:val="20"/>
          <w:szCs w:val="20"/>
        </w:rPr>
        <w:t>Có nhiều nguyên nhân thúc đẩy thị trường chứng khoán năm 2017 tăng tốc, chủ yếu là do kinh tế toàn cầu tăng cao nhất trong những năm gần đây. Đáng chú ý, kinh tế khu vực đồng euro ghi nhận kết quả phục hồi vững chắc sau nhiều năm trầm lắng</w:t>
      </w:r>
      <w:r w:rsidR="002D6FAE" w:rsidRPr="002057EE">
        <w:rPr>
          <w:rFonts w:ascii="Arial" w:hAnsi="Arial" w:cs="Arial"/>
          <w:sz w:val="20"/>
          <w:szCs w:val="20"/>
        </w:rPr>
        <w:t>, GDP tại Trung Quốc vẫn tăng</w:t>
      </w:r>
      <w:r w:rsidRPr="002057EE">
        <w:rPr>
          <w:rFonts w:ascii="Arial" w:hAnsi="Arial" w:cs="Arial"/>
          <w:sz w:val="20"/>
          <w:szCs w:val="20"/>
        </w:rPr>
        <w:t xml:space="preserve"> cao</w:t>
      </w:r>
      <w:r w:rsidR="002D6FAE" w:rsidRPr="002057EE">
        <w:rPr>
          <w:rFonts w:ascii="Arial" w:hAnsi="Arial" w:cs="Arial"/>
          <w:sz w:val="20"/>
          <w:szCs w:val="20"/>
        </w:rPr>
        <w:t>, mặc dù chậm dần</w:t>
      </w:r>
      <w:r w:rsidRPr="002057EE">
        <w:rPr>
          <w:rFonts w:ascii="Arial" w:hAnsi="Arial" w:cs="Arial"/>
          <w:sz w:val="20"/>
          <w:szCs w:val="20"/>
        </w:rPr>
        <w:t xml:space="preserve">. Theo OECD, thương mại toàn cầu năm 2017 tăng 4,8%, cao hơn nhiều so với kết quả tăng 2,6% trong năm trước, GDP toàn cầu tăng tốc, từ mức tăng 3,1% trong năm 2016 lên 3,6% trong năm 2017. Chương trình cắt giảm thuế quy mô lớn </w:t>
      </w:r>
      <w:r w:rsidR="002D6FAE" w:rsidRPr="002057EE">
        <w:rPr>
          <w:rFonts w:ascii="Arial" w:hAnsi="Arial" w:cs="Arial"/>
          <w:sz w:val="20"/>
          <w:szCs w:val="20"/>
        </w:rPr>
        <w:t xml:space="preserve">tại Mỹ </w:t>
      </w:r>
      <w:r w:rsidRPr="002057EE">
        <w:rPr>
          <w:rFonts w:ascii="Arial" w:hAnsi="Arial" w:cs="Arial"/>
          <w:sz w:val="20"/>
          <w:szCs w:val="20"/>
        </w:rPr>
        <w:t xml:space="preserve">được kỳ vọng sẽ góp phần hỗ trợ doanh nghiệp mở rộng đầu tư và tăng </w:t>
      </w:r>
      <w:proofErr w:type="gramStart"/>
      <w:r w:rsidRPr="002057EE">
        <w:rPr>
          <w:rFonts w:ascii="Arial" w:hAnsi="Arial" w:cs="Arial"/>
          <w:sz w:val="20"/>
          <w:szCs w:val="20"/>
        </w:rPr>
        <w:t>thu</w:t>
      </w:r>
      <w:proofErr w:type="gramEnd"/>
      <w:r w:rsidRPr="002057EE">
        <w:rPr>
          <w:rFonts w:ascii="Arial" w:hAnsi="Arial" w:cs="Arial"/>
          <w:sz w:val="20"/>
          <w:szCs w:val="20"/>
        </w:rPr>
        <w:t xml:space="preserve"> lợi </w:t>
      </w:r>
      <w:r w:rsidRPr="002057EE">
        <w:rPr>
          <w:rFonts w:ascii="Arial" w:hAnsi="Arial" w:cs="Arial"/>
          <w:sz w:val="20"/>
          <w:szCs w:val="20"/>
        </w:rPr>
        <w:lastRenderedPageBreak/>
        <w:t>nhuận. Trong khi đó, các NHTW tiếp tục bơm tiền vào hệ thống tài chính toàn cầu thông qua chương trình nới lỏng định lượng. Trong năm 2017, các thị trường tài chính và chứng khoán toàn cầu chứng kiến một năm có mức độ chao đảo thấp nhất</w:t>
      </w:r>
      <w:r w:rsidR="002D6FAE" w:rsidRPr="002057EE">
        <w:rPr>
          <w:rFonts w:ascii="Arial" w:hAnsi="Arial" w:cs="Arial"/>
          <w:sz w:val="20"/>
          <w:szCs w:val="20"/>
        </w:rPr>
        <w:t xml:space="preserve">, tình hình chính trị trên toàn cầu nhìn </w:t>
      </w:r>
      <w:proofErr w:type="gramStart"/>
      <w:r w:rsidR="002D6FAE" w:rsidRPr="002057EE">
        <w:rPr>
          <w:rFonts w:ascii="Arial" w:hAnsi="Arial" w:cs="Arial"/>
          <w:sz w:val="20"/>
          <w:szCs w:val="20"/>
        </w:rPr>
        <w:t>chung</w:t>
      </w:r>
      <w:proofErr w:type="gramEnd"/>
      <w:r w:rsidR="002D6FAE" w:rsidRPr="002057EE">
        <w:rPr>
          <w:rFonts w:ascii="Arial" w:hAnsi="Arial" w:cs="Arial"/>
          <w:sz w:val="20"/>
          <w:szCs w:val="20"/>
        </w:rPr>
        <w:t xml:space="preserve"> ổn định hơn so với những năm trước đây</w:t>
      </w:r>
      <w:r w:rsidRPr="002057EE">
        <w:rPr>
          <w:rFonts w:ascii="Arial" w:hAnsi="Arial" w:cs="Arial"/>
          <w:sz w:val="20"/>
          <w:szCs w:val="20"/>
        </w:rPr>
        <w:t xml:space="preserve">. </w:t>
      </w:r>
    </w:p>
    <w:p w:rsidR="009D6A7E" w:rsidRPr="002057EE" w:rsidRDefault="00291D50" w:rsidP="002057EE">
      <w:pPr>
        <w:shd w:val="clear" w:color="auto" w:fill="FFFFFF"/>
        <w:spacing w:after="60" w:line="240" w:lineRule="auto"/>
        <w:jc w:val="both"/>
        <w:textAlignment w:val="baseline"/>
        <w:rPr>
          <w:rFonts w:ascii="Arial" w:eastAsia="Times New Roman" w:hAnsi="Arial" w:cs="Arial"/>
          <w:sz w:val="20"/>
          <w:szCs w:val="20"/>
        </w:rPr>
      </w:pPr>
      <w:r w:rsidRPr="002057EE">
        <w:rPr>
          <w:rFonts w:ascii="Arial" w:hAnsi="Arial" w:cs="Arial"/>
          <w:sz w:val="20"/>
          <w:szCs w:val="20"/>
        </w:rPr>
        <w:t>Về động lực thúc đẩy thị trường chứng khoán năm 2018, yếu tố quan trọng bắt nguồn tình hình kinh tế Mỹ. Trong</w:t>
      </w:r>
      <w:r w:rsidR="009D6A7E" w:rsidRPr="002057EE">
        <w:rPr>
          <w:rFonts w:ascii="Arial" w:hAnsi="Arial" w:cs="Arial"/>
          <w:sz w:val="20"/>
          <w:szCs w:val="20"/>
        </w:rPr>
        <w:t xml:space="preserve"> đó, việc cắt giảm thuế thu nhập doanh nghiệp từ tỷ lệ 35% xuống 21% được cho là sẽ thúc đẩy thị trường chứng khoán Mỹ trong năm 2018, qua đó gây tác động lan tỏa toàn cầu. </w:t>
      </w:r>
      <w:r w:rsidR="009D6A7E" w:rsidRPr="002057EE">
        <w:rPr>
          <w:rFonts w:ascii="Arial" w:eastAsia="Times New Roman" w:hAnsi="Arial" w:cs="Arial"/>
          <w:sz w:val="20"/>
          <w:szCs w:val="20"/>
        </w:rPr>
        <w:t xml:space="preserve">Tuy nhiên, một số chuyên gia chiến lược lo ngại, kinh tế tăng nhanh có thể sẽ gây áp lực tăng lạm phát, buộc </w:t>
      </w:r>
      <w:r w:rsidR="002D6FAE" w:rsidRPr="002057EE">
        <w:rPr>
          <w:rFonts w:ascii="Arial" w:eastAsia="Times New Roman" w:hAnsi="Arial" w:cs="Arial"/>
          <w:sz w:val="20"/>
          <w:szCs w:val="20"/>
        </w:rPr>
        <w:t>Cục Dự trữ Liên bang Mỹ (</w:t>
      </w:r>
      <w:r w:rsidR="009D6A7E" w:rsidRPr="002057EE">
        <w:rPr>
          <w:rFonts w:ascii="Arial" w:eastAsia="Times New Roman" w:hAnsi="Arial" w:cs="Arial"/>
          <w:sz w:val="20"/>
          <w:szCs w:val="20"/>
        </w:rPr>
        <w:t>Fed</w:t>
      </w:r>
      <w:r w:rsidR="002D6FAE" w:rsidRPr="002057EE">
        <w:rPr>
          <w:rFonts w:ascii="Arial" w:eastAsia="Times New Roman" w:hAnsi="Arial" w:cs="Arial"/>
          <w:sz w:val="20"/>
          <w:szCs w:val="20"/>
        </w:rPr>
        <w:t>)</w:t>
      </w:r>
      <w:r w:rsidR="009D6A7E" w:rsidRPr="002057EE">
        <w:rPr>
          <w:rFonts w:ascii="Arial" w:eastAsia="Times New Roman" w:hAnsi="Arial" w:cs="Arial"/>
          <w:sz w:val="20"/>
          <w:szCs w:val="20"/>
        </w:rPr>
        <w:t xml:space="preserve"> phải rút ngắn lộ trình tăng lãi suất. Ngoài ra, các nhà đầu tư cũng </w:t>
      </w:r>
      <w:proofErr w:type="gramStart"/>
      <w:r w:rsidR="009D6A7E" w:rsidRPr="002057EE">
        <w:rPr>
          <w:rFonts w:ascii="Arial" w:eastAsia="Times New Roman" w:hAnsi="Arial" w:cs="Arial"/>
          <w:sz w:val="20"/>
          <w:szCs w:val="20"/>
        </w:rPr>
        <w:t>theo</w:t>
      </w:r>
      <w:proofErr w:type="gramEnd"/>
      <w:r w:rsidR="009D6A7E" w:rsidRPr="002057EE">
        <w:rPr>
          <w:rFonts w:ascii="Arial" w:eastAsia="Times New Roman" w:hAnsi="Arial" w:cs="Arial"/>
          <w:sz w:val="20"/>
          <w:szCs w:val="20"/>
        </w:rPr>
        <w:t xml:space="preserve"> dõi chặt chẽ diễn biến cuộc bầu cử giữa nhiệm kỳ tại Mỹ vào năm 2018. Trong trường hợp đảng Cộng hòa mất kiểm soát tại Thượng viện hoặc Hạ viện, chương trình nghị sự của Đảng này và của chính quyền Mỹ nói </w:t>
      </w:r>
      <w:proofErr w:type="gramStart"/>
      <w:r w:rsidR="009D6A7E" w:rsidRPr="002057EE">
        <w:rPr>
          <w:rFonts w:ascii="Arial" w:eastAsia="Times New Roman" w:hAnsi="Arial" w:cs="Arial"/>
          <w:sz w:val="20"/>
          <w:szCs w:val="20"/>
        </w:rPr>
        <w:t>chung</w:t>
      </w:r>
      <w:proofErr w:type="gramEnd"/>
      <w:r w:rsidR="009D6A7E" w:rsidRPr="002057EE">
        <w:rPr>
          <w:rFonts w:ascii="Arial" w:eastAsia="Times New Roman" w:hAnsi="Arial" w:cs="Arial"/>
          <w:sz w:val="20"/>
          <w:szCs w:val="20"/>
        </w:rPr>
        <w:t xml:space="preserve"> có thể bị ngừng trệ, ảnh hưởng tiêu cực đến tình hình kinh tế và thị trường tài chính.</w:t>
      </w:r>
    </w:p>
    <w:p w:rsidR="009D6A7E" w:rsidRPr="002057EE" w:rsidRDefault="00835AB7" w:rsidP="002057EE">
      <w:pPr>
        <w:shd w:val="clear" w:color="auto" w:fill="FFFFFF"/>
        <w:spacing w:after="60" w:line="240" w:lineRule="auto"/>
        <w:jc w:val="both"/>
        <w:textAlignment w:val="baseline"/>
        <w:rPr>
          <w:rFonts w:ascii="Arial" w:eastAsia="Times New Roman" w:hAnsi="Arial" w:cs="Arial"/>
          <w:i/>
          <w:sz w:val="20"/>
          <w:szCs w:val="20"/>
        </w:rPr>
      </w:pPr>
      <w:r w:rsidRPr="002057EE">
        <w:rPr>
          <w:rFonts w:ascii="Arial" w:eastAsia="Times New Roman" w:hAnsi="Arial" w:cs="Arial"/>
          <w:b/>
          <w:i/>
          <w:sz w:val="20"/>
          <w:szCs w:val="20"/>
        </w:rPr>
        <w:t>Ho</w:t>
      </w:r>
      <w:r w:rsidR="002057EE">
        <w:rPr>
          <w:rFonts w:ascii="Arial" w:eastAsia="Times New Roman" w:hAnsi="Arial" w:cs="Arial"/>
          <w:b/>
          <w:i/>
          <w:sz w:val="20"/>
          <w:szCs w:val="20"/>
        </w:rPr>
        <w:t xml:space="preserve">àng Thế </w:t>
      </w:r>
      <w:r w:rsidRPr="002057EE">
        <w:rPr>
          <w:rFonts w:ascii="Arial" w:eastAsia="Times New Roman" w:hAnsi="Arial" w:cs="Arial"/>
          <w:b/>
          <w:i/>
          <w:sz w:val="20"/>
          <w:szCs w:val="20"/>
        </w:rPr>
        <w:t>Thỏa</w:t>
      </w:r>
      <w:r w:rsidR="002057EE">
        <w:rPr>
          <w:rFonts w:ascii="Arial" w:eastAsia="Times New Roman" w:hAnsi="Arial" w:cs="Arial"/>
          <w:b/>
          <w:i/>
          <w:sz w:val="20"/>
          <w:szCs w:val="20"/>
        </w:rPr>
        <w:t xml:space="preserve"> </w:t>
      </w:r>
      <w:r w:rsidR="002057EE" w:rsidRPr="002057EE">
        <w:rPr>
          <w:rFonts w:ascii="Arial" w:eastAsia="Times New Roman" w:hAnsi="Arial" w:cs="Arial"/>
          <w:i/>
          <w:sz w:val="20"/>
          <w:szCs w:val="20"/>
        </w:rPr>
        <w:t>(</w:t>
      </w:r>
      <w:r w:rsidR="009D6A7E" w:rsidRPr="002057EE">
        <w:rPr>
          <w:rFonts w:ascii="Arial" w:eastAsia="Times New Roman" w:hAnsi="Arial" w:cs="Arial"/>
          <w:i/>
          <w:sz w:val="20"/>
          <w:szCs w:val="20"/>
        </w:rPr>
        <w:t>Nguồn: CNN, Guardian, Reutres, WS. Journal</w:t>
      </w:r>
      <w:r w:rsidR="002057EE">
        <w:rPr>
          <w:rFonts w:ascii="Arial" w:eastAsia="Times New Roman" w:hAnsi="Arial" w:cs="Arial"/>
          <w:i/>
          <w:sz w:val="20"/>
          <w:szCs w:val="20"/>
        </w:rPr>
        <w:t>)</w:t>
      </w:r>
    </w:p>
    <w:sectPr w:rsidR="009D6A7E" w:rsidRPr="002057E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8CB" w:rsidRDefault="006978CB" w:rsidP="00291D50">
      <w:pPr>
        <w:spacing w:after="0" w:line="240" w:lineRule="auto"/>
      </w:pPr>
      <w:r>
        <w:separator/>
      </w:r>
    </w:p>
  </w:endnote>
  <w:endnote w:type="continuationSeparator" w:id="0">
    <w:p w:rsidR="006978CB" w:rsidRDefault="006978CB" w:rsidP="00291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9019763"/>
      <w:docPartObj>
        <w:docPartGallery w:val="Page Numbers (Bottom of Page)"/>
        <w:docPartUnique/>
      </w:docPartObj>
    </w:sdtPr>
    <w:sdtEndPr>
      <w:rPr>
        <w:noProof/>
      </w:rPr>
    </w:sdtEndPr>
    <w:sdtContent>
      <w:p w:rsidR="009D6A7E" w:rsidRDefault="009D6A7E">
        <w:pPr>
          <w:pStyle w:val="Footer"/>
          <w:jc w:val="right"/>
        </w:pPr>
        <w:r>
          <w:fldChar w:fldCharType="begin"/>
        </w:r>
        <w:r>
          <w:instrText xml:space="preserve"> PAGE   \* MERGEFORMAT </w:instrText>
        </w:r>
        <w:r>
          <w:fldChar w:fldCharType="separate"/>
        </w:r>
        <w:r w:rsidR="00EA2E5F">
          <w:rPr>
            <w:noProof/>
          </w:rPr>
          <w:t>2</w:t>
        </w:r>
        <w:r>
          <w:rPr>
            <w:noProof/>
          </w:rPr>
          <w:fldChar w:fldCharType="end"/>
        </w:r>
      </w:p>
    </w:sdtContent>
  </w:sdt>
  <w:p w:rsidR="009D6A7E" w:rsidRDefault="009D6A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8CB" w:rsidRDefault="006978CB" w:rsidP="00291D50">
      <w:pPr>
        <w:spacing w:after="0" w:line="240" w:lineRule="auto"/>
      </w:pPr>
      <w:r>
        <w:separator/>
      </w:r>
    </w:p>
  </w:footnote>
  <w:footnote w:type="continuationSeparator" w:id="0">
    <w:p w:rsidR="006978CB" w:rsidRDefault="006978CB" w:rsidP="00291D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7D6E34"/>
    <w:multiLevelType w:val="hybridMultilevel"/>
    <w:tmpl w:val="29E49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D17"/>
    <w:rsid w:val="0001174A"/>
    <w:rsid w:val="00053AFE"/>
    <w:rsid w:val="000D6F04"/>
    <w:rsid w:val="00190D4C"/>
    <w:rsid w:val="001E7336"/>
    <w:rsid w:val="00200D17"/>
    <w:rsid w:val="002057EE"/>
    <w:rsid w:val="00291D50"/>
    <w:rsid w:val="002D6FAE"/>
    <w:rsid w:val="003B77C2"/>
    <w:rsid w:val="003D1A14"/>
    <w:rsid w:val="00560C05"/>
    <w:rsid w:val="00630064"/>
    <w:rsid w:val="00631861"/>
    <w:rsid w:val="006978CB"/>
    <w:rsid w:val="006A3C01"/>
    <w:rsid w:val="006D3FC0"/>
    <w:rsid w:val="007130BD"/>
    <w:rsid w:val="007E771C"/>
    <w:rsid w:val="00835AB7"/>
    <w:rsid w:val="009A7BD4"/>
    <w:rsid w:val="009D351D"/>
    <w:rsid w:val="009D6A7E"/>
    <w:rsid w:val="00A83B1C"/>
    <w:rsid w:val="00B62493"/>
    <w:rsid w:val="00D20AEB"/>
    <w:rsid w:val="00DC0D25"/>
    <w:rsid w:val="00E208A8"/>
    <w:rsid w:val="00E84CEE"/>
    <w:rsid w:val="00E928AA"/>
    <w:rsid w:val="00E96E90"/>
    <w:rsid w:val="00EA2E5F"/>
    <w:rsid w:val="00EC1836"/>
    <w:rsid w:val="00EF32FF"/>
    <w:rsid w:val="00FB3FAD"/>
    <w:rsid w:val="00FF2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44437E-6FCF-45F0-B842-0E3F0DD0D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D17"/>
  </w:style>
  <w:style w:type="paragraph" w:styleId="Heading2">
    <w:name w:val="heading 2"/>
    <w:basedOn w:val="Normal"/>
    <w:link w:val="Heading2Char"/>
    <w:uiPriority w:val="9"/>
    <w:qFormat/>
    <w:rsid w:val="003B77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0D1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00D17"/>
    <w:rPr>
      <w:color w:val="0000FF"/>
      <w:u w:val="single"/>
    </w:rPr>
  </w:style>
  <w:style w:type="paragraph" w:styleId="ListParagraph">
    <w:name w:val="List Paragraph"/>
    <w:basedOn w:val="Normal"/>
    <w:uiPriority w:val="34"/>
    <w:qFormat/>
    <w:rsid w:val="00200D17"/>
    <w:pPr>
      <w:ind w:left="720"/>
      <w:contextualSpacing/>
    </w:pPr>
  </w:style>
  <w:style w:type="table" w:styleId="TableGrid">
    <w:name w:val="Table Grid"/>
    <w:basedOn w:val="TableNormal"/>
    <w:uiPriority w:val="59"/>
    <w:rsid w:val="00200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00D17"/>
    <w:rPr>
      <w:b/>
      <w:bCs/>
    </w:rPr>
  </w:style>
  <w:style w:type="paragraph" w:customStyle="1" w:styleId="body-text">
    <w:name w:val="body-text"/>
    <w:basedOn w:val="Normal"/>
    <w:rsid w:val="00200D1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00D17"/>
    <w:rPr>
      <w:i/>
      <w:iCs/>
    </w:rPr>
  </w:style>
  <w:style w:type="character" w:styleId="FollowedHyperlink">
    <w:name w:val="FollowedHyperlink"/>
    <w:basedOn w:val="DefaultParagraphFont"/>
    <w:uiPriority w:val="99"/>
    <w:semiHidden/>
    <w:unhideWhenUsed/>
    <w:rsid w:val="00DC0D25"/>
    <w:rPr>
      <w:color w:val="800080" w:themeColor="followedHyperlink"/>
      <w:u w:val="single"/>
    </w:rPr>
  </w:style>
  <w:style w:type="character" w:customStyle="1" w:styleId="Heading2Char">
    <w:name w:val="Heading 2 Char"/>
    <w:basedOn w:val="DefaultParagraphFont"/>
    <w:link w:val="Heading2"/>
    <w:uiPriority w:val="9"/>
    <w:rsid w:val="003B77C2"/>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291D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D50"/>
  </w:style>
  <w:style w:type="paragraph" w:styleId="Footer">
    <w:name w:val="footer"/>
    <w:basedOn w:val="Normal"/>
    <w:link w:val="FooterChar"/>
    <w:uiPriority w:val="99"/>
    <w:unhideWhenUsed/>
    <w:rsid w:val="00291D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8016175">
      <w:bodyDiv w:val="1"/>
      <w:marLeft w:val="0"/>
      <w:marRight w:val="0"/>
      <w:marTop w:val="0"/>
      <w:marBottom w:val="0"/>
      <w:divBdr>
        <w:top w:val="none" w:sz="0" w:space="0" w:color="auto"/>
        <w:left w:val="none" w:sz="0" w:space="0" w:color="auto"/>
        <w:bottom w:val="none" w:sz="0" w:space="0" w:color="auto"/>
        <w:right w:val="none" w:sz="0" w:space="0" w:color="auto"/>
      </w:divBdr>
    </w:div>
    <w:div w:id="2002728809">
      <w:bodyDiv w:val="1"/>
      <w:marLeft w:val="0"/>
      <w:marRight w:val="0"/>
      <w:marTop w:val="0"/>
      <w:marBottom w:val="0"/>
      <w:divBdr>
        <w:top w:val="none" w:sz="0" w:space="0" w:color="auto"/>
        <w:left w:val="none" w:sz="0" w:space="0" w:color="auto"/>
        <w:bottom w:val="none" w:sz="0" w:space="0" w:color="auto"/>
        <w:right w:val="none" w:sz="0" w:space="0" w:color="auto"/>
      </w:divBdr>
      <w:divsChild>
        <w:div w:id="1039010146">
          <w:marLeft w:val="0"/>
          <w:marRight w:val="0"/>
          <w:marTop w:val="0"/>
          <w:marBottom w:val="300"/>
          <w:divBdr>
            <w:top w:val="single" w:sz="12" w:space="0" w:color="04214B"/>
            <w:left w:val="none" w:sz="0" w:space="0" w:color="auto"/>
            <w:bottom w:val="none" w:sz="0" w:space="0" w:color="auto"/>
            <w:right w:val="none" w:sz="0" w:space="0" w:color="auto"/>
          </w:divBdr>
        </w:div>
        <w:div w:id="1845589487">
          <w:marLeft w:val="0"/>
          <w:marRight w:val="0"/>
          <w:marTop w:val="0"/>
          <w:marBottom w:val="300"/>
          <w:divBdr>
            <w:top w:val="single" w:sz="12" w:space="0" w:color="04214B"/>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1234</Words>
  <Characters>7039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4</cp:revision>
  <dcterms:created xsi:type="dcterms:W3CDTF">2018-01-04T01:46:00Z</dcterms:created>
  <dcterms:modified xsi:type="dcterms:W3CDTF">2018-01-04T01:48:00Z</dcterms:modified>
</cp:coreProperties>
</file>