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8BA" w:rsidRPr="00775000" w:rsidRDefault="00571D26" w:rsidP="00775000">
      <w:pPr>
        <w:pStyle w:val="NormalWeb"/>
        <w:tabs>
          <w:tab w:val="left" w:pos="990"/>
        </w:tabs>
        <w:spacing w:before="120" w:beforeAutospacing="0" w:after="0" w:afterAutospacing="0"/>
        <w:contextualSpacing/>
        <w:jc w:val="both"/>
        <w:rPr>
          <w:rFonts w:ascii="Arial" w:hAnsi="Arial" w:cs="Arial"/>
          <w:sz w:val="20"/>
          <w:szCs w:val="20"/>
          <w:lang w:val="vi-VN"/>
        </w:rPr>
      </w:pPr>
      <w:r w:rsidRPr="00775000">
        <w:rPr>
          <w:rFonts w:ascii="Arial" w:hAnsi="Arial" w:cs="Arial"/>
          <w:sz w:val="20"/>
          <w:szCs w:val="20"/>
        </w:rPr>
        <w:t>Mục tiêu của Kế hoạch</w:t>
      </w:r>
      <w:r w:rsidR="009718BA" w:rsidRPr="00775000">
        <w:rPr>
          <w:rFonts w:ascii="Arial" w:hAnsi="Arial" w:cs="Arial"/>
          <w:sz w:val="20"/>
          <w:szCs w:val="20"/>
        </w:rPr>
        <w:t xml:space="preserve"> nhằm </w:t>
      </w:r>
      <w:r w:rsidR="009718BA" w:rsidRPr="00775000">
        <w:rPr>
          <w:rStyle w:val="demuc4"/>
          <w:rFonts w:ascii="Arial" w:hAnsi="Arial" w:cs="Arial"/>
          <w:sz w:val="20"/>
          <w:szCs w:val="20"/>
          <w:lang w:val="vi-VN"/>
        </w:rPr>
        <w:t>thực hiện các nhiệm vụ được giao tại “Đề án Đổi mới, nâng cao hiệu quả công tác tổ chức thi hành pháp luật”</w:t>
      </w:r>
      <w:r w:rsidR="009718BA" w:rsidRPr="00775000">
        <w:rPr>
          <w:rStyle w:val="demuc4"/>
          <w:rFonts w:ascii="Arial" w:hAnsi="Arial" w:cs="Arial"/>
          <w:sz w:val="20"/>
          <w:szCs w:val="20"/>
        </w:rPr>
        <w:t xml:space="preserve">, </w:t>
      </w:r>
      <w:r w:rsidR="009718BA" w:rsidRPr="00775000">
        <w:rPr>
          <w:rStyle w:val="demuc4"/>
          <w:rFonts w:ascii="Arial" w:hAnsi="Arial" w:cs="Arial"/>
          <w:sz w:val="20"/>
          <w:szCs w:val="20"/>
          <w:lang w:val="vi-VN"/>
        </w:rPr>
        <w:t xml:space="preserve">góp phần </w:t>
      </w:r>
      <w:r w:rsidR="009718BA" w:rsidRPr="00775000">
        <w:rPr>
          <w:rFonts w:ascii="Arial" w:hAnsi="Arial" w:cs="Arial"/>
          <w:sz w:val="20"/>
          <w:szCs w:val="20"/>
          <w:lang w:val="vi-VN"/>
        </w:rPr>
        <w:t>nâng cao hiệu quả công tác tổ chức thi hành pháp luật, hướng đến mục tiêu xây dựng Nhà nước pháp quyền xã hội chủ nghĩa, tăng cường hiệu lực và hiệu quả của hệ thống pháp luật;</w:t>
      </w:r>
      <w:r w:rsidR="009718BA" w:rsidRPr="00775000">
        <w:rPr>
          <w:rFonts w:ascii="Arial" w:hAnsi="Arial" w:cs="Arial"/>
          <w:sz w:val="20"/>
          <w:szCs w:val="20"/>
        </w:rPr>
        <w:t xml:space="preserve"> </w:t>
      </w:r>
      <w:r w:rsidR="009718BA" w:rsidRPr="00775000">
        <w:rPr>
          <w:rFonts w:ascii="Arial" w:hAnsi="Arial" w:cs="Arial"/>
          <w:sz w:val="20"/>
          <w:szCs w:val="20"/>
          <w:lang w:val="vi-VN"/>
        </w:rPr>
        <w:t>Từng bước khắc phục những hạn chế, bất cập hiện nay trong tổ chức thi hành pháp luật, tạo tiền đề cho sự chuyển biến mạnh mẽ trong hoạt động tổ chức thi hành pháp luật.</w:t>
      </w:r>
    </w:p>
    <w:p w:rsidR="00F861BC" w:rsidRPr="00775000" w:rsidRDefault="00571D26" w:rsidP="00775000">
      <w:pPr>
        <w:pStyle w:val="NormalWeb"/>
        <w:tabs>
          <w:tab w:val="left" w:pos="990"/>
        </w:tabs>
        <w:spacing w:before="120" w:beforeAutospacing="0" w:after="0" w:afterAutospacing="0"/>
        <w:jc w:val="both"/>
        <w:rPr>
          <w:rFonts w:ascii="Arial" w:hAnsi="Arial" w:cs="Arial"/>
          <w:sz w:val="20"/>
          <w:szCs w:val="20"/>
        </w:rPr>
      </w:pPr>
      <w:r w:rsidRPr="00775000">
        <w:rPr>
          <w:rFonts w:ascii="Arial" w:hAnsi="Arial" w:cs="Arial"/>
          <w:sz w:val="20"/>
          <w:szCs w:val="20"/>
        </w:rPr>
        <w:t>Để đạt được các mục tiêu nêu trên, Kế hoạch đưa ra các nhiệm vụ và giải pháp</w:t>
      </w:r>
      <w:r w:rsidR="00E644FE">
        <w:rPr>
          <w:rFonts w:ascii="Arial" w:hAnsi="Arial" w:cs="Arial"/>
          <w:sz w:val="20"/>
          <w:szCs w:val="20"/>
        </w:rPr>
        <w:t xml:space="preserve"> </w:t>
      </w:r>
      <w:r w:rsidRPr="00775000">
        <w:rPr>
          <w:rFonts w:ascii="Arial" w:hAnsi="Arial" w:cs="Arial"/>
          <w:sz w:val="20"/>
          <w:szCs w:val="20"/>
        </w:rPr>
        <w:t xml:space="preserve">chủ yếu như: </w:t>
      </w:r>
    </w:p>
    <w:p w:rsidR="009718BA" w:rsidRPr="00775000" w:rsidRDefault="00F861BC" w:rsidP="00775000">
      <w:pPr>
        <w:pStyle w:val="NormalWeb"/>
        <w:tabs>
          <w:tab w:val="left" w:pos="990"/>
        </w:tabs>
        <w:spacing w:before="120" w:beforeAutospacing="0" w:after="0" w:afterAutospacing="0"/>
        <w:jc w:val="both"/>
        <w:rPr>
          <w:rFonts w:ascii="Arial" w:hAnsi="Arial" w:cs="Arial"/>
          <w:sz w:val="20"/>
          <w:szCs w:val="20"/>
        </w:rPr>
      </w:pPr>
      <w:r w:rsidRPr="00775000">
        <w:rPr>
          <w:rFonts w:ascii="Arial" w:hAnsi="Arial" w:cs="Arial"/>
          <w:i/>
          <w:sz w:val="20"/>
          <w:szCs w:val="20"/>
        </w:rPr>
        <w:t>Tăng cường sự lãnh đạo của cấp ủy Đảng, chính quyền các cấp trong công tác tổ chức thi hành pháp luật:</w:t>
      </w:r>
      <w:r w:rsidRPr="00775000">
        <w:rPr>
          <w:rFonts w:ascii="Arial" w:hAnsi="Arial" w:cs="Arial"/>
          <w:sz w:val="20"/>
          <w:szCs w:val="20"/>
        </w:rPr>
        <w:t xml:space="preserve"> </w:t>
      </w:r>
      <w:r w:rsidR="009718BA" w:rsidRPr="00775000">
        <w:rPr>
          <w:rFonts w:ascii="Arial" w:hAnsi="Arial" w:cs="Arial"/>
          <w:sz w:val="20"/>
          <w:szCs w:val="20"/>
        </w:rPr>
        <w:t>Bảo đảm sự lãnh đạo của cấp ủy Đảng, chính quyền các cấp trong công tác tổ chức thi hành pháp luật; Nghiên cứu, đề xuất các giải pháp để cụ thể hóa sự lãnh đạo của Đảng đối với công tác tổ chức thi hành pháp luật, trong đó nhấn mạnh trách nhiệm chỉ đạo, lãnh đạo của cấp ủy các ngành, các cấp đối với công tác này.</w:t>
      </w:r>
    </w:p>
    <w:p w:rsidR="009718BA" w:rsidRPr="00775000" w:rsidRDefault="009718BA" w:rsidP="00775000">
      <w:pPr>
        <w:pStyle w:val="NormalWeb"/>
        <w:tabs>
          <w:tab w:val="left" w:pos="990"/>
        </w:tabs>
        <w:spacing w:before="120" w:beforeAutospacing="0" w:after="0" w:afterAutospacing="0"/>
        <w:jc w:val="both"/>
        <w:rPr>
          <w:rFonts w:ascii="Arial" w:hAnsi="Arial" w:cs="Arial"/>
          <w:sz w:val="20"/>
          <w:szCs w:val="20"/>
        </w:rPr>
      </w:pPr>
      <w:r w:rsidRPr="00775000">
        <w:rPr>
          <w:rFonts w:ascii="Arial" w:hAnsi="Arial" w:cs="Arial"/>
          <w:sz w:val="20"/>
          <w:szCs w:val="20"/>
        </w:rPr>
        <w:t>Phối hợp với Bộ Tư pháp xây dựng, trình Ban cán sự đảng Chính phủ để xem xét, trình Ban Bí thư ban hành Chỉ thị về tăng cường sự lãnh đạo của cấp ủy Đảng, chính quyền các cấp trong công tác tổ chức thi hành pháp luật.</w:t>
      </w:r>
    </w:p>
    <w:p w:rsidR="00F861BC" w:rsidRPr="00775000" w:rsidRDefault="00F861BC" w:rsidP="00775000">
      <w:pPr>
        <w:pStyle w:val="NormalWeb"/>
        <w:tabs>
          <w:tab w:val="left" w:pos="990"/>
        </w:tabs>
        <w:spacing w:before="120" w:beforeAutospacing="0" w:after="0" w:afterAutospacing="0"/>
        <w:jc w:val="both"/>
        <w:rPr>
          <w:rFonts w:ascii="Arial" w:hAnsi="Arial" w:cs="Arial"/>
          <w:sz w:val="20"/>
          <w:szCs w:val="20"/>
        </w:rPr>
      </w:pPr>
      <w:r w:rsidRPr="00775000">
        <w:rPr>
          <w:rFonts w:ascii="Arial" w:hAnsi="Arial" w:cs="Arial"/>
          <w:i/>
          <w:sz w:val="20"/>
          <w:szCs w:val="20"/>
        </w:rPr>
        <w:t xml:space="preserve">Hoàn thiện thể chế về tổ chức thi hành và theo dõi thi hành pháp luật: </w:t>
      </w:r>
      <w:r w:rsidRPr="00775000">
        <w:rPr>
          <w:rFonts w:ascii="Arial" w:hAnsi="Arial" w:cs="Arial"/>
          <w:sz w:val="20"/>
          <w:szCs w:val="20"/>
        </w:rPr>
        <w:t xml:space="preserve">Tiếp tục hoàn thiện pháp luật về tổ chức thi hành pháp luật theo hướng, quy định rõ ràng về trách nhiệm, thẩm quyền và nội dung tổ chức thi hành pháp luật; Quy định cụ thể cách thức, biện pháp theo dõi, đánh giá tình hình thi hành pháp luật trên phạm vi cả nước </w:t>
      </w:r>
    </w:p>
    <w:p w:rsidR="00F861BC" w:rsidRPr="00775000" w:rsidRDefault="00F861BC" w:rsidP="00775000">
      <w:pPr>
        <w:pStyle w:val="NormalWeb"/>
        <w:tabs>
          <w:tab w:val="left" w:pos="990"/>
        </w:tabs>
        <w:spacing w:before="120" w:beforeAutospacing="0" w:after="0" w:afterAutospacing="0"/>
        <w:jc w:val="both"/>
        <w:rPr>
          <w:rFonts w:ascii="Arial" w:hAnsi="Arial" w:cs="Arial"/>
          <w:sz w:val="20"/>
          <w:szCs w:val="20"/>
        </w:rPr>
      </w:pPr>
      <w:r w:rsidRPr="00775000">
        <w:rPr>
          <w:rFonts w:ascii="Arial" w:hAnsi="Arial" w:cs="Arial"/>
          <w:sz w:val="20"/>
          <w:szCs w:val="20"/>
        </w:rPr>
        <w:t>Phối hợp với Bộ Tư pháp nghiên cứu, trình Chính phủ ban hành Nghị định sửa đổi, bổ sung một số điều của Nghị định số 59/2012/NĐ-CP ngày 23 tháng 7 năm 2012 của Chính phủ về theo d</w:t>
      </w:r>
      <w:r w:rsidR="00167356" w:rsidRPr="00775000">
        <w:rPr>
          <w:rFonts w:ascii="Arial" w:hAnsi="Arial" w:cs="Arial"/>
          <w:sz w:val="20"/>
          <w:szCs w:val="20"/>
        </w:rPr>
        <w:t xml:space="preserve">õi tình hình thi hành pháp luật; </w:t>
      </w:r>
      <w:r w:rsidRPr="00775000">
        <w:rPr>
          <w:rFonts w:ascii="Arial" w:hAnsi="Arial" w:cs="Arial"/>
          <w:sz w:val="20"/>
          <w:szCs w:val="20"/>
        </w:rPr>
        <w:t>Phối hợp với Bộ Tư pháp nghiên cứu, xây dựng đề xuất chính sách phục vụ việc lập hồ sơ trình Chính phủ đề nghị xây dựng Luật về tổ chức thi hành pháp luật.</w:t>
      </w:r>
    </w:p>
    <w:p w:rsidR="00167356" w:rsidRPr="00775000" w:rsidRDefault="00167356" w:rsidP="00775000">
      <w:pPr>
        <w:pStyle w:val="NormalWeb"/>
        <w:tabs>
          <w:tab w:val="left" w:pos="990"/>
        </w:tabs>
        <w:spacing w:before="120" w:beforeAutospacing="0" w:after="0" w:afterAutospacing="0"/>
        <w:jc w:val="both"/>
        <w:rPr>
          <w:rFonts w:ascii="Arial" w:hAnsi="Arial" w:cs="Arial"/>
          <w:sz w:val="20"/>
          <w:szCs w:val="20"/>
        </w:rPr>
      </w:pPr>
      <w:r w:rsidRPr="00775000">
        <w:rPr>
          <w:rFonts w:ascii="Arial" w:hAnsi="Arial" w:cs="Arial"/>
          <w:i/>
          <w:sz w:val="20"/>
          <w:szCs w:val="20"/>
        </w:rPr>
        <w:t xml:space="preserve">Đổi mới công tác theo dõi, đánh giá tình hình thi hành pháp luật: </w:t>
      </w:r>
      <w:r w:rsidRPr="00775000">
        <w:rPr>
          <w:rFonts w:ascii="Arial" w:hAnsi="Arial" w:cs="Arial"/>
          <w:sz w:val="20"/>
          <w:szCs w:val="20"/>
        </w:rPr>
        <w:t>Nghiên cứu, xây dựng các tiêu chí cụ thể, định lượng để xác định được mức độ thực thi pháp luật, cũng như đánh giá được chính xác, toàn diện hiệu quả, tác động của văn bản quy phạm pháp luật trong thực tiễn; Phối hợp với Bộ Tư pháp xây dựng, hoàn thiện và tổ chức áp dụng thí điểm Khung theo dõi thi hành pháp luật và hệ thu thập dữ liệu phục vụ công tác theo dõi thi hành pháp luật.</w:t>
      </w:r>
    </w:p>
    <w:p w:rsidR="00167356" w:rsidRPr="00775000" w:rsidRDefault="00167356" w:rsidP="00775000">
      <w:pPr>
        <w:pStyle w:val="NormalWeb"/>
        <w:tabs>
          <w:tab w:val="left" w:pos="990"/>
        </w:tabs>
        <w:spacing w:before="120" w:beforeAutospacing="0" w:after="0" w:afterAutospacing="0"/>
        <w:jc w:val="both"/>
        <w:rPr>
          <w:rFonts w:ascii="Arial" w:hAnsi="Arial" w:cs="Arial"/>
          <w:sz w:val="20"/>
          <w:szCs w:val="20"/>
        </w:rPr>
      </w:pPr>
      <w:r w:rsidRPr="00775000">
        <w:rPr>
          <w:rFonts w:ascii="Arial" w:hAnsi="Arial" w:cs="Arial"/>
          <w:i/>
          <w:sz w:val="20"/>
          <w:szCs w:val="20"/>
        </w:rPr>
        <w:t xml:space="preserve">Tăng cường năng lực phản ứng chính sách trong quá trình tổ chức thi hành pháp luật: </w:t>
      </w:r>
      <w:r w:rsidRPr="00775000">
        <w:rPr>
          <w:rFonts w:ascii="Arial" w:hAnsi="Arial" w:cs="Arial"/>
          <w:sz w:val="20"/>
          <w:szCs w:val="20"/>
        </w:rPr>
        <w:t xml:space="preserve">Xác lập quy trình tiếp nhận, xử lý kiến nghị, phản ánh của cơ quan, tổ chức, cá nhân về tình hình thi hành pháp luật một cách thống nhất, có hệ thống, rõ ràng, minh bạch. Trong đó, đặc biệt quan tâm đến việc ghi nhận, thực thi trách nhiệm Hiến định và luật định của người đứng đầu các cơ quan trong việc xử lý </w:t>
      </w:r>
      <w:proofErr w:type="gramStart"/>
      <w:r w:rsidRPr="00775000">
        <w:rPr>
          <w:rFonts w:ascii="Arial" w:hAnsi="Arial" w:cs="Arial"/>
          <w:sz w:val="20"/>
          <w:szCs w:val="20"/>
        </w:rPr>
        <w:t>theo</w:t>
      </w:r>
      <w:proofErr w:type="gramEnd"/>
      <w:r w:rsidRPr="00775000">
        <w:rPr>
          <w:rFonts w:ascii="Arial" w:hAnsi="Arial" w:cs="Arial"/>
          <w:sz w:val="20"/>
          <w:szCs w:val="20"/>
        </w:rPr>
        <w:t xml:space="preserve"> thẩm quyền các phản ánh, kiến nghị của cơ quan, tổ chức, cá nhân. Thông qua hoạt động theo dõi thi hành pháp luật, cơ quan nhà nước tăng cường năng lực phản ứng chính sách, xử lý các vấn đề mới phát sinh, đặc biệt gắn kết với quá trình xây dựng, hoàn thiện pháp luật; Phối hợp với Bộ Tư pháp xây dựng quy trình chung, thống nhất từ Trung ương đến địa phương trong việc tiếp nhận, xử lý kiến nghị, phản ánh của các cơ quan, tổ chức, cá nhân về tình hình thi hành pháp luật.</w:t>
      </w:r>
    </w:p>
    <w:p w:rsidR="00775000" w:rsidRPr="00775000" w:rsidRDefault="00775000" w:rsidP="00775000">
      <w:pPr>
        <w:pStyle w:val="NormalWeb"/>
        <w:tabs>
          <w:tab w:val="left" w:pos="990"/>
        </w:tabs>
        <w:spacing w:before="120" w:beforeAutospacing="0" w:after="0" w:afterAutospacing="0"/>
        <w:jc w:val="both"/>
        <w:rPr>
          <w:rFonts w:ascii="Arial" w:hAnsi="Arial" w:cs="Arial"/>
          <w:sz w:val="20"/>
          <w:szCs w:val="20"/>
        </w:rPr>
      </w:pPr>
      <w:r w:rsidRPr="00775000">
        <w:rPr>
          <w:rFonts w:ascii="Arial" w:hAnsi="Arial" w:cs="Arial"/>
          <w:i/>
          <w:sz w:val="20"/>
          <w:szCs w:val="20"/>
        </w:rPr>
        <w:t xml:space="preserve">Ứng dụng công nghệ thông tin trong hoạt động tổ chức thi hành pháp luật: </w:t>
      </w:r>
      <w:r w:rsidRPr="00775000">
        <w:rPr>
          <w:rFonts w:ascii="Arial" w:hAnsi="Arial" w:cs="Arial"/>
          <w:sz w:val="20"/>
          <w:szCs w:val="20"/>
        </w:rPr>
        <w:t>Đẩy mạnh việc áp dụng công nghệ thông tin trong việc thu thập, lưu trữ dữ liệu về tình hình thi hành pháp luật nói chung và báo cáo tình hình thi hành pháp luật nói riêng nhằm đảm bảo nguồn dữ liệu đa dạng, đầy đủ, sẵn có, mang tính tích hợp, giảm gánh nặng xây dựng các báo cáo tình hình thi hành pháp luật; hướng đến việc xây dựng một phần mềm giúp theo dõi, đánh giá tình hình thi hành pháp luật một cách thường xuyên, kịp thời, khách quan.</w:t>
      </w:r>
    </w:p>
    <w:p w:rsidR="00775000" w:rsidRPr="00775000" w:rsidRDefault="00775000" w:rsidP="00775000">
      <w:pPr>
        <w:pStyle w:val="NormalWeb"/>
        <w:tabs>
          <w:tab w:val="left" w:pos="990"/>
        </w:tabs>
        <w:spacing w:before="120" w:beforeAutospacing="0" w:after="0" w:afterAutospacing="0"/>
        <w:jc w:val="both"/>
        <w:rPr>
          <w:rFonts w:ascii="Arial" w:hAnsi="Arial" w:cs="Arial"/>
          <w:sz w:val="20"/>
          <w:szCs w:val="20"/>
        </w:rPr>
      </w:pPr>
      <w:r w:rsidRPr="00775000">
        <w:rPr>
          <w:rFonts w:ascii="Arial" w:hAnsi="Arial" w:cs="Arial"/>
          <w:sz w:val="20"/>
          <w:szCs w:val="20"/>
        </w:rPr>
        <w:t>Phối hợp với Bộ Tư pháp xây dựng, vận hành phần mềm đánh giá tình hình thi hành pháp luật (phần mềm quan trắc tình hình thi hành pháp luật); xây dựng, vận hành phần mềm thu thập thông tin thi hành pháp luật (phần mềm phục vụ việc báo cáo tình hình thi hành pháp luật) kết nối với Hệ thống thông tin báo cáo quốc gia.</w:t>
      </w:r>
    </w:p>
    <w:p w:rsidR="00775000" w:rsidRPr="00775000" w:rsidRDefault="00775000" w:rsidP="00775000">
      <w:pPr>
        <w:pStyle w:val="NormalWeb"/>
        <w:tabs>
          <w:tab w:val="left" w:pos="990"/>
        </w:tabs>
        <w:spacing w:before="120" w:beforeAutospacing="0" w:after="0" w:afterAutospacing="0"/>
        <w:jc w:val="both"/>
        <w:rPr>
          <w:rFonts w:ascii="Arial" w:hAnsi="Arial" w:cs="Arial"/>
          <w:sz w:val="20"/>
          <w:szCs w:val="20"/>
        </w:rPr>
      </w:pPr>
      <w:r w:rsidRPr="00775000">
        <w:rPr>
          <w:rFonts w:ascii="Arial" w:hAnsi="Arial" w:cs="Arial"/>
          <w:i/>
          <w:sz w:val="20"/>
          <w:szCs w:val="20"/>
        </w:rPr>
        <w:t xml:space="preserve">Tăng cường theo dõi, kiểm tra việc thực hiện trách nhiệm quản lý nhà nước trong công tác tổ chức thi hành pháp luật: </w:t>
      </w:r>
      <w:r w:rsidRPr="00775000">
        <w:rPr>
          <w:rFonts w:ascii="Arial" w:hAnsi="Arial" w:cs="Arial"/>
          <w:sz w:val="20"/>
          <w:szCs w:val="20"/>
        </w:rPr>
        <w:t xml:space="preserve">Bảo đảm nguyên tắc thượng tôn pháp luật, duy trì trật tự, kỷ cương trong việc thực hiện trách nhiệm quản lý nhà nước đối với đội ngũ cán bộ, công chức khối cơ quan hành chính nhà nước trong công tác tổ chức thi hành pháp luật. </w:t>
      </w:r>
    </w:p>
    <w:p w:rsidR="00775000" w:rsidRPr="00775000" w:rsidRDefault="00775000" w:rsidP="00775000">
      <w:pPr>
        <w:pStyle w:val="NormalWeb"/>
        <w:tabs>
          <w:tab w:val="left" w:pos="990"/>
        </w:tabs>
        <w:spacing w:before="120" w:beforeAutospacing="0" w:after="0" w:afterAutospacing="0"/>
        <w:jc w:val="both"/>
        <w:rPr>
          <w:rFonts w:ascii="Arial" w:hAnsi="Arial" w:cs="Arial"/>
          <w:sz w:val="20"/>
          <w:szCs w:val="20"/>
        </w:rPr>
      </w:pPr>
      <w:r w:rsidRPr="00775000">
        <w:rPr>
          <w:rFonts w:ascii="Arial" w:hAnsi="Arial" w:cs="Arial"/>
          <w:sz w:val="20"/>
          <w:szCs w:val="20"/>
        </w:rPr>
        <w:lastRenderedPageBreak/>
        <w:t xml:space="preserve">Phối hợp với Bộ Tư pháp trong việc xây dựng, ban hành các chương trình, kế hoạch và tổ chức thực hiện </w:t>
      </w:r>
      <w:proofErr w:type="gramStart"/>
      <w:r w:rsidRPr="00775000">
        <w:rPr>
          <w:rFonts w:ascii="Arial" w:hAnsi="Arial" w:cs="Arial"/>
          <w:sz w:val="20"/>
          <w:szCs w:val="20"/>
        </w:rPr>
        <w:t>theo</w:t>
      </w:r>
      <w:proofErr w:type="gramEnd"/>
      <w:r w:rsidRPr="00775000">
        <w:rPr>
          <w:rFonts w:ascii="Arial" w:hAnsi="Arial" w:cs="Arial"/>
          <w:sz w:val="20"/>
          <w:szCs w:val="20"/>
        </w:rPr>
        <w:t xml:space="preserve"> dõi, kiểm tra tình hình thực hiện trách nhiệm quản lý nhà nước trong công tác tổ chức thi hành pháp luật tại c</w:t>
      </w:r>
      <w:r w:rsidRPr="00775000">
        <w:rPr>
          <w:rFonts w:ascii="Arial" w:hAnsi="Arial" w:cs="Arial"/>
          <w:sz w:val="20"/>
          <w:szCs w:val="20"/>
          <w:lang w:val="vi-VN"/>
        </w:rPr>
        <w:t xml:space="preserve">ác </w:t>
      </w:r>
      <w:r w:rsidRPr="00775000">
        <w:rPr>
          <w:rFonts w:ascii="Arial" w:hAnsi="Arial" w:cs="Arial"/>
          <w:sz w:val="20"/>
          <w:szCs w:val="20"/>
        </w:rPr>
        <w:t>bộ, ngành và địa phương.</w:t>
      </w:r>
    </w:p>
    <w:p w:rsidR="00775000" w:rsidRPr="00775000" w:rsidRDefault="00775000" w:rsidP="00775000">
      <w:pPr>
        <w:pStyle w:val="NormalWeb"/>
        <w:tabs>
          <w:tab w:val="left" w:pos="990"/>
        </w:tabs>
        <w:spacing w:before="120" w:beforeAutospacing="0" w:after="0" w:afterAutospacing="0"/>
        <w:jc w:val="both"/>
        <w:rPr>
          <w:rFonts w:ascii="Arial" w:hAnsi="Arial" w:cs="Arial"/>
          <w:sz w:val="20"/>
          <w:szCs w:val="20"/>
        </w:rPr>
      </w:pPr>
      <w:r w:rsidRPr="00775000">
        <w:rPr>
          <w:rFonts w:ascii="Arial" w:hAnsi="Arial" w:cs="Arial"/>
          <w:i/>
          <w:sz w:val="20"/>
          <w:szCs w:val="20"/>
        </w:rPr>
        <w:t xml:space="preserve">Bảo đảm các điều kiện cho công tác tổ chức thi hành pháp luật: </w:t>
      </w:r>
      <w:r w:rsidRPr="00775000">
        <w:rPr>
          <w:rFonts w:ascii="Arial" w:hAnsi="Arial" w:cs="Arial"/>
          <w:sz w:val="20"/>
          <w:szCs w:val="20"/>
        </w:rPr>
        <w:t>Bảo đảm các điều kiện về kinh phí, cơ sở vật chất, trang thiết bị và nguồn nhân lực đáp ứng cho công tác tổ chức thi hành pháp luật.</w:t>
      </w:r>
    </w:p>
    <w:p w:rsidR="00775000" w:rsidRPr="00775000" w:rsidRDefault="00775000" w:rsidP="00775000">
      <w:pPr>
        <w:pStyle w:val="NormalWeb"/>
        <w:tabs>
          <w:tab w:val="left" w:pos="990"/>
        </w:tabs>
        <w:spacing w:before="120" w:beforeAutospacing="0" w:after="0" w:afterAutospacing="0"/>
        <w:jc w:val="both"/>
        <w:rPr>
          <w:rFonts w:ascii="Arial" w:hAnsi="Arial" w:cs="Arial"/>
          <w:sz w:val="20"/>
          <w:szCs w:val="20"/>
        </w:rPr>
      </w:pPr>
      <w:r w:rsidRPr="00775000">
        <w:rPr>
          <w:rFonts w:ascii="Arial" w:hAnsi="Arial" w:cs="Arial"/>
          <w:sz w:val="20"/>
          <w:szCs w:val="20"/>
        </w:rPr>
        <w:t xml:space="preserve">Phối hợp với Bộ Tài chính thực hiện rà soát, chỉnh sửa, bổ sung các quy định về kinh phí bảo đảm cho việc tổ chức thi hành pháp luật theo hướng bố trí toàn diện, đầy đủ các nội dung chi và mức chi phù hợp đối với các hoạt động tổ chức thi hành pháp luật; Phối hợp với Bộ Nội vụ thực hiện kiện toàn tổ chức pháp chế các bộ, ngành trong tổng biên chế được giao để thực hiện nhiệm vụ công tác pháp chế nói chung và làm đầu mối công tác tổ chức thi hành pháp luật nói riêng; đào tạo, bồi dưỡng để tăng cường năng lực cho cán bộ, công chức tại </w:t>
      </w:r>
      <w:r w:rsidRPr="00775000">
        <w:rPr>
          <w:rFonts w:ascii="Arial" w:hAnsi="Arial" w:cs="Arial"/>
          <w:sz w:val="20"/>
          <w:szCs w:val="20"/>
          <w:lang w:val="vi-VN"/>
        </w:rPr>
        <w:t>Ngân hàng Nhà nước</w:t>
      </w:r>
      <w:r w:rsidRPr="00775000">
        <w:rPr>
          <w:rFonts w:ascii="Arial" w:hAnsi="Arial" w:cs="Arial"/>
          <w:sz w:val="20"/>
          <w:szCs w:val="20"/>
        </w:rPr>
        <w:t>, đặc biệt là về kỹ năng, năng lực tổ chức thi hành pháp luật, theo dõi tình hình thi hành pháp luật.</w:t>
      </w:r>
    </w:p>
    <w:p w:rsidR="00775000" w:rsidRPr="00162D0B" w:rsidRDefault="00775000" w:rsidP="00775000">
      <w:pPr>
        <w:pStyle w:val="NormalWeb"/>
        <w:tabs>
          <w:tab w:val="left" w:pos="990"/>
        </w:tabs>
        <w:spacing w:before="120" w:beforeAutospacing="0" w:after="0" w:afterAutospacing="0"/>
        <w:jc w:val="both"/>
        <w:rPr>
          <w:rFonts w:ascii="Arial" w:hAnsi="Arial" w:cs="Arial"/>
          <w:sz w:val="20"/>
          <w:szCs w:val="20"/>
        </w:rPr>
      </w:pPr>
      <w:r w:rsidRPr="00162D0B">
        <w:rPr>
          <w:rFonts w:ascii="Arial" w:hAnsi="Arial" w:cs="Arial"/>
          <w:sz w:val="20"/>
          <w:szCs w:val="20"/>
        </w:rPr>
        <w:t>LG</w:t>
      </w:r>
    </w:p>
    <w:p w:rsidR="00775000" w:rsidRPr="00775000" w:rsidRDefault="00775000" w:rsidP="00775000">
      <w:pPr>
        <w:pStyle w:val="NormalWeb"/>
        <w:tabs>
          <w:tab w:val="left" w:pos="990"/>
          <w:tab w:val="left" w:pos="1080"/>
        </w:tabs>
        <w:spacing w:before="120" w:beforeAutospacing="0" w:after="0" w:afterAutospacing="0"/>
        <w:jc w:val="both"/>
        <w:rPr>
          <w:rFonts w:ascii="Arial" w:hAnsi="Arial" w:cs="Arial"/>
          <w:sz w:val="20"/>
          <w:szCs w:val="20"/>
        </w:rPr>
      </w:pPr>
    </w:p>
    <w:p w:rsidR="00775000" w:rsidRPr="00775000" w:rsidRDefault="00775000" w:rsidP="00775000">
      <w:pPr>
        <w:pStyle w:val="NormalWeb"/>
        <w:tabs>
          <w:tab w:val="left" w:pos="990"/>
        </w:tabs>
        <w:spacing w:before="120" w:beforeAutospacing="0" w:after="0" w:afterAutospacing="0"/>
        <w:jc w:val="both"/>
        <w:rPr>
          <w:rFonts w:ascii="Arial" w:hAnsi="Arial" w:cs="Arial"/>
          <w:sz w:val="20"/>
          <w:szCs w:val="20"/>
        </w:rPr>
      </w:pPr>
    </w:p>
    <w:p w:rsidR="00775000" w:rsidRPr="00775000" w:rsidRDefault="00775000" w:rsidP="00775000">
      <w:pPr>
        <w:pStyle w:val="NormalWeb"/>
        <w:tabs>
          <w:tab w:val="left" w:pos="990"/>
        </w:tabs>
        <w:spacing w:before="120" w:beforeAutospacing="0" w:after="0" w:afterAutospacing="0"/>
        <w:jc w:val="both"/>
        <w:rPr>
          <w:rFonts w:ascii="Arial" w:hAnsi="Arial" w:cs="Arial"/>
          <w:i/>
          <w:sz w:val="20"/>
          <w:szCs w:val="20"/>
        </w:rPr>
      </w:pPr>
    </w:p>
    <w:p w:rsidR="00167356" w:rsidRPr="00775000" w:rsidRDefault="00167356" w:rsidP="00775000">
      <w:pPr>
        <w:pStyle w:val="NormalWeb"/>
        <w:tabs>
          <w:tab w:val="left" w:pos="990"/>
        </w:tabs>
        <w:spacing w:before="120" w:beforeAutospacing="0" w:after="0" w:afterAutospacing="0"/>
        <w:jc w:val="both"/>
        <w:rPr>
          <w:rFonts w:ascii="Arial" w:hAnsi="Arial" w:cs="Arial"/>
          <w:sz w:val="20"/>
          <w:szCs w:val="20"/>
        </w:rPr>
      </w:pPr>
    </w:p>
    <w:p w:rsidR="00167356" w:rsidRPr="00775000" w:rsidRDefault="00167356" w:rsidP="00775000">
      <w:pPr>
        <w:pStyle w:val="NormalWeb"/>
        <w:tabs>
          <w:tab w:val="left" w:pos="990"/>
        </w:tabs>
        <w:spacing w:before="120" w:beforeAutospacing="0" w:after="0" w:afterAutospacing="0"/>
        <w:jc w:val="both"/>
        <w:rPr>
          <w:rFonts w:ascii="Arial" w:hAnsi="Arial" w:cs="Arial"/>
          <w:sz w:val="20"/>
          <w:szCs w:val="20"/>
        </w:rPr>
      </w:pPr>
    </w:p>
    <w:p w:rsidR="00167356" w:rsidRPr="00775000" w:rsidRDefault="00167356" w:rsidP="00775000">
      <w:pPr>
        <w:pStyle w:val="NormalWeb"/>
        <w:tabs>
          <w:tab w:val="left" w:pos="990"/>
        </w:tabs>
        <w:spacing w:before="120" w:beforeAutospacing="0" w:after="0" w:afterAutospacing="0"/>
        <w:jc w:val="both"/>
        <w:rPr>
          <w:rFonts w:ascii="Arial" w:hAnsi="Arial" w:cs="Arial"/>
          <w:i/>
          <w:sz w:val="20"/>
          <w:szCs w:val="20"/>
        </w:rPr>
      </w:pPr>
      <w:r w:rsidRPr="00775000">
        <w:rPr>
          <w:rFonts w:ascii="Arial" w:hAnsi="Arial" w:cs="Arial"/>
          <w:i/>
          <w:sz w:val="20"/>
          <w:szCs w:val="20"/>
        </w:rPr>
        <w:t xml:space="preserve"> </w:t>
      </w:r>
    </w:p>
    <w:p w:rsidR="00167356" w:rsidRPr="00775000" w:rsidRDefault="00167356" w:rsidP="00775000">
      <w:pPr>
        <w:pStyle w:val="NormalWeb"/>
        <w:tabs>
          <w:tab w:val="left" w:pos="990"/>
        </w:tabs>
        <w:spacing w:before="120" w:beforeAutospacing="0" w:after="0" w:afterAutospacing="0"/>
        <w:jc w:val="both"/>
        <w:rPr>
          <w:rFonts w:ascii="Arial" w:hAnsi="Arial" w:cs="Arial"/>
          <w:sz w:val="20"/>
          <w:szCs w:val="20"/>
        </w:rPr>
      </w:pPr>
    </w:p>
    <w:p w:rsidR="009718BA" w:rsidRPr="00775000" w:rsidRDefault="009718BA" w:rsidP="00775000">
      <w:pPr>
        <w:spacing w:before="120" w:after="0" w:line="240" w:lineRule="auto"/>
        <w:jc w:val="both"/>
        <w:rPr>
          <w:rFonts w:ascii="Arial" w:eastAsia="Times New Roman" w:hAnsi="Arial" w:cs="Arial"/>
          <w:sz w:val="20"/>
          <w:szCs w:val="20"/>
        </w:rPr>
      </w:pPr>
    </w:p>
    <w:p w:rsidR="009718BA" w:rsidRPr="00775000" w:rsidRDefault="009718BA" w:rsidP="00775000">
      <w:pPr>
        <w:spacing w:before="120" w:after="0" w:line="240" w:lineRule="auto"/>
        <w:jc w:val="both"/>
        <w:rPr>
          <w:rFonts w:ascii="Arial" w:eastAsia="Times New Roman" w:hAnsi="Arial" w:cs="Arial"/>
          <w:sz w:val="20"/>
          <w:szCs w:val="20"/>
        </w:rPr>
      </w:pPr>
    </w:p>
    <w:p w:rsidR="005C1C1B" w:rsidRPr="00775000" w:rsidRDefault="005C1C1B" w:rsidP="00775000">
      <w:pPr>
        <w:spacing w:before="120" w:after="0" w:line="240" w:lineRule="auto"/>
        <w:jc w:val="both"/>
        <w:rPr>
          <w:rFonts w:ascii="Arial" w:hAnsi="Arial" w:cs="Arial"/>
          <w:sz w:val="20"/>
          <w:szCs w:val="20"/>
        </w:rPr>
      </w:pPr>
    </w:p>
    <w:sectPr w:rsidR="005C1C1B" w:rsidRPr="00775000" w:rsidSect="005C1C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71D26"/>
    <w:rsid w:val="0000688C"/>
    <w:rsid w:val="00076FD3"/>
    <w:rsid w:val="00162D0B"/>
    <w:rsid w:val="00167356"/>
    <w:rsid w:val="00571D26"/>
    <w:rsid w:val="005C1C1B"/>
    <w:rsid w:val="006F1A2C"/>
    <w:rsid w:val="00775000"/>
    <w:rsid w:val="007758A1"/>
    <w:rsid w:val="007775C2"/>
    <w:rsid w:val="009718BA"/>
    <w:rsid w:val="00A14DA1"/>
    <w:rsid w:val="00A87DF9"/>
    <w:rsid w:val="00D870E0"/>
    <w:rsid w:val="00E644FE"/>
    <w:rsid w:val="00F861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D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7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9718BA"/>
  </w:style>
  <w:style w:type="character" w:styleId="Hyperlink">
    <w:name w:val="Hyperlink"/>
    <w:basedOn w:val="DefaultParagraphFont"/>
    <w:uiPriority w:val="99"/>
    <w:semiHidden/>
    <w:unhideWhenUsed/>
    <w:rsid w:val="00F861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10</cp:revision>
  <dcterms:created xsi:type="dcterms:W3CDTF">2018-03-23T04:00:00Z</dcterms:created>
  <dcterms:modified xsi:type="dcterms:W3CDTF">2018-03-26T10:27:00Z</dcterms:modified>
</cp:coreProperties>
</file>