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 xml:space="preserve">Báo cáo nêu rõ, nợ toàn cầu đang tăng cao nhất trong lịch sử từ trước đến nay, đạt </w:t>
      </w:r>
      <w:r w:rsidR="00CC645C" w:rsidRPr="003547A0">
        <w:rPr>
          <w:rFonts w:ascii="Arial" w:hAnsi="Arial" w:cs="Arial"/>
          <w:sz w:val="20"/>
          <w:szCs w:val="20"/>
        </w:rPr>
        <w:t xml:space="preserve">mức </w:t>
      </w:r>
      <w:r w:rsidRPr="003547A0">
        <w:rPr>
          <w:rFonts w:ascii="Arial" w:hAnsi="Arial" w:cs="Arial"/>
          <w:sz w:val="20"/>
          <w:szCs w:val="20"/>
        </w:rPr>
        <w:t xml:space="preserve">kỷ lục 164 nghìn tỷ </w:t>
      </w:r>
      <w:bookmarkStart w:id="0" w:name="_GoBack"/>
      <w:bookmarkEnd w:id="0"/>
      <w:r w:rsidRPr="003547A0">
        <w:rPr>
          <w:rFonts w:ascii="Arial" w:hAnsi="Arial" w:cs="Arial"/>
          <w:sz w:val="20"/>
          <w:szCs w:val="20"/>
        </w:rPr>
        <w:t>USD vào năm 2016, tương đương 225% GDP, tăng khoảng 12% GDP so với đỉnh cao đạt được vào năm 2009, trong đó nợ nần tại Trung Quốc tăng khá nhanh (xem bảng dưới đây).</w:t>
      </w:r>
    </w:p>
    <w:p w:rsidR="00B30FE8" w:rsidRPr="003547A0" w:rsidRDefault="00B30FE8" w:rsidP="003547A0">
      <w:pPr>
        <w:pStyle w:val="NormalWeb"/>
        <w:shd w:val="clear" w:color="auto" w:fill="FFFFFF"/>
        <w:spacing w:before="0" w:beforeAutospacing="0" w:after="60" w:afterAutospacing="0"/>
        <w:jc w:val="center"/>
        <w:rPr>
          <w:rFonts w:ascii="Arial" w:hAnsi="Arial" w:cs="Arial"/>
          <w:b/>
          <w:i/>
          <w:sz w:val="20"/>
          <w:szCs w:val="20"/>
        </w:rPr>
      </w:pPr>
      <w:r w:rsidRPr="003547A0">
        <w:rPr>
          <w:rFonts w:ascii="Arial" w:hAnsi="Arial" w:cs="Arial"/>
          <w:b/>
          <w:i/>
          <w:sz w:val="20"/>
          <w:szCs w:val="20"/>
        </w:rPr>
        <w:t>Tỷ lệ nợ công giai đoạn 2015-2023 (% so GDP)</w:t>
      </w:r>
    </w:p>
    <w:tbl>
      <w:tblPr>
        <w:tblStyle w:val="TableGrid"/>
        <w:tblW w:w="9427" w:type="dxa"/>
        <w:tblInd w:w="18" w:type="dxa"/>
        <w:tblLook w:val="04A0" w:firstRow="1" w:lastRow="0" w:firstColumn="1" w:lastColumn="0" w:noHBand="0" w:noVBand="1"/>
      </w:tblPr>
      <w:tblGrid>
        <w:gridCol w:w="2487"/>
        <w:gridCol w:w="753"/>
        <w:gridCol w:w="770"/>
        <w:gridCol w:w="758"/>
        <w:gridCol w:w="765"/>
        <w:gridCol w:w="753"/>
        <w:gridCol w:w="770"/>
        <w:gridCol w:w="753"/>
        <w:gridCol w:w="770"/>
        <w:gridCol w:w="848"/>
      </w:tblGrid>
      <w:tr w:rsidR="00392275" w:rsidRPr="003547A0" w:rsidTr="00B468A4">
        <w:tc>
          <w:tcPr>
            <w:tcW w:w="2487" w:type="dxa"/>
          </w:tcPr>
          <w:p w:rsidR="00B30FE8" w:rsidRPr="003547A0" w:rsidRDefault="00B30FE8" w:rsidP="003547A0">
            <w:pPr>
              <w:pStyle w:val="NormalWeb"/>
              <w:spacing w:before="0" w:beforeAutospacing="0" w:after="0" w:afterAutospacing="0"/>
              <w:jc w:val="center"/>
              <w:rPr>
                <w:rFonts w:ascii="Arial" w:hAnsi="Arial" w:cs="Arial"/>
                <w:b/>
                <w:sz w:val="20"/>
                <w:szCs w:val="20"/>
              </w:rPr>
            </w:pPr>
          </w:p>
        </w:tc>
        <w:tc>
          <w:tcPr>
            <w:tcW w:w="2281" w:type="dxa"/>
            <w:gridSpan w:val="3"/>
          </w:tcPr>
          <w:p w:rsidR="00B30FE8" w:rsidRPr="003547A0" w:rsidRDefault="00B30FE8" w:rsidP="003547A0">
            <w:pPr>
              <w:pStyle w:val="NormalWeb"/>
              <w:spacing w:before="0" w:beforeAutospacing="0" w:after="0" w:afterAutospacing="0"/>
              <w:jc w:val="center"/>
              <w:rPr>
                <w:rFonts w:ascii="Arial" w:hAnsi="Arial" w:cs="Arial"/>
                <w:b/>
                <w:sz w:val="20"/>
                <w:szCs w:val="20"/>
              </w:rPr>
            </w:pPr>
            <w:r w:rsidRPr="003547A0">
              <w:rPr>
                <w:rFonts w:ascii="Arial" w:hAnsi="Arial" w:cs="Arial"/>
                <w:b/>
                <w:sz w:val="20"/>
                <w:szCs w:val="20"/>
              </w:rPr>
              <w:t>Thực tế</w:t>
            </w:r>
          </w:p>
        </w:tc>
        <w:tc>
          <w:tcPr>
            <w:tcW w:w="4659" w:type="dxa"/>
            <w:gridSpan w:val="6"/>
          </w:tcPr>
          <w:p w:rsidR="00B30FE8" w:rsidRPr="003547A0" w:rsidRDefault="00B30FE8" w:rsidP="003547A0">
            <w:pPr>
              <w:pStyle w:val="NormalWeb"/>
              <w:spacing w:before="0" w:beforeAutospacing="0" w:after="0" w:afterAutospacing="0"/>
              <w:jc w:val="center"/>
              <w:rPr>
                <w:rFonts w:ascii="Arial" w:hAnsi="Arial" w:cs="Arial"/>
                <w:b/>
                <w:sz w:val="20"/>
                <w:szCs w:val="20"/>
              </w:rPr>
            </w:pPr>
            <w:r w:rsidRPr="003547A0">
              <w:rPr>
                <w:rFonts w:ascii="Arial" w:hAnsi="Arial" w:cs="Arial"/>
                <w:b/>
                <w:sz w:val="20"/>
                <w:szCs w:val="20"/>
              </w:rPr>
              <w:t>Dự báo</w:t>
            </w:r>
          </w:p>
        </w:tc>
      </w:tr>
      <w:tr w:rsidR="00392275" w:rsidRPr="003547A0" w:rsidTr="00B468A4">
        <w:tc>
          <w:tcPr>
            <w:tcW w:w="2487"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p>
        </w:tc>
        <w:tc>
          <w:tcPr>
            <w:tcW w:w="753"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2015</w:t>
            </w:r>
          </w:p>
        </w:tc>
        <w:tc>
          <w:tcPr>
            <w:tcW w:w="770"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2016</w:t>
            </w:r>
          </w:p>
        </w:tc>
        <w:tc>
          <w:tcPr>
            <w:tcW w:w="758"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2017</w:t>
            </w:r>
          </w:p>
        </w:tc>
        <w:tc>
          <w:tcPr>
            <w:tcW w:w="765"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2018</w:t>
            </w:r>
          </w:p>
        </w:tc>
        <w:tc>
          <w:tcPr>
            <w:tcW w:w="753"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2019</w:t>
            </w:r>
          </w:p>
        </w:tc>
        <w:tc>
          <w:tcPr>
            <w:tcW w:w="770"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2020</w:t>
            </w:r>
          </w:p>
        </w:tc>
        <w:tc>
          <w:tcPr>
            <w:tcW w:w="753"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2021</w:t>
            </w:r>
          </w:p>
        </w:tc>
        <w:tc>
          <w:tcPr>
            <w:tcW w:w="770"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2022</w:t>
            </w:r>
          </w:p>
        </w:tc>
        <w:tc>
          <w:tcPr>
            <w:tcW w:w="848" w:type="dxa"/>
          </w:tcPr>
          <w:p w:rsidR="00B30FE8" w:rsidRPr="003547A0" w:rsidRDefault="00B30FE8" w:rsidP="003547A0">
            <w:pPr>
              <w:pStyle w:val="NormalWeb"/>
              <w:spacing w:before="0" w:beforeAutospacing="0" w:after="60" w:afterAutospacing="0"/>
              <w:jc w:val="center"/>
              <w:rPr>
                <w:rFonts w:ascii="Arial" w:hAnsi="Arial" w:cs="Arial"/>
                <w:b/>
                <w:sz w:val="20"/>
                <w:szCs w:val="20"/>
              </w:rPr>
            </w:pPr>
            <w:r w:rsidRPr="003547A0">
              <w:rPr>
                <w:rFonts w:ascii="Arial" w:hAnsi="Arial" w:cs="Arial"/>
                <w:b/>
                <w:sz w:val="20"/>
                <w:szCs w:val="20"/>
              </w:rPr>
              <w:t>2023</w:t>
            </w:r>
          </w:p>
        </w:tc>
      </w:tr>
      <w:tr w:rsidR="00392275" w:rsidRPr="003547A0" w:rsidTr="00B468A4">
        <w:tc>
          <w:tcPr>
            <w:tcW w:w="9427" w:type="dxa"/>
            <w:gridSpan w:val="10"/>
          </w:tcPr>
          <w:p w:rsidR="00B30FE8" w:rsidRPr="003547A0" w:rsidRDefault="00B30FE8" w:rsidP="003547A0">
            <w:pPr>
              <w:pStyle w:val="NormalWeb"/>
              <w:spacing w:before="0" w:beforeAutospacing="0" w:after="60" w:afterAutospacing="0"/>
              <w:jc w:val="center"/>
              <w:rPr>
                <w:rFonts w:ascii="Arial" w:hAnsi="Arial" w:cs="Arial"/>
                <w:b/>
                <w:i/>
                <w:sz w:val="20"/>
                <w:szCs w:val="20"/>
              </w:rPr>
            </w:pPr>
            <w:r w:rsidRPr="003547A0">
              <w:rPr>
                <w:rFonts w:ascii="Arial" w:hAnsi="Arial" w:cs="Arial"/>
                <w:b/>
                <w:i/>
                <w:sz w:val="20"/>
                <w:szCs w:val="20"/>
              </w:rPr>
              <w:t>Tỷ lệ nợ gộp</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b/>
                <w:i/>
                <w:sz w:val="20"/>
                <w:szCs w:val="20"/>
              </w:rPr>
            </w:pPr>
            <w:r w:rsidRPr="003547A0">
              <w:rPr>
                <w:rFonts w:ascii="Arial" w:hAnsi="Arial" w:cs="Arial"/>
                <w:b/>
                <w:i/>
                <w:sz w:val="20"/>
                <w:szCs w:val="20"/>
              </w:rPr>
              <w:t>Thế giới</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80,0</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83,1</w:t>
            </w:r>
          </w:p>
        </w:tc>
        <w:tc>
          <w:tcPr>
            <w:tcW w:w="758"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82,4</w:t>
            </w:r>
          </w:p>
        </w:tc>
        <w:tc>
          <w:tcPr>
            <w:tcW w:w="765"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82,1</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81,9</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81,6</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81,3</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81,0</w:t>
            </w:r>
          </w:p>
        </w:tc>
        <w:tc>
          <w:tcPr>
            <w:tcW w:w="848"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80,6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Các nước phát triển</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104,4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106,9</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105,4</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103,9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103,1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102,4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101,7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101,2</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100,4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Mỹ</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105,3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107,2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107,8</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108,0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109,4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111,3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111,1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115,2</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116,9</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Khu vực euro</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89,9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88,9</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86,6</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79,3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76,8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74,3</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71,7</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CH Pháp</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95,8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96,6</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97,0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96,3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96,2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95,1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93,6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91,6</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89,0</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CHLB Đức</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71,0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64,1</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59,8</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55,7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48,7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45,5</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42,4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Italia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131,5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132,0</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131,5</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129,7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127,5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124,9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122,1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119,3</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116,6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Tây Ban Nha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99,4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99,0</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98,4</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96,7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95,1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93,9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92,8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91,8</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90,9</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Nhật Bản</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231,3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235,6</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236,4</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236,0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234,2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232,3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231,4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230,7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229,6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VQ Anh</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88,2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88,2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87,0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85,9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85,2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83,6</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82,5</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 xml:space="preserve">Canada </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90,5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91,1</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89,7</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83,8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78,7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76,4</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74,3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z w:val="20"/>
                <w:szCs w:val="20"/>
              </w:rPr>
            </w:pPr>
            <w:r w:rsidRPr="003547A0">
              <w:rPr>
                <w:rFonts w:ascii="Arial" w:hAnsi="Arial" w:cs="Arial"/>
                <w:sz w:val="20"/>
                <w:szCs w:val="20"/>
              </w:rPr>
              <w:t>Các nước mới nổi *</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47,0</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49,0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55,6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56,7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57,6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8"/>
                <w:sz w:val="20"/>
                <w:szCs w:val="20"/>
              </w:rPr>
            </w:pPr>
            <w:r w:rsidRPr="003547A0">
              <w:rPr>
                <w:rFonts w:ascii="Arial" w:hAnsi="Arial" w:cs="Arial"/>
                <w:spacing w:val="-8"/>
                <w:sz w:val="20"/>
                <w:szCs w:val="20"/>
              </w:rPr>
              <w:t>Không kể nước SX dầu **</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46,0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48,6</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50,6</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55,7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57,0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58,2</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59,2</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châu Á</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47,2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50,1</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56,6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58,5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60,1</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61,6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Trung Quốc</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44,3</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47,8</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57,6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60,5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63,1</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65,5</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Ấn Độ</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69,6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68,9</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70,2</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67,3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65,8</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64,3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62,9</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61,4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châu Âu</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30,9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32,1</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31,8</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32,4</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32,2</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CHLB Nga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15,7</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17,4</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18,7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19,5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19,9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20,0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20,1</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20,4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Mỹ Latinh</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55,5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59,0</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61,8</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66,4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67,4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67,9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68,4</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Brazil</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76,2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78,4</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87,3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90,2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92,7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94,6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95,7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96,3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Mêhicô</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56,8</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54,2</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53,5</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53,3</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MENAP</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33,7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41,1</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40,3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42,5</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42,6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Arập Xê út</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13,1</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17,3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20,0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26,0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27,6</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29,4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CH Nam Phi</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49,3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51,6</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52,7</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54,9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55,7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56,4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57,0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57,6</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58,1</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thu nhập thấp</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38,0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40,8</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45,5</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53,5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42,8</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41,9</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Nigeria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16,0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19,6</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23,4</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26,8</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27,3</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28,1</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28,3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sản xuất dầu</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39,7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43,3</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43,2</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44,2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43,6</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43,0</w:t>
            </w:r>
          </w:p>
        </w:tc>
      </w:tr>
      <w:tr w:rsidR="00392275" w:rsidRPr="003547A0" w:rsidTr="00B468A4">
        <w:tc>
          <w:tcPr>
            <w:tcW w:w="9427" w:type="dxa"/>
            <w:gridSpan w:val="10"/>
          </w:tcPr>
          <w:p w:rsidR="00B30FE8" w:rsidRPr="003547A0" w:rsidRDefault="00B30FE8" w:rsidP="003547A0">
            <w:pPr>
              <w:pStyle w:val="NormalWeb"/>
              <w:spacing w:before="0" w:beforeAutospacing="0" w:after="60" w:afterAutospacing="0"/>
              <w:jc w:val="center"/>
              <w:rPr>
                <w:rFonts w:ascii="Arial" w:hAnsi="Arial" w:cs="Arial"/>
                <w:b/>
                <w:i/>
                <w:sz w:val="20"/>
                <w:szCs w:val="20"/>
              </w:rPr>
            </w:pPr>
            <w:r w:rsidRPr="003547A0">
              <w:rPr>
                <w:rFonts w:ascii="Arial" w:hAnsi="Arial" w:cs="Arial"/>
                <w:b/>
                <w:i/>
                <w:sz w:val="20"/>
                <w:szCs w:val="20"/>
              </w:rPr>
              <w:t>Tỷ lệ nợ ròng</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b/>
                <w:i/>
                <w:spacing w:val="-6"/>
                <w:sz w:val="20"/>
                <w:szCs w:val="20"/>
              </w:rPr>
            </w:pPr>
            <w:r w:rsidRPr="003547A0">
              <w:rPr>
                <w:rFonts w:ascii="Arial" w:hAnsi="Arial" w:cs="Arial"/>
                <w:b/>
                <w:i/>
                <w:spacing w:val="-6"/>
                <w:sz w:val="20"/>
                <w:szCs w:val="20"/>
              </w:rPr>
              <w:t>Thế giới</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66,6</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69,2</w:t>
            </w:r>
          </w:p>
        </w:tc>
        <w:tc>
          <w:tcPr>
            <w:tcW w:w="758"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68,5</w:t>
            </w:r>
          </w:p>
        </w:tc>
        <w:tc>
          <w:tcPr>
            <w:tcW w:w="765"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67,9</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67,7</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67,4</w:t>
            </w:r>
          </w:p>
        </w:tc>
        <w:tc>
          <w:tcPr>
            <w:tcW w:w="753"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67,2</w:t>
            </w:r>
          </w:p>
        </w:tc>
        <w:tc>
          <w:tcPr>
            <w:tcW w:w="770"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67,0</w:t>
            </w:r>
          </w:p>
        </w:tc>
        <w:tc>
          <w:tcPr>
            <w:tcW w:w="848" w:type="dxa"/>
          </w:tcPr>
          <w:p w:rsidR="00B30FE8" w:rsidRPr="003547A0" w:rsidRDefault="00B30FE8" w:rsidP="003547A0">
            <w:pPr>
              <w:pStyle w:val="NormalWeb"/>
              <w:spacing w:before="0" w:beforeAutospacing="0" w:after="0" w:afterAutospacing="0"/>
              <w:jc w:val="center"/>
              <w:rPr>
                <w:rFonts w:ascii="Arial" w:hAnsi="Arial" w:cs="Arial"/>
                <w:b/>
                <w:i/>
                <w:sz w:val="20"/>
                <w:szCs w:val="20"/>
              </w:rPr>
            </w:pPr>
            <w:r w:rsidRPr="003547A0">
              <w:rPr>
                <w:rFonts w:ascii="Arial" w:hAnsi="Arial" w:cs="Arial"/>
                <w:b/>
                <w:i/>
                <w:sz w:val="20"/>
                <w:szCs w:val="20"/>
              </w:rPr>
              <w:t>66,5</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phát triển</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75,7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77,3</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76,3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75,0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74,5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74,1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73,5</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73,0</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Mỹ</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80,5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81,5</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82,3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82,7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88,4</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90,2</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Khu vực euro</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71,0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68,9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66,9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64,9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62,9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60,7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58,6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CH Pháp</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87,5</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87,7</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87,0</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85,8</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82,3</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79,7</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CHLB Đức</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48,5</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45,1</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51,5</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38,1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35,1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32,3</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29,7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27,2</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Italia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119,5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120,2</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119,9</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118,5</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116,5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114,1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111,6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109,0</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106,5</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Tây Ban Nha</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85,7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86,5</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86,3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85,2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84,0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83,2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82,4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81,8</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81,3</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Nhật Bản</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147,6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152,8</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153,0</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152,6</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150,8</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148,9</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148,1</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147,4</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146,3</w:t>
            </w:r>
          </w:p>
        </w:tc>
      </w:tr>
      <w:tr w:rsidR="00B30FE8"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VQ Anh</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79,6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79,1</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78,2</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77,4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77,0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76,2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75,6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74,7</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73,6</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 xml:space="preserve">Canada </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28,5</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27,8</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27,4</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26,6</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25,7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24,9</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24,1</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23,5</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mới nổi *</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28,4</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34,4</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35,9</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38,1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39,5</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40,7</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41,7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42,3</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43,0</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Các nước châu Âu</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28,7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31,4</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30,6</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31,0</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30,9</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31,4</w:t>
            </w:r>
          </w:p>
        </w:tc>
      </w:tr>
      <w:tr w:rsidR="00392275" w:rsidRPr="003547A0" w:rsidTr="00B468A4">
        <w:tc>
          <w:tcPr>
            <w:tcW w:w="2487" w:type="dxa"/>
          </w:tcPr>
          <w:p w:rsidR="00B30FE8" w:rsidRPr="003547A0" w:rsidRDefault="00B30FE8" w:rsidP="003547A0">
            <w:pPr>
              <w:pStyle w:val="NormalWeb"/>
              <w:spacing w:before="0" w:beforeAutospacing="0" w:after="0" w:afterAutospacing="0"/>
              <w:jc w:val="both"/>
              <w:rPr>
                <w:rFonts w:ascii="Arial" w:hAnsi="Arial" w:cs="Arial"/>
                <w:spacing w:val="-6"/>
                <w:sz w:val="20"/>
                <w:szCs w:val="20"/>
              </w:rPr>
            </w:pPr>
            <w:r w:rsidRPr="003547A0">
              <w:rPr>
                <w:rFonts w:ascii="Arial" w:hAnsi="Arial" w:cs="Arial"/>
                <w:spacing w:val="-6"/>
                <w:sz w:val="20"/>
                <w:szCs w:val="20"/>
              </w:rPr>
              <w:t>Mỹ Latinh</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35,2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40,9</w:t>
            </w:r>
          </w:p>
        </w:tc>
        <w:tc>
          <w:tcPr>
            <w:tcW w:w="75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43,3</w:t>
            </w:r>
          </w:p>
        </w:tc>
        <w:tc>
          <w:tcPr>
            <w:tcW w:w="765"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45,2</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47,2</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49,1</w:t>
            </w:r>
          </w:p>
        </w:tc>
        <w:tc>
          <w:tcPr>
            <w:tcW w:w="753"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50,7</w:t>
            </w:r>
          </w:p>
        </w:tc>
        <w:tc>
          <w:tcPr>
            <w:tcW w:w="770"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51,9</w:t>
            </w:r>
          </w:p>
        </w:tc>
        <w:tc>
          <w:tcPr>
            <w:tcW w:w="848" w:type="dxa"/>
          </w:tcPr>
          <w:p w:rsidR="00B30FE8" w:rsidRPr="003547A0" w:rsidRDefault="00B30FE8" w:rsidP="003547A0">
            <w:pPr>
              <w:pStyle w:val="NormalWeb"/>
              <w:spacing w:before="0" w:beforeAutospacing="0" w:after="0" w:afterAutospacing="0"/>
              <w:jc w:val="center"/>
              <w:rPr>
                <w:rFonts w:ascii="Arial" w:hAnsi="Arial" w:cs="Arial"/>
                <w:sz w:val="20"/>
                <w:szCs w:val="20"/>
              </w:rPr>
            </w:pPr>
            <w:r w:rsidRPr="003547A0">
              <w:rPr>
                <w:rFonts w:ascii="Arial" w:hAnsi="Arial" w:cs="Arial"/>
                <w:sz w:val="20"/>
                <w:szCs w:val="20"/>
              </w:rPr>
              <w:t>52,7</w:t>
            </w:r>
          </w:p>
        </w:tc>
      </w:tr>
      <w:tr w:rsidR="00392275" w:rsidRPr="003547A0" w:rsidTr="00B468A4">
        <w:tc>
          <w:tcPr>
            <w:tcW w:w="2487" w:type="dxa"/>
          </w:tcPr>
          <w:p w:rsidR="00B30FE8" w:rsidRPr="003547A0" w:rsidRDefault="00392275" w:rsidP="003547A0">
            <w:pPr>
              <w:pStyle w:val="NormalWeb"/>
              <w:spacing w:before="0" w:beforeAutospacing="0" w:after="60" w:afterAutospacing="0"/>
              <w:jc w:val="both"/>
              <w:rPr>
                <w:rFonts w:ascii="Arial" w:hAnsi="Arial" w:cs="Arial"/>
                <w:spacing w:val="-6"/>
                <w:sz w:val="20"/>
                <w:szCs w:val="20"/>
              </w:rPr>
            </w:pPr>
            <w:r w:rsidRPr="003547A0">
              <w:rPr>
                <w:rFonts w:ascii="Arial" w:hAnsi="Arial" w:cs="Arial"/>
                <w:spacing w:val="-6"/>
                <w:sz w:val="20"/>
                <w:szCs w:val="20"/>
              </w:rPr>
              <w:t xml:space="preserve">Các nước </w:t>
            </w:r>
            <w:r w:rsidR="00B30FE8" w:rsidRPr="003547A0">
              <w:rPr>
                <w:rFonts w:ascii="Arial" w:hAnsi="Arial" w:cs="Arial"/>
                <w:spacing w:val="-6"/>
                <w:sz w:val="20"/>
                <w:szCs w:val="20"/>
              </w:rPr>
              <w:t>MENAP</w:t>
            </w:r>
          </w:p>
        </w:tc>
        <w:tc>
          <w:tcPr>
            <w:tcW w:w="753"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15,2</w:t>
            </w:r>
          </w:p>
        </w:tc>
        <w:tc>
          <w:tcPr>
            <w:tcW w:w="770"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28,6</w:t>
            </w:r>
          </w:p>
        </w:tc>
        <w:tc>
          <w:tcPr>
            <w:tcW w:w="758"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29,0</w:t>
            </w:r>
          </w:p>
        </w:tc>
        <w:tc>
          <w:tcPr>
            <w:tcW w:w="765"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34,6</w:t>
            </w:r>
          </w:p>
        </w:tc>
        <w:tc>
          <w:tcPr>
            <w:tcW w:w="753"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36,8</w:t>
            </w:r>
          </w:p>
        </w:tc>
        <w:tc>
          <w:tcPr>
            <w:tcW w:w="770"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37,9</w:t>
            </w:r>
          </w:p>
        </w:tc>
        <w:tc>
          <w:tcPr>
            <w:tcW w:w="753"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39,2</w:t>
            </w:r>
          </w:p>
        </w:tc>
        <w:tc>
          <w:tcPr>
            <w:tcW w:w="770"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39,8</w:t>
            </w:r>
          </w:p>
        </w:tc>
        <w:tc>
          <w:tcPr>
            <w:tcW w:w="848" w:type="dxa"/>
          </w:tcPr>
          <w:p w:rsidR="00B30FE8" w:rsidRPr="003547A0" w:rsidRDefault="00B30FE8" w:rsidP="003547A0">
            <w:pPr>
              <w:pStyle w:val="NormalWeb"/>
              <w:spacing w:before="0" w:beforeAutospacing="0" w:after="60" w:afterAutospacing="0"/>
              <w:jc w:val="center"/>
              <w:rPr>
                <w:rFonts w:ascii="Arial" w:hAnsi="Arial" w:cs="Arial"/>
                <w:sz w:val="20"/>
                <w:szCs w:val="20"/>
              </w:rPr>
            </w:pPr>
            <w:r w:rsidRPr="003547A0">
              <w:rPr>
                <w:rFonts w:ascii="Arial" w:hAnsi="Arial" w:cs="Arial"/>
                <w:sz w:val="20"/>
                <w:szCs w:val="20"/>
              </w:rPr>
              <w:t>40,7</w:t>
            </w:r>
          </w:p>
        </w:tc>
      </w:tr>
    </w:tbl>
    <w:p w:rsidR="00B30FE8" w:rsidRPr="00DF499F" w:rsidRDefault="00B30FE8" w:rsidP="003547A0">
      <w:pPr>
        <w:pStyle w:val="NormalWeb"/>
        <w:shd w:val="clear" w:color="auto" w:fill="FFFFFF"/>
        <w:spacing w:before="0" w:beforeAutospacing="0" w:after="0" w:afterAutospacing="0"/>
        <w:jc w:val="both"/>
        <w:rPr>
          <w:rFonts w:ascii="Arial" w:hAnsi="Arial" w:cs="Arial"/>
          <w:i/>
          <w:sz w:val="16"/>
          <w:szCs w:val="16"/>
        </w:rPr>
      </w:pPr>
      <w:r w:rsidRPr="00DF499F">
        <w:rPr>
          <w:rFonts w:ascii="Arial" w:hAnsi="Arial" w:cs="Arial"/>
          <w:i/>
          <w:sz w:val="16"/>
          <w:szCs w:val="16"/>
        </w:rPr>
        <w:t>Nguồn: IMF tháng 4/2018</w:t>
      </w:r>
    </w:p>
    <w:p w:rsidR="00B30FE8" w:rsidRPr="00DF499F" w:rsidRDefault="00B30FE8" w:rsidP="003547A0">
      <w:pPr>
        <w:pStyle w:val="NormalWeb"/>
        <w:shd w:val="clear" w:color="auto" w:fill="FFFFFF"/>
        <w:spacing w:before="0" w:beforeAutospacing="0" w:after="0" w:afterAutospacing="0"/>
        <w:jc w:val="both"/>
        <w:rPr>
          <w:rFonts w:ascii="Arial" w:hAnsi="Arial" w:cs="Arial"/>
          <w:i/>
          <w:sz w:val="16"/>
          <w:szCs w:val="16"/>
        </w:rPr>
      </w:pPr>
      <w:r w:rsidRPr="00DF499F">
        <w:rPr>
          <w:rFonts w:ascii="Arial" w:hAnsi="Arial" w:cs="Arial"/>
          <w:i/>
          <w:sz w:val="16"/>
          <w:szCs w:val="16"/>
        </w:rPr>
        <w:t xml:space="preserve">(*): Kể cả các nước </w:t>
      </w:r>
      <w:proofErr w:type="gramStart"/>
      <w:r w:rsidRPr="00DF499F">
        <w:rPr>
          <w:rFonts w:ascii="Arial" w:hAnsi="Arial" w:cs="Arial"/>
          <w:i/>
          <w:sz w:val="16"/>
          <w:szCs w:val="16"/>
        </w:rPr>
        <w:t>thu</w:t>
      </w:r>
      <w:proofErr w:type="gramEnd"/>
      <w:r w:rsidRPr="00DF499F">
        <w:rPr>
          <w:rFonts w:ascii="Arial" w:hAnsi="Arial" w:cs="Arial"/>
          <w:i/>
          <w:sz w:val="16"/>
          <w:szCs w:val="16"/>
        </w:rPr>
        <w:t xml:space="preserve"> nhập trung bình;</w:t>
      </w:r>
    </w:p>
    <w:p w:rsidR="00B30FE8" w:rsidRPr="00DF499F" w:rsidRDefault="00653719" w:rsidP="003547A0">
      <w:pPr>
        <w:pStyle w:val="NormalWeb"/>
        <w:shd w:val="clear" w:color="auto" w:fill="FFFFFF"/>
        <w:spacing w:before="0" w:beforeAutospacing="0" w:after="60" w:afterAutospacing="0"/>
        <w:jc w:val="both"/>
        <w:rPr>
          <w:rFonts w:ascii="Arial" w:hAnsi="Arial" w:cs="Arial"/>
          <w:i/>
          <w:sz w:val="16"/>
          <w:szCs w:val="16"/>
        </w:rPr>
      </w:pPr>
      <w:r w:rsidRPr="00DF499F">
        <w:rPr>
          <w:rFonts w:ascii="Arial" w:hAnsi="Arial" w:cs="Arial"/>
          <w:i/>
          <w:sz w:val="16"/>
          <w:szCs w:val="16"/>
        </w:rPr>
        <w:t>(**): Các nước sản xuất dầu MEN</w:t>
      </w:r>
      <w:r w:rsidR="00B30FE8" w:rsidRPr="00DF499F">
        <w:rPr>
          <w:rFonts w:ascii="Arial" w:hAnsi="Arial" w:cs="Arial"/>
          <w:i/>
          <w:sz w:val="16"/>
          <w:szCs w:val="16"/>
        </w:rPr>
        <w:t>AP (</w:t>
      </w:r>
      <w:r w:rsidRPr="00DF499F">
        <w:rPr>
          <w:rFonts w:ascii="Arial" w:hAnsi="Arial" w:cs="Arial"/>
          <w:i/>
          <w:sz w:val="16"/>
          <w:szCs w:val="16"/>
        </w:rPr>
        <w:t xml:space="preserve">bao gồm: </w:t>
      </w:r>
      <w:r w:rsidR="00B30FE8" w:rsidRPr="00DF499F">
        <w:rPr>
          <w:rFonts w:ascii="Arial" w:hAnsi="Arial" w:cs="Arial"/>
          <w:i/>
          <w:sz w:val="16"/>
          <w:szCs w:val="16"/>
        </w:rPr>
        <w:t xml:space="preserve">Trung Đông, Bắc Phi, Pakistan). </w:t>
      </w:r>
    </w:p>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lastRenderedPageBreak/>
        <w:t>Trong tổng nợ toàn cầu,</w:t>
      </w:r>
      <w:r w:rsidR="00392275" w:rsidRPr="003547A0">
        <w:rPr>
          <w:rFonts w:ascii="Arial" w:hAnsi="Arial" w:cs="Arial"/>
          <w:sz w:val="20"/>
          <w:szCs w:val="20"/>
        </w:rPr>
        <w:t xml:space="preserve"> nợ công chiếm tỷ trọng áp đảo</w:t>
      </w:r>
      <w:r w:rsidRPr="003547A0">
        <w:rPr>
          <w:rFonts w:ascii="Arial" w:hAnsi="Arial" w:cs="Arial"/>
          <w:sz w:val="20"/>
          <w:szCs w:val="20"/>
        </w:rPr>
        <w:t xml:space="preserve">, nhưng khả năng cải thiện rất chậm chạp. Nợ công tăng cao phản ánh tình trạng suy thoái kinh tế do tác động của cuộc khủng hoảng tài chính toàn cầu và phản ứng chính sách, cũng như ảnh hưởng của xu hướng giảm giá cả hàng hóa vào năm 2014 và chi tiêu tăng cao tại nhiều nước đang phát triển, đặc biệt là các nước mới nổi và thu nhập thấp. </w:t>
      </w:r>
      <w:r w:rsidR="00CC645C" w:rsidRPr="003547A0">
        <w:rPr>
          <w:rFonts w:ascii="Arial" w:hAnsi="Arial" w:cs="Arial"/>
          <w:sz w:val="20"/>
          <w:szCs w:val="20"/>
        </w:rPr>
        <w:t>Tại</w:t>
      </w:r>
      <w:r w:rsidRPr="003547A0">
        <w:rPr>
          <w:rFonts w:ascii="Arial" w:hAnsi="Arial" w:cs="Arial"/>
          <w:sz w:val="20"/>
          <w:szCs w:val="20"/>
        </w:rPr>
        <w:t xml:space="preserve"> các nư</w:t>
      </w:r>
      <w:r w:rsidR="00CC645C" w:rsidRPr="003547A0">
        <w:rPr>
          <w:rFonts w:ascii="Arial" w:hAnsi="Arial" w:cs="Arial"/>
          <w:sz w:val="20"/>
          <w:szCs w:val="20"/>
        </w:rPr>
        <w:t>ớc phát triển, tỷ lệ nợ công</w:t>
      </w:r>
      <w:r w:rsidRPr="003547A0">
        <w:rPr>
          <w:rFonts w:ascii="Arial" w:hAnsi="Arial" w:cs="Arial"/>
          <w:sz w:val="20"/>
          <w:szCs w:val="20"/>
        </w:rPr>
        <w:t xml:space="preserve"> hiện nay không thay đổi đáng kể sau khi tăng lên trên 105% GDP vào năm 2012 - mức cao nhất kể từ sau Ch</w:t>
      </w:r>
      <w:r w:rsidR="00CC645C" w:rsidRPr="003547A0">
        <w:rPr>
          <w:rFonts w:ascii="Arial" w:hAnsi="Arial" w:cs="Arial"/>
          <w:sz w:val="20"/>
          <w:szCs w:val="20"/>
        </w:rPr>
        <w:t>iến tranh Thế giới lần thứ hai - và dự báo chỉ giảm nhẹ</w:t>
      </w:r>
      <w:r w:rsidRPr="003547A0">
        <w:rPr>
          <w:rFonts w:ascii="Arial" w:hAnsi="Arial" w:cs="Arial"/>
          <w:sz w:val="20"/>
          <w:szCs w:val="20"/>
        </w:rPr>
        <w:t xml:space="preserve"> trong giai đoạn t</w:t>
      </w:r>
      <w:r w:rsidR="00CC645C" w:rsidRPr="003547A0">
        <w:rPr>
          <w:rFonts w:ascii="Arial" w:hAnsi="Arial" w:cs="Arial"/>
          <w:sz w:val="20"/>
          <w:szCs w:val="20"/>
        </w:rPr>
        <w:t>rung hạn. Trong năm 2017, nợ công</w:t>
      </w:r>
      <w:r w:rsidRPr="003547A0">
        <w:rPr>
          <w:rFonts w:ascii="Arial" w:hAnsi="Arial" w:cs="Arial"/>
          <w:sz w:val="20"/>
          <w:szCs w:val="20"/>
        </w:rPr>
        <w:t xml:space="preserve"> tại các nước mới nổi và </w:t>
      </w:r>
      <w:proofErr w:type="gramStart"/>
      <w:r w:rsidRPr="003547A0">
        <w:rPr>
          <w:rFonts w:ascii="Arial" w:hAnsi="Arial" w:cs="Arial"/>
          <w:sz w:val="20"/>
          <w:szCs w:val="20"/>
        </w:rPr>
        <w:t>thu</w:t>
      </w:r>
      <w:proofErr w:type="gramEnd"/>
      <w:r w:rsidRPr="003547A0">
        <w:rPr>
          <w:rFonts w:ascii="Arial" w:hAnsi="Arial" w:cs="Arial"/>
          <w:sz w:val="20"/>
          <w:szCs w:val="20"/>
        </w:rPr>
        <w:t xml:space="preserve"> nhập trung bình đã tăng lên tỷ lệ gần 50% GDP, và dự báo sẽ tiếp tục tăng. Tại các nước </w:t>
      </w:r>
      <w:proofErr w:type="gramStart"/>
      <w:r w:rsidRPr="003547A0">
        <w:rPr>
          <w:rFonts w:ascii="Arial" w:hAnsi="Arial" w:cs="Arial"/>
          <w:sz w:val="20"/>
          <w:szCs w:val="20"/>
        </w:rPr>
        <w:t>thu</w:t>
      </w:r>
      <w:proofErr w:type="gramEnd"/>
      <w:r w:rsidRPr="003547A0">
        <w:rPr>
          <w:rFonts w:ascii="Arial" w:hAnsi="Arial" w:cs="Arial"/>
          <w:sz w:val="20"/>
          <w:szCs w:val="20"/>
        </w:rPr>
        <w:t xml:space="preserve"> nhập thấp, tỷ lệ nợ </w:t>
      </w:r>
      <w:r w:rsidR="00CC645C" w:rsidRPr="003547A0">
        <w:rPr>
          <w:rFonts w:ascii="Arial" w:hAnsi="Arial" w:cs="Arial"/>
          <w:sz w:val="20"/>
          <w:szCs w:val="20"/>
        </w:rPr>
        <w:t>công cũng tăng lên trên 40% GDP vào năm 2017, tăng</w:t>
      </w:r>
      <w:r w:rsidRPr="003547A0">
        <w:rPr>
          <w:rFonts w:ascii="Arial" w:hAnsi="Arial" w:cs="Arial"/>
          <w:sz w:val="20"/>
          <w:szCs w:val="20"/>
        </w:rPr>
        <w:t xml:space="preserve"> 10% kể từ năm 2012, và </w:t>
      </w:r>
      <w:r w:rsidR="00CC645C" w:rsidRPr="003547A0">
        <w:rPr>
          <w:rFonts w:ascii="Arial" w:hAnsi="Arial" w:cs="Arial"/>
          <w:sz w:val="20"/>
          <w:szCs w:val="20"/>
        </w:rPr>
        <w:t>rất khó</w:t>
      </w:r>
      <w:r w:rsidRPr="003547A0">
        <w:rPr>
          <w:rFonts w:ascii="Arial" w:hAnsi="Arial" w:cs="Arial"/>
          <w:sz w:val="20"/>
          <w:szCs w:val="20"/>
        </w:rPr>
        <w:t xml:space="preserve"> giảm trong g</w:t>
      </w:r>
      <w:r w:rsidR="00CC645C" w:rsidRPr="003547A0">
        <w:rPr>
          <w:rFonts w:ascii="Arial" w:hAnsi="Arial" w:cs="Arial"/>
          <w:sz w:val="20"/>
          <w:szCs w:val="20"/>
        </w:rPr>
        <w:t>iai đoạn trung hạn. Mặc dù gánh nặng nợ cô</w:t>
      </w:r>
      <w:r w:rsidRPr="003547A0">
        <w:rPr>
          <w:rFonts w:ascii="Arial" w:hAnsi="Arial" w:cs="Arial"/>
          <w:sz w:val="20"/>
          <w:szCs w:val="20"/>
        </w:rPr>
        <w:t>n</w:t>
      </w:r>
      <w:r w:rsidR="00CC645C" w:rsidRPr="003547A0">
        <w:rPr>
          <w:rFonts w:ascii="Arial" w:hAnsi="Arial" w:cs="Arial"/>
          <w:sz w:val="20"/>
          <w:szCs w:val="20"/>
        </w:rPr>
        <w:t>g</w:t>
      </w:r>
      <w:r w:rsidRPr="003547A0">
        <w:rPr>
          <w:rFonts w:ascii="Arial" w:hAnsi="Arial" w:cs="Arial"/>
          <w:sz w:val="20"/>
          <w:szCs w:val="20"/>
        </w:rPr>
        <w:t xml:space="preserve"> tại các nước </w:t>
      </w:r>
      <w:proofErr w:type="gramStart"/>
      <w:r w:rsidRPr="003547A0">
        <w:rPr>
          <w:rFonts w:ascii="Arial" w:hAnsi="Arial" w:cs="Arial"/>
          <w:sz w:val="20"/>
          <w:szCs w:val="20"/>
        </w:rPr>
        <w:t>thu</w:t>
      </w:r>
      <w:proofErr w:type="gramEnd"/>
      <w:r w:rsidRPr="003547A0">
        <w:rPr>
          <w:rFonts w:ascii="Arial" w:hAnsi="Arial" w:cs="Arial"/>
          <w:sz w:val="20"/>
          <w:szCs w:val="20"/>
        </w:rPr>
        <w:t xml:space="preserve"> nhập thấp đã giảm xuống dưới mức kỷ lục trong lịch sử, nhưng chủ yếu là do biện pháp xóa nợ và cơ cấu lại các khoản nợ.</w:t>
      </w:r>
    </w:p>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 xml:space="preserve">Trong năm 2017, số nước phát triển có tỷ lệ nợ </w:t>
      </w:r>
      <w:r w:rsidR="00CC645C" w:rsidRPr="003547A0">
        <w:rPr>
          <w:rFonts w:ascii="Arial" w:hAnsi="Arial" w:cs="Arial"/>
          <w:sz w:val="20"/>
          <w:szCs w:val="20"/>
        </w:rPr>
        <w:t xml:space="preserve">công </w:t>
      </w:r>
      <w:r w:rsidRPr="003547A0">
        <w:rPr>
          <w:rFonts w:ascii="Arial" w:hAnsi="Arial" w:cs="Arial"/>
          <w:sz w:val="20"/>
          <w:szCs w:val="20"/>
        </w:rPr>
        <w:t xml:space="preserve">trên 85% GDP đã tăng gấp ba lần kể từ năm 2000 lên trên 1/3 trong nhóm quốc gia này; 1/5 số nước mới nổi và thu nhập trung bình có tỷ lệ nợ </w:t>
      </w:r>
      <w:r w:rsidR="00CC645C" w:rsidRPr="003547A0">
        <w:rPr>
          <w:rFonts w:ascii="Arial" w:hAnsi="Arial" w:cs="Arial"/>
          <w:sz w:val="20"/>
          <w:szCs w:val="20"/>
        </w:rPr>
        <w:t xml:space="preserve">công </w:t>
      </w:r>
      <w:r w:rsidRPr="003547A0">
        <w:rPr>
          <w:rFonts w:ascii="Arial" w:hAnsi="Arial" w:cs="Arial"/>
          <w:sz w:val="20"/>
          <w:szCs w:val="20"/>
        </w:rPr>
        <w:t xml:space="preserve">trên 70% GDP, tương tự tỷ lệ nợ </w:t>
      </w:r>
      <w:r w:rsidR="00CC645C" w:rsidRPr="003547A0">
        <w:rPr>
          <w:rFonts w:ascii="Arial" w:hAnsi="Arial" w:cs="Arial"/>
          <w:sz w:val="20"/>
          <w:szCs w:val="20"/>
        </w:rPr>
        <w:t xml:space="preserve">công </w:t>
      </w:r>
      <w:r w:rsidRPr="003547A0">
        <w:rPr>
          <w:rFonts w:ascii="Arial" w:hAnsi="Arial" w:cs="Arial"/>
          <w:sz w:val="20"/>
          <w:szCs w:val="20"/>
        </w:rPr>
        <w:t xml:space="preserve">trong những năm sau khủng hoảng tài chính châu Á 1997; 1/5 số nước thu nhập thấp có tỷ lệ nợ </w:t>
      </w:r>
      <w:r w:rsidR="00CC645C" w:rsidRPr="003547A0">
        <w:rPr>
          <w:rFonts w:ascii="Arial" w:hAnsi="Arial" w:cs="Arial"/>
          <w:sz w:val="20"/>
          <w:szCs w:val="20"/>
        </w:rPr>
        <w:t xml:space="preserve">công </w:t>
      </w:r>
      <w:r w:rsidRPr="003547A0">
        <w:rPr>
          <w:rFonts w:ascii="Arial" w:hAnsi="Arial" w:cs="Arial"/>
          <w:sz w:val="20"/>
          <w:szCs w:val="20"/>
        </w:rPr>
        <w:t>trên 60% GDP, không thay đổi đáng kể so với năm 2012. Một số nước đang đối mặt với nguy cơ vỡ nợ hoặc phải cơ cấu lại nợ, bao gồm CH Côngô, Chad, Mozambique, Sudan.</w:t>
      </w:r>
    </w:p>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 xml:space="preserve">Nếu tính cả những khoản nợ liên quan đến chi tiêu y tế và hưu trí, tỷ lệ nợ </w:t>
      </w:r>
      <w:r w:rsidR="00CC645C" w:rsidRPr="003547A0">
        <w:rPr>
          <w:rFonts w:ascii="Arial" w:hAnsi="Arial" w:cs="Arial"/>
          <w:sz w:val="20"/>
          <w:szCs w:val="20"/>
        </w:rPr>
        <w:t xml:space="preserve">công </w:t>
      </w:r>
      <w:r w:rsidRPr="003547A0">
        <w:rPr>
          <w:rFonts w:ascii="Arial" w:hAnsi="Arial" w:cs="Arial"/>
          <w:sz w:val="20"/>
          <w:szCs w:val="20"/>
        </w:rPr>
        <w:t xml:space="preserve">còn cao hơn nhiều. Trong trường hợp này, tỷ lệ nợ </w:t>
      </w:r>
      <w:r w:rsidR="00CC645C" w:rsidRPr="003547A0">
        <w:rPr>
          <w:rFonts w:ascii="Arial" w:hAnsi="Arial" w:cs="Arial"/>
          <w:sz w:val="20"/>
          <w:szCs w:val="20"/>
        </w:rPr>
        <w:t xml:space="preserve">công </w:t>
      </w:r>
      <w:r w:rsidRPr="003547A0">
        <w:rPr>
          <w:rFonts w:ascii="Arial" w:hAnsi="Arial" w:cs="Arial"/>
          <w:sz w:val="20"/>
          <w:szCs w:val="20"/>
        </w:rPr>
        <w:t>so GDP tại các nước phát triển tăng gấp hai lần lên 204% GDP, tăng lên 112% GDP tại các nước mới nổi và thu nhập trung bình, tăng 80% tại các nước thu nhập thấp.</w:t>
      </w:r>
    </w:p>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 xml:space="preserve">Mặc dù điều kiện tài chính toàn cầu khá thuận lợi, nhưng nợ nần tăng cao đang làm tăng chi phí lãi vay, nhất là tại các nước </w:t>
      </w:r>
      <w:proofErr w:type="gramStart"/>
      <w:r w:rsidRPr="003547A0">
        <w:rPr>
          <w:rFonts w:ascii="Arial" w:hAnsi="Arial" w:cs="Arial"/>
          <w:sz w:val="20"/>
          <w:szCs w:val="20"/>
        </w:rPr>
        <w:t>thu</w:t>
      </w:r>
      <w:proofErr w:type="gramEnd"/>
      <w:r w:rsidRPr="003547A0">
        <w:rPr>
          <w:rFonts w:ascii="Arial" w:hAnsi="Arial" w:cs="Arial"/>
          <w:sz w:val="20"/>
          <w:szCs w:val="20"/>
        </w:rPr>
        <w:t xml:space="preserve"> nhập thấp. Trong năm 2017, chi phí lãi suất phải trả tại nhóm quốc gia này đã chiếm 18% trong tổng mức thuế thu được và chiếm 9% trong tổng chi ngân sách. Thậm chí, chi phí lãi suất chiếm tới 30% tổng mức thu thế trong năm 2017 tại một số nước như Ghana, Nigeria.</w:t>
      </w:r>
    </w:p>
    <w:p w:rsidR="00B30FE8" w:rsidRPr="003547A0" w:rsidRDefault="00CC645C"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Các chuyên gia cho rằng, n</w:t>
      </w:r>
      <w:r w:rsidR="00B30FE8" w:rsidRPr="003547A0">
        <w:rPr>
          <w:rFonts w:ascii="Arial" w:hAnsi="Arial" w:cs="Arial"/>
          <w:sz w:val="20"/>
          <w:szCs w:val="20"/>
        </w:rPr>
        <w:t>ợ công và thâm hụt tài khóa tăng cao đang trở thành vấn đề đáng lo ngại</w:t>
      </w:r>
      <w:r w:rsidR="00283FC5" w:rsidRPr="003547A0">
        <w:rPr>
          <w:rFonts w:ascii="Arial" w:hAnsi="Arial" w:cs="Arial"/>
          <w:sz w:val="20"/>
          <w:szCs w:val="20"/>
        </w:rPr>
        <w:t>. Trong đó</w:t>
      </w:r>
      <w:r w:rsidR="00B30FE8" w:rsidRPr="003547A0">
        <w:rPr>
          <w:rFonts w:ascii="Arial" w:hAnsi="Arial" w:cs="Arial"/>
          <w:sz w:val="20"/>
          <w:szCs w:val="20"/>
        </w:rPr>
        <w:t xml:space="preserve">, những nước có tỷ lệ nợ cao rất dễ bị tổn thương trước những cú sốc bất ngờ, nhất là khi các nước phát triển bình thường hóa chính sách tiền tệ và thắt chặt điều kiện tài chính, khả năng tiếp cận </w:t>
      </w:r>
      <w:r w:rsidR="00283FC5" w:rsidRPr="003547A0">
        <w:rPr>
          <w:rFonts w:ascii="Arial" w:hAnsi="Arial" w:cs="Arial"/>
          <w:sz w:val="20"/>
          <w:szCs w:val="20"/>
        </w:rPr>
        <w:t xml:space="preserve">các thị trường tài chính thế giới sẽ trở nên khó khăn. </w:t>
      </w:r>
      <w:r w:rsidR="00B30FE8" w:rsidRPr="003547A0">
        <w:rPr>
          <w:rFonts w:ascii="Arial" w:hAnsi="Arial" w:cs="Arial"/>
          <w:sz w:val="20"/>
          <w:szCs w:val="20"/>
        </w:rPr>
        <w:t xml:space="preserve">Nợ nần tăng cao cũng cản trở các nỗ lực </w:t>
      </w:r>
      <w:r w:rsidR="00283FC5" w:rsidRPr="003547A0">
        <w:rPr>
          <w:rFonts w:ascii="Arial" w:hAnsi="Arial" w:cs="Arial"/>
          <w:sz w:val="20"/>
          <w:szCs w:val="20"/>
        </w:rPr>
        <w:t>quốc gia</w:t>
      </w:r>
      <w:r w:rsidR="00B30FE8" w:rsidRPr="003547A0">
        <w:rPr>
          <w:rFonts w:ascii="Arial" w:hAnsi="Arial" w:cs="Arial"/>
          <w:sz w:val="20"/>
          <w:szCs w:val="20"/>
        </w:rPr>
        <w:t xml:space="preserve"> trong việc thực hiện các giải pháp tài khóa để hỗ trợ tăng trưởng kinh tế trong trường hợp khó khăn. </w:t>
      </w:r>
    </w:p>
    <w:p w:rsidR="00B30FE8"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Vào thời điểm hiện nay, khi GDP toàn cầu tăng cao và khá bền</w:t>
      </w:r>
      <w:r w:rsidR="00283FC5" w:rsidRPr="003547A0">
        <w:rPr>
          <w:rFonts w:ascii="Arial" w:hAnsi="Arial" w:cs="Arial"/>
          <w:sz w:val="20"/>
          <w:szCs w:val="20"/>
        </w:rPr>
        <w:t xml:space="preserve"> vững, các nước cần nỗ lực</w:t>
      </w:r>
      <w:r w:rsidRPr="003547A0">
        <w:rPr>
          <w:rFonts w:ascii="Arial" w:hAnsi="Arial" w:cs="Arial"/>
          <w:sz w:val="20"/>
          <w:szCs w:val="20"/>
        </w:rPr>
        <w:t xml:space="preserve"> củng cố nền tài khóa, cải thiện cán cân ngân sách quốc gia, và kiềm chế nợ công. Cụ thể là, các nước cần có giải pháp quyết liệt nhằm củng cố nền tài khóa, tận dụng cơ hội GDP tăng cao </w:t>
      </w:r>
      <w:proofErr w:type="gramStart"/>
      <w:r w:rsidRPr="003547A0">
        <w:rPr>
          <w:rFonts w:ascii="Arial" w:hAnsi="Arial" w:cs="Arial"/>
          <w:sz w:val="20"/>
          <w:szCs w:val="20"/>
        </w:rPr>
        <w:t>theo</w:t>
      </w:r>
      <w:proofErr w:type="gramEnd"/>
      <w:r w:rsidRPr="003547A0">
        <w:rPr>
          <w:rFonts w:ascii="Arial" w:hAnsi="Arial" w:cs="Arial"/>
          <w:sz w:val="20"/>
          <w:szCs w:val="20"/>
        </w:rPr>
        <w:t xml:space="preserve"> chu kỳ hiện nay, tăng cường năng lực tài khóa để </w:t>
      </w:r>
      <w:r w:rsidR="00283FC5" w:rsidRPr="003547A0">
        <w:rPr>
          <w:rFonts w:ascii="Arial" w:hAnsi="Arial" w:cs="Arial"/>
          <w:sz w:val="20"/>
          <w:szCs w:val="20"/>
        </w:rPr>
        <w:t>đề phòng tình huống khó khăn,</w:t>
      </w:r>
      <w:r w:rsidRPr="003547A0">
        <w:rPr>
          <w:rFonts w:ascii="Arial" w:hAnsi="Arial" w:cs="Arial"/>
          <w:sz w:val="20"/>
          <w:szCs w:val="20"/>
        </w:rPr>
        <w:t xml:space="preserve"> hạn chế rủi ro bắt nguồn từ xu hướng thắt chặt tài khóa toàn cầu. Về tổng thể, các nước nên duy trì cơ chế ổn định tài khóa tự động (</w:t>
      </w:r>
      <w:proofErr w:type="gramStart"/>
      <w:r w:rsidRPr="003547A0">
        <w:rPr>
          <w:rFonts w:ascii="Arial" w:hAnsi="Arial" w:cs="Arial"/>
          <w:sz w:val="20"/>
          <w:szCs w:val="20"/>
        </w:rPr>
        <w:t>thu</w:t>
      </w:r>
      <w:proofErr w:type="gramEnd"/>
      <w:r w:rsidRPr="003547A0">
        <w:rPr>
          <w:rFonts w:ascii="Arial" w:hAnsi="Arial" w:cs="Arial"/>
          <w:sz w:val="20"/>
          <w:szCs w:val="20"/>
        </w:rPr>
        <w:t xml:space="preserve"> thế và chi tiêu phải đồng bộ với thu nhập và việc làm), đồng thời cần </w:t>
      </w:r>
      <w:r w:rsidR="00283FC5" w:rsidRPr="003547A0">
        <w:rPr>
          <w:rFonts w:ascii="Arial" w:hAnsi="Arial" w:cs="Arial"/>
          <w:sz w:val="20"/>
          <w:szCs w:val="20"/>
        </w:rPr>
        <w:t>triệt để</w:t>
      </w:r>
      <w:r w:rsidRPr="003547A0">
        <w:rPr>
          <w:rFonts w:ascii="Arial" w:hAnsi="Arial" w:cs="Arial"/>
          <w:sz w:val="20"/>
          <w:szCs w:val="20"/>
        </w:rPr>
        <w:t xml:space="preserve"> cắt</w:t>
      </w:r>
      <w:r w:rsidR="00283FC5" w:rsidRPr="003547A0">
        <w:rPr>
          <w:rFonts w:ascii="Arial" w:hAnsi="Arial" w:cs="Arial"/>
          <w:sz w:val="20"/>
          <w:szCs w:val="20"/>
        </w:rPr>
        <w:t xml:space="preserve"> giảm thâm hụt tài khóa</w:t>
      </w:r>
      <w:r w:rsidRPr="003547A0">
        <w:rPr>
          <w:rFonts w:ascii="Arial" w:hAnsi="Arial" w:cs="Arial"/>
          <w:sz w:val="20"/>
          <w:szCs w:val="20"/>
        </w:rPr>
        <w:t xml:space="preserve"> dựa trên mục tiêu đề ra trong giai đoạn trung hạn.</w:t>
      </w:r>
    </w:p>
    <w:p w:rsidR="00283FC5" w:rsidRPr="003547A0" w:rsidRDefault="00B30FE8" w:rsidP="003547A0">
      <w:pPr>
        <w:pStyle w:val="NormalWeb"/>
        <w:shd w:val="clear" w:color="auto" w:fill="FFFFFF"/>
        <w:spacing w:before="0" w:beforeAutospacing="0" w:after="60" w:afterAutospacing="0"/>
        <w:jc w:val="both"/>
        <w:rPr>
          <w:rFonts w:ascii="Arial" w:hAnsi="Arial" w:cs="Arial"/>
          <w:sz w:val="20"/>
          <w:szCs w:val="20"/>
        </w:rPr>
      </w:pPr>
      <w:r w:rsidRPr="003547A0">
        <w:rPr>
          <w:rFonts w:ascii="Arial" w:hAnsi="Arial" w:cs="Arial"/>
          <w:sz w:val="20"/>
          <w:szCs w:val="20"/>
        </w:rPr>
        <w:t xml:space="preserve">Các nhà hoạch định chính sách cần đưa ra quy mô và tốc độ điều chỉnh phù hợp với tình hình thực tế tại mỗi nước, không để gây thêm gánh nặng cho nền kinh tế. Tại những nước có GDP tăng gần mức tăng trưởng tiềm năng, việc thực hiện các biện pháp điều chỉnh tài khóa nhìn </w:t>
      </w:r>
      <w:proofErr w:type="gramStart"/>
      <w:r w:rsidRPr="003547A0">
        <w:rPr>
          <w:rFonts w:ascii="Arial" w:hAnsi="Arial" w:cs="Arial"/>
          <w:sz w:val="20"/>
          <w:szCs w:val="20"/>
        </w:rPr>
        <w:t>chung</w:t>
      </w:r>
      <w:proofErr w:type="gramEnd"/>
      <w:r w:rsidRPr="003547A0">
        <w:rPr>
          <w:rFonts w:ascii="Arial" w:hAnsi="Arial" w:cs="Arial"/>
          <w:sz w:val="20"/>
          <w:szCs w:val="20"/>
        </w:rPr>
        <w:t xml:space="preserve"> gặp nhiều thuận lợi. Tại những nước có nền tài khóa hạ</w:t>
      </w:r>
      <w:r w:rsidR="00283FC5" w:rsidRPr="003547A0">
        <w:rPr>
          <w:rFonts w:ascii="Arial" w:hAnsi="Arial" w:cs="Arial"/>
          <w:sz w:val="20"/>
          <w:szCs w:val="20"/>
        </w:rPr>
        <w:t>n chế, cần thực hiện các giải pháp kiềm chế</w:t>
      </w:r>
      <w:r w:rsidRPr="003547A0">
        <w:rPr>
          <w:rFonts w:ascii="Arial" w:hAnsi="Arial" w:cs="Arial"/>
          <w:sz w:val="20"/>
          <w:szCs w:val="20"/>
        </w:rPr>
        <w:t xml:space="preserve"> rủi ro tài khóa, dựa trên chính sách hỗ trợ tăng trưởng kinh t</w:t>
      </w:r>
      <w:r w:rsidR="00283FC5" w:rsidRPr="003547A0">
        <w:rPr>
          <w:rFonts w:ascii="Arial" w:hAnsi="Arial" w:cs="Arial"/>
          <w:sz w:val="20"/>
          <w:szCs w:val="20"/>
        </w:rPr>
        <w:t xml:space="preserve">ế trong giai đoạn trung hạn, </w:t>
      </w:r>
      <w:r w:rsidRPr="003547A0">
        <w:rPr>
          <w:rFonts w:ascii="Arial" w:hAnsi="Arial" w:cs="Arial"/>
          <w:sz w:val="20"/>
          <w:szCs w:val="20"/>
        </w:rPr>
        <w:t>các nước xuất khẩu hàng hóa c</w:t>
      </w:r>
      <w:r w:rsidR="00283FC5" w:rsidRPr="003547A0">
        <w:rPr>
          <w:rFonts w:ascii="Arial" w:hAnsi="Arial" w:cs="Arial"/>
          <w:sz w:val="20"/>
          <w:szCs w:val="20"/>
        </w:rPr>
        <w:t>ần tiếp tục</w:t>
      </w:r>
      <w:r w:rsidRPr="003547A0">
        <w:rPr>
          <w:rFonts w:ascii="Arial" w:hAnsi="Arial" w:cs="Arial"/>
          <w:sz w:val="20"/>
          <w:szCs w:val="20"/>
        </w:rPr>
        <w:t xml:space="preserve"> điều chỉnh để chi tiêu phù hợp với triển vọng thu nhập trong giai đoạn trung hạn</w:t>
      </w:r>
      <w:r w:rsidR="00283FC5" w:rsidRPr="003547A0">
        <w:rPr>
          <w:rFonts w:ascii="Arial" w:hAnsi="Arial" w:cs="Arial"/>
          <w:sz w:val="20"/>
          <w:szCs w:val="20"/>
        </w:rPr>
        <w:t xml:space="preserve">, các nước thu nhập thấp cần hình thành </w:t>
      </w:r>
      <w:r w:rsidRPr="003547A0">
        <w:rPr>
          <w:rFonts w:ascii="Arial" w:hAnsi="Arial" w:cs="Arial"/>
          <w:sz w:val="20"/>
          <w:szCs w:val="20"/>
        </w:rPr>
        <w:t xml:space="preserve">dư địa ngân sách để thực hiện các chương trình xây dựng kết cấu hạ tầng thông qua các kế hoạch cổ vũ nguồn thu, hợp lý hóa các khoản chi tiêu, </w:t>
      </w:r>
      <w:r w:rsidR="00283FC5" w:rsidRPr="003547A0">
        <w:rPr>
          <w:rFonts w:ascii="Arial" w:hAnsi="Arial" w:cs="Arial"/>
          <w:sz w:val="20"/>
          <w:szCs w:val="20"/>
        </w:rPr>
        <w:t>và cải thiện hiệu quả chi tiêu.</w:t>
      </w:r>
    </w:p>
    <w:p w:rsidR="00746DB6" w:rsidRPr="003547A0" w:rsidRDefault="00746DB6" w:rsidP="003547A0">
      <w:pPr>
        <w:pStyle w:val="NormalWeb"/>
        <w:shd w:val="clear" w:color="auto" w:fill="FFFFFF"/>
        <w:spacing w:before="0" w:beforeAutospacing="0" w:after="60" w:afterAutospacing="0"/>
        <w:jc w:val="both"/>
        <w:rPr>
          <w:rFonts w:ascii="Arial" w:hAnsi="Arial" w:cs="Arial"/>
          <w:b/>
          <w:i/>
          <w:sz w:val="20"/>
          <w:szCs w:val="20"/>
        </w:rPr>
      </w:pPr>
      <w:r w:rsidRPr="003547A0">
        <w:rPr>
          <w:rFonts w:ascii="Arial" w:hAnsi="Arial" w:cs="Arial"/>
          <w:b/>
          <w:i/>
          <w:sz w:val="20"/>
          <w:szCs w:val="20"/>
        </w:rPr>
        <w:t>Hoàng Thế Thỏa</w:t>
      </w:r>
    </w:p>
    <w:p w:rsidR="006D6F9A" w:rsidRPr="003547A0" w:rsidRDefault="00B30FE8" w:rsidP="003547A0">
      <w:pPr>
        <w:pStyle w:val="NormalWeb"/>
        <w:shd w:val="clear" w:color="auto" w:fill="FFFFFF"/>
        <w:spacing w:before="0" w:beforeAutospacing="0" w:after="60" w:afterAutospacing="0"/>
        <w:jc w:val="both"/>
        <w:rPr>
          <w:rFonts w:ascii="Arial" w:hAnsi="Arial" w:cs="Arial"/>
          <w:i/>
          <w:sz w:val="20"/>
          <w:szCs w:val="20"/>
        </w:rPr>
      </w:pPr>
      <w:r w:rsidRPr="003547A0">
        <w:rPr>
          <w:rFonts w:ascii="Arial" w:hAnsi="Arial" w:cs="Arial"/>
          <w:i/>
          <w:sz w:val="20"/>
          <w:szCs w:val="20"/>
        </w:rPr>
        <w:t>Nguồn: IMF tháng 4/2018</w:t>
      </w:r>
    </w:p>
    <w:sectPr w:rsidR="006D6F9A" w:rsidRPr="003547A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95C" w:rsidRDefault="003E395C" w:rsidP="00392275">
      <w:pPr>
        <w:spacing w:after="0" w:line="240" w:lineRule="auto"/>
      </w:pPr>
      <w:r>
        <w:separator/>
      </w:r>
    </w:p>
  </w:endnote>
  <w:endnote w:type="continuationSeparator" w:id="0">
    <w:p w:rsidR="003E395C" w:rsidRDefault="003E395C" w:rsidP="0039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717808"/>
      <w:docPartObj>
        <w:docPartGallery w:val="Page Numbers (Bottom of Page)"/>
        <w:docPartUnique/>
      </w:docPartObj>
    </w:sdtPr>
    <w:sdtEndPr>
      <w:rPr>
        <w:noProof/>
      </w:rPr>
    </w:sdtEndPr>
    <w:sdtContent>
      <w:p w:rsidR="00CC645C" w:rsidRDefault="00CC645C">
        <w:pPr>
          <w:pStyle w:val="Footer"/>
          <w:jc w:val="right"/>
        </w:pPr>
        <w:r>
          <w:fldChar w:fldCharType="begin"/>
        </w:r>
        <w:r>
          <w:instrText xml:space="preserve"> PAGE   \* MERGEFORMAT </w:instrText>
        </w:r>
        <w:r>
          <w:fldChar w:fldCharType="separate"/>
        </w:r>
        <w:r w:rsidR="006D1A95">
          <w:rPr>
            <w:noProof/>
          </w:rPr>
          <w:t>2</w:t>
        </w:r>
        <w:r>
          <w:rPr>
            <w:noProof/>
          </w:rPr>
          <w:fldChar w:fldCharType="end"/>
        </w:r>
      </w:p>
    </w:sdtContent>
  </w:sdt>
  <w:p w:rsidR="00CC645C" w:rsidRDefault="00CC64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95C" w:rsidRDefault="003E395C" w:rsidP="00392275">
      <w:pPr>
        <w:spacing w:after="0" w:line="240" w:lineRule="auto"/>
      </w:pPr>
      <w:r>
        <w:separator/>
      </w:r>
    </w:p>
  </w:footnote>
  <w:footnote w:type="continuationSeparator" w:id="0">
    <w:p w:rsidR="003E395C" w:rsidRDefault="003E395C" w:rsidP="00392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E8"/>
    <w:rsid w:val="000C3478"/>
    <w:rsid w:val="000D77C4"/>
    <w:rsid w:val="001D794A"/>
    <w:rsid w:val="00283FC5"/>
    <w:rsid w:val="003547A0"/>
    <w:rsid w:val="00392275"/>
    <w:rsid w:val="003E395C"/>
    <w:rsid w:val="00591EA7"/>
    <w:rsid w:val="00653719"/>
    <w:rsid w:val="00680D5C"/>
    <w:rsid w:val="006D1A95"/>
    <w:rsid w:val="006D6F9A"/>
    <w:rsid w:val="00746DB6"/>
    <w:rsid w:val="00A4660A"/>
    <w:rsid w:val="00AE0386"/>
    <w:rsid w:val="00B30FE8"/>
    <w:rsid w:val="00B468A4"/>
    <w:rsid w:val="00CC645C"/>
    <w:rsid w:val="00DF499F"/>
    <w:rsid w:val="00E4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827316-41B2-4F69-8A8F-B6E9AF78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FE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75"/>
  </w:style>
  <w:style w:type="paragraph" w:styleId="Footer">
    <w:name w:val="footer"/>
    <w:basedOn w:val="Normal"/>
    <w:link w:val="FooterChar"/>
    <w:uiPriority w:val="99"/>
    <w:unhideWhenUsed/>
    <w:rsid w:val="00392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6</cp:revision>
  <dcterms:created xsi:type="dcterms:W3CDTF">2018-05-07T01:02:00Z</dcterms:created>
  <dcterms:modified xsi:type="dcterms:W3CDTF">2018-05-07T10:40:00Z</dcterms:modified>
</cp:coreProperties>
</file>