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C4E" w:rsidRPr="00EF3B8D" w:rsidRDefault="00F15C4E" w:rsidP="00EF3B8D">
      <w:pPr>
        <w:spacing w:after="60" w:line="240" w:lineRule="auto"/>
        <w:jc w:val="both"/>
        <w:rPr>
          <w:rFonts w:ascii="Arial" w:eastAsia="Times New Roman" w:hAnsi="Arial" w:cs="Arial"/>
          <w:sz w:val="20"/>
          <w:szCs w:val="20"/>
        </w:rPr>
      </w:pPr>
      <w:bookmarkStart w:id="0" w:name="_GoBack"/>
      <w:bookmarkEnd w:id="0"/>
      <w:r w:rsidRPr="00EF3B8D">
        <w:rPr>
          <w:rFonts w:ascii="Arial" w:hAnsi="Arial" w:cs="Arial"/>
          <w:sz w:val="20"/>
          <w:szCs w:val="20"/>
        </w:rPr>
        <w:t>Báo cáo nêu rõ, sau khi tăng 5,7% trong năm 2017, GDP tại khu vực Châu Á - Thái Bình Dương được dự báo tiếp tục tăng 5,6% trong hai năm 2018-2019, và</w:t>
      </w:r>
      <w:r w:rsidRPr="00EF3B8D">
        <w:rPr>
          <w:rFonts w:ascii="Arial" w:eastAsia="Times New Roman" w:hAnsi="Arial" w:cs="Arial"/>
          <w:sz w:val="20"/>
          <w:szCs w:val="20"/>
        </w:rPr>
        <w:t xml:space="preserve"> tăng 0,1% so với dự báo </w:t>
      </w:r>
      <w:r w:rsidR="00781BEC" w:rsidRPr="00EF3B8D">
        <w:rPr>
          <w:rFonts w:ascii="Arial" w:eastAsia="Times New Roman" w:hAnsi="Arial" w:cs="Arial"/>
          <w:sz w:val="20"/>
          <w:szCs w:val="20"/>
        </w:rPr>
        <w:t xml:space="preserve">đưa ra vào </w:t>
      </w:r>
      <w:r w:rsidRPr="00EF3B8D">
        <w:rPr>
          <w:rFonts w:ascii="Arial" w:eastAsia="Times New Roman" w:hAnsi="Arial" w:cs="Arial"/>
          <w:sz w:val="20"/>
          <w:szCs w:val="20"/>
        </w:rPr>
        <w:t xml:space="preserve">tháng 10/2017. Đáng chú ý, GDP tại các nước mới nổi (EMDEs) châu Á được dự báo tăng trung bình 6½% trong hai năm 2018-2019. Kinh tế cũng tiếp tục tăng vững, nếu tính GDP </w:t>
      </w:r>
      <w:proofErr w:type="gramStart"/>
      <w:r w:rsidRPr="00EF3B8D">
        <w:rPr>
          <w:rFonts w:ascii="Arial" w:eastAsia="Times New Roman" w:hAnsi="Arial" w:cs="Arial"/>
          <w:sz w:val="20"/>
          <w:szCs w:val="20"/>
        </w:rPr>
        <w:t>theo</w:t>
      </w:r>
      <w:proofErr w:type="gramEnd"/>
      <w:r w:rsidRPr="00EF3B8D">
        <w:rPr>
          <w:rFonts w:ascii="Arial" w:eastAsia="Times New Roman" w:hAnsi="Arial" w:cs="Arial"/>
          <w:sz w:val="20"/>
          <w:szCs w:val="20"/>
        </w:rPr>
        <w:t xml:space="preserve"> đầu người. Do tăng trưởng kinh tế cao đã khuyến khích tiêu dùng và nhập khẩu hàng hóa, trong khi giá dầu tăng dần, cán cân vãng lai được dự báo sẽ giảm thêm xuống khoảng 1¾% GDP năm 2018-2019 tại các nước mới nổi trong khu vực. Lạm phát được kỳ vọng tiếp tục trầm lắng, dao động quanh ngưỡng 1,0% tại các nước phát triển, và 3¼% tại các nước mới nổi.</w:t>
      </w:r>
    </w:p>
    <w:p w:rsidR="00F15C4E" w:rsidRPr="00EF3B8D" w:rsidRDefault="00F15C4E" w:rsidP="00EF3B8D">
      <w:pPr>
        <w:shd w:val="clear" w:color="auto" w:fill="FFFFFF"/>
        <w:spacing w:after="60" w:line="240" w:lineRule="auto"/>
        <w:jc w:val="center"/>
        <w:rPr>
          <w:rFonts w:ascii="Arial" w:eastAsia="Times New Roman" w:hAnsi="Arial" w:cs="Arial"/>
          <w:b/>
          <w:i/>
          <w:sz w:val="20"/>
          <w:szCs w:val="20"/>
        </w:rPr>
      </w:pPr>
      <w:r w:rsidRPr="00EF3B8D">
        <w:rPr>
          <w:rFonts w:ascii="Arial" w:eastAsia="Times New Roman" w:hAnsi="Arial" w:cs="Arial"/>
          <w:b/>
          <w:i/>
          <w:sz w:val="20"/>
          <w:szCs w:val="20"/>
        </w:rPr>
        <w:t>Tăng trưởng GDP thực tế (% so với năm trước)</w:t>
      </w:r>
    </w:p>
    <w:tbl>
      <w:tblPr>
        <w:tblStyle w:val="TableGrid"/>
        <w:tblW w:w="9360" w:type="dxa"/>
        <w:tblInd w:w="108" w:type="dxa"/>
        <w:tblLayout w:type="fixed"/>
        <w:tblLook w:val="04A0" w:firstRow="1" w:lastRow="0" w:firstColumn="1" w:lastColumn="0" w:noHBand="0" w:noVBand="1"/>
      </w:tblPr>
      <w:tblGrid>
        <w:gridCol w:w="3240"/>
        <w:gridCol w:w="900"/>
        <w:gridCol w:w="900"/>
        <w:gridCol w:w="900"/>
        <w:gridCol w:w="810"/>
        <w:gridCol w:w="900"/>
        <w:gridCol w:w="900"/>
        <w:gridCol w:w="810"/>
      </w:tblGrid>
      <w:tr w:rsidR="00F15C4E" w:rsidRPr="00EF3B8D" w:rsidTr="00D64CF9">
        <w:tc>
          <w:tcPr>
            <w:tcW w:w="3240" w:type="dxa"/>
            <w:tcBorders>
              <w:top w:val="single" w:sz="4" w:space="0" w:color="auto"/>
              <w:bottom w:val="single" w:sz="4" w:space="0" w:color="auto"/>
            </w:tcBorders>
          </w:tcPr>
          <w:p w:rsidR="00F15C4E" w:rsidRPr="00EF3B8D" w:rsidRDefault="00F15C4E" w:rsidP="00EF3B8D">
            <w:pPr>
              <w:spacing w:after="60"/>
              <w:jc w:val="center"/>
              <w:outlineLvl w:val="1"/>
              <w:rPr>
                <w:rFonts w:ascii="Arial" w:hAnsi="Arial" w:cs="Arial"/>
                <w:b/>
                <w:sz w:val="20"/>
                <w:szCs w:val="20"/>
                <w:shd w:val="clear" w:color="auto" w:fill="FFFFFF"/>
              </w:rPr>
            </w:pPr>
          </w:p>
        </w:tc>
        <w:tc>
          <w:tcPr>
            <w:tcW w:w="3510" w:type="dxa"/>
            <w:gridSpan w:val="4"/>
            <w:tcBorders>
              <w:top w:val="single" w:sz="4" w:space="0" w:color="auto"/>
              <w:bottom w:val="single" w:sz="4" w:space="0" w:color="auto"/>
            </w:tcBorders>
          </w:tcPr>
          <w:p w:rsidR="00F15C4E" w:rsidRPr="00EF3B8D" w:rsidRDefault="00F15C4E" w:rsidP="00EF3B8D">
            <w:pPr>
              <w:spacing w:after="60"/>
              <w:jc w:val="center"/>
              <w:outlineLvl w:val="1"/>
              <w:rPr>
                <w:rFonts w:ascii="Arial" w:hAnsi="Arial" w:cs="Arial"/>
                <w:b/>
                <w:sz w:val="20"/>
                <w:szCs w:val="20"/>
                <w:shd w:val="clear" w:color="auto" w:fill="FFFFFF"/>
              </w:rPr>
            </w:pPr>
            <w:r w:rsidRPr="00EF3B8D">
              <w:rPr>
                <w:rFonts w:ascii="Arial" w:eastAsia="Times New Roman" w:hAnsi="Arial" w:cs="Arial"/>
                <w:b/>
                <w:sz w:val="20"/>
                <w:szCs w:val="20"/>
              </w:rPr>
              <w:t>Kết quả và dự báo</w:t>
            </w:r>
          </w:p>
        </w:tc>
        <w:tc>
          <w:tcPr>
            <w:tcW w:w="2610" w:type="dxa"/>
            <w:gridSpan w:val="3"/>
          </w:tcPr>
          <w:p w:rsidR="00F15C4E" w:rsidRPr="00EF3B8D" w:rsidRDefault="00F15C4E" w:rsidP="00EF3B8D">
            <w:pPr>
              <w:spacing w:after="60"/>
              <w:jc w:val="center"/>
              <w:outlineLvl w:val="1"/>
              <w:rPr>
                <w:rFonts w:ascii="Arial" w:hAnsi="Arial" w:cs="Arial"/>
                <w:b/>
                <w:sz w:val="20"/>
                <w:szCs w:val="20"/>
                <w:shd w:val="clear" w:color="auto" w:fill="FFFFFF"/>
              </w:rPr>
            </w:pPr>
            <w:r w:rsidRPr="00EF3B8D">
              <w:rPr>
                <w:rFonts w:ascii="Arial" w:eastAsia="Times New Roman" w:hAnsi="Arial" w:cs="Arial"/>
                <w:b/>
                <w:sz w:val="20"/>
                <w:szCs w:val="20"/>
              </w:rPr>
              <w:t>Thay đổi*</w:t>
            </w:r>
          </w:p>
        </w:tc>
      </w:tr>
      <w:tr w:rsidR="00F15C4E" w:rsidRPr="00EF3B8D" w:rsidTr="00D64CF9">
        <w:tc>
          <w:tcPr>
            <w:tcW w:w="3240" w:type="dxa"/>
            <w:tcBorders>
              <w:top w:val="single" w:sz="4" w:space="0" w:color="auto"/>
              <w:bottom w:val="single" w:sz="4" w:space="0" w:color="auto"/>
            </w:tcBorders>
          </w:tcPr>
          <w:p w:rsidR="00F15C4E" w:rsidRPr="00EF3B8D" w:rsidRDefault="00F15C4E" w:rsidP="00EF3B8D">
            <w:pPr>
              <w:spacing w:after="60"/>
              <w:jc w:val="center"/>
              <w:outlineLvl w:val="1"/>
              <w:rPr>
                <w:rFonts w:ascii="Arial" w:hAnsi="Arial" w:cs="Arial"/>
                <w:sz w:val="20"/>
                <w:szCs w:val="20"/>
                <w:shd w:val="clear" w:color="auto" w:fill="FFFFFF"/>
              </w:rPr>
            </w:pPr>
          </w:p>
        </w:tc>
        <w:tc>
          <w:tcPr>
            <w:tcW w:w="900" w:type="dxa"/>
            <w:tcBorders>
              <w:top w:val="single" w:sz="4" w:space="0" w:color="auto"/>
              <w:bottom w:val="single" w:sz="4" w:space="0" w:color="auto"/>
            </w:tcBorders>
          </w:tcPr>
          <w:p w:rsidR="00F15C4E" w:rsidRPr="00EF3B8D" w:rsidRDefault="00F15C4E" w:rsidP="00EF3B8D">
            <w:pPr>
              <w:spacing w:after="60"/>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2016</w:t>
            </w:r>
          </w:p>
        </w:tc>
        <w:tc>
          <w:tcPr>
            <w:tcW w:w="900" w:type="dxa"/>
            <w:tcBorders>
              <w:top w:val="single" w:sz="4" w:space="0" w:color="auto"/>
              <w:bottom w:val="single" w:sz="4" w:space="0" w:color="auto"/>
            </w:tcBorders>
          </w:tcPr>
          <w:p w:rsidR="00F15C4E" w:rsidRPr="00EF3B8D" w:rsidRDefault="00F15C4E" w:rsidP="00EF3B8D">
            <w:pPr>
              <w:spacing w:after="60"/>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2017</w:t>
            </w:r>
          </w:p>
        </w:tc>
        <w:tc>
          <w:tcPr>
            <w:tcW w:w="900" w:type="dxa"/>
            <w:tcBorders>
              <w:top w:val="single" w:sz="4" w:space="0" w:color="auto"/>
              <w:bottom w:val="single" w:sz="4" w:space="0" w:color="auto"/>
            </w:tcBorders>
          </w:tcPr>
          <w:p w:rsidR="00F15C4E" w:rsidRPr="00EF3B8D" w:rsidRDefault="00F15C4E" w:rsidP="00EF3B8D">
            <w:pPr>
              <w:spacing w:after="60"/>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2018</w:t>
            </w:r>
          </w:p>
        </w:tc>
        <w:tc>
          <w:tcPr>
            <w:tcW w:w="810" w:type="dxa"/>
          </w:tcPr>
          <w:p w:rsidR="00F15C4E" w:rsidRPr="00EF3B8D" w:rsidRDefault="00F15C4E" w:rsidP="00EF3B8D">
            <w:pPr>
              <w:spacing w:after="60"/>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2019</w:t>
            </w:r>
          </w:p>
        </w:tc>
        <w:tc>
          <w:tcPr>
            <w:tcW w:w="900" w:type="dxa"/>
          </w:tcPr>
          <w:p w:rsidR="00F15C4E" w:rsidRPr="00EF3B8D" w:rsidRDefault="00F15C4E" w:rsidP="00EF3B8D">
            <w:pPr>
              <w:spacing w:after="60"/>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2017</w:t>
            </w:r>
          </w:p>
        </w:tc>
        <w:tc>
          <w:tcPr>
            <w:tcW w:w="900" w:type="dxa"/>
          </w:tcPr>
          <w:p w:rsidR="00F15C4E" w:rsidRPr="00EF3B8D" w:rsidRDefault="00F15C4E" w:rsidP="00EF3B8D">
            <w:pPr>
              <w:spacing w:after="60"/>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2018</w:t>
            </w:r>
          </w:p>
        </w:tc>
        <w:tc>
          <w:tcPr>
            <w:tcW w:w="810" w:type="dxa"/>
          </w:tcPr>
          <w:p w:rsidR="00F15C4E" w:rsidRPr="00EF3B8D" w:rsidRDefault="00F15C4E" w:rsidP="00EF3B8D">
            <w:pPr>
              <w:spacing w:after="60"/>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2019</w:t>
            </w:r>
          </w:p>
        </w:tc>
      </w:tr>
      <w:tr w:rsidR="00F15C4E" w:rsidRPr="00EF3B8D" w:rsidTr="00D64CF9">
        <w:tc>
          <w:tcPr>
            <w:tcW w:w="3240" w:type="dxa"/>
            <w:tcBorders>
              <w:top w:val="single" w:sz="4" w:space="0" w:color="auto"/>
            </w:tcBorders>
          </w:tcPr>
          <w:p w:rsidR="00F15C4E" w:rsidRPr="00EF3B8D" w:rsidRDefault="00F15C4E" w:rsidP="00EF3B8D">
            <w:pP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Châu Á</w:t>
            </w:r>
          </w:p>
        </w:tc>
        <w:tc>
          <w:tcPr>
            <w:tcW w:w="900" w:type="dxa"/>
            <w:tcBorders>
              <w:top w:val="single" w:sz="4" w:space="0" w:color="auto"/>
            </w:tcBorders>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5,4</w:t>
            </w:r>
          </w:p>
        </w:tc>
        <w:tc>
          <w:tcPr>
            <w:tcW w:w="900" w:type="dxa"/>
            <w:tcBorders>
              <w:top w:val="single" w:sz="4" w:space="0" w:color="auto"/>
            </w:tcBorders>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5,7</w:t>
            </w:r>
          </w:p>
        </w:tc>
        <w:tc>
          <w:tcPr>
            <w:tcW w:w="900" w:type="dxa"/>
            <w:tcBorders>
              <w:top w:val="single" w:sz="4" w:space="0" w:color="auto"/>
            </w:tcBorders>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5,6</w:t>
            </w:r>
          </w:p>
        </w:tc>
        <w:tc>
          <w:tcPr>
            <w:tcW w:w="81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5,6</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0,1</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0,1</w:t>
            </w:r>
          </w:p>
        </w:tc>
        <w:tc>
          <w:tcPr>
            <w:tcW w:w="81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0,1</w:t>
            </w:r>
          </w:p>
        </w:tc>
      </w:tr>
      <w:tr w:rsidR="00F15C4E" w:rsidRPr="00EF3B8D" w:rsidTr="00D64CF9">
        <w:tc>
          <w:tcPr>
            <w:tcW w:w="3240" w:type="dxa"/>
          </w:tcPr>
          <w:p w:rsidR="00F15C4E" w:rsidRPr="00EF3B8D" w:rsidRDefault="00F15C4E" w:rsidP="00EF3B8D">
            <w:pP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Các nền kinh tế phát triển</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1,7</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2,3</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2.,0</w:t>
            </w:r>
          </w:p>
        </w:tc>
        <w:tc>
          <w:tcPr>
            <w:tcW w:w="81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1,9</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0,3</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0,3</w:t>
            </w:r>
          </w:p>
        </w:tc>
        <w:tc>
          <w:tcPr>
            <w:tcW w:w="81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0,1</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 xml:space="preserve">Australia </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2,6</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2,3</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New Zealand</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4,2</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2,9</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2,9</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-0,4</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0,3</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Nhật Bản</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0,9</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1,7</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1,2</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0,9</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0,2</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0,6</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Hồng Kông</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3,8</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3,6</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3,2</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0,3</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1,0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0,3</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Hàn Quốc</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2,8</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2,9</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Đài Loan</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1,4</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2,8</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1,9</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0,8</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Singapore</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2,4</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3,6</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2,9</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2,7</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1,1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0,3</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r>
      <w:tr w:rsidR="00F15C4E" w:rsidRPr="00EF3B8D" w:rsidTr="00D64CF9">
        <w:tc>
          <w:tcPr>
            <w:tcW w:w="3240" w:type="dxa"/>
          </w:tcPr>
          <w:p w:rsidR="00F15C4E" w:rsidRPr="00EF3B8D" w:rsidRDefault="00F15C4E" w:rsidP="00EF3B8D">
            <w:pPr>
              <w:outlineLvl w:val="1"/>
              <w:rPr>
                <w:rFonts w:ascii="Arial" w:hAnsi="Arial" w:cs="Arial"/>
                <w:b/>
                <w:sz w:val="20"/>
                <w:szCs w:val="20"/>
                <w:shd w:val="clear" w:color="auto" w:fill="FFFFFF"/>
              </w:rPr>
            </w:pPr>
            <w:r w:rsidRPr="00EF3B8D">
              <w:rPr>
                <w:rFonts w:ascii="Arial" w:hAnsi="Arial" w:cs="Arial"/>
                <w:b/>
                <w:sz w:val="20"/>
                <w:szCs w:val="20"/>
                <w:shd w:val="clear" w:color="auto" w:fill="FFFFFF"/>
              </w:rPr>
              <w:t>Các EMDE</w:t>
            </w:r>
          </w:p>
        </w:tc>
        <w:tc>
          <w:tcPr>
            <w:tcW w:w="900" w:type="dxa"/>
          </w:tcPr>
          <w:p w:rsidR="00F15C4E" w:rsidRPr="00EF3B8D" w:rsidRDefault="00F15C4E" w:rsidP="00EF3B8D">
            <w:pPr>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6,5</w:t>
            </w:r>
          </w:p>
        </w:tc>
        <w:tc>
          <w:tcPr>
            <w:tcW w:w="900" w:type="dxa"/>
          </w:tcPr>
          <w:p w:rsidR="00F15C4E" w:rsidRPr="00EF3B8D" w:rsidRDefault="00F15C4E" w:rsidP="00EF3B8D">
            <w:pPr>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6,5</w:t>
            </w:r>
          </w:p>
        </w:tc>
        <w:tc>
          <w:tcPr>
            <w:tcW w:w="900" w:type="dxa"/>
          </w:tcPr>
          <w:p w:rsidR="00F15C4E" w:rsidRPr="00EF3B8D" w:rsidRDefault="00F15C4E" w:rsidP="00EF3B8D">
            <w:pPr>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6,5</w:t>
            </w:r>
          </w:p>
        </w:tc>
        <w:tc>
          <w:tcPr>
            <w:tcW w:w="810" w:type="dxa"/>
          </w:tcPr>
          <w:p w:rsidR="00F15C4E" w:rsidRPr="00EF3B8D" w:rsidRDefault="00F15C4E" w:rsidP="00EF3B8D">
            <w:pPr>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6,6</w:t>
            </w:r>
          </w:p>
        </w:tc>
        <w:tc>
          <w:tcPr>
            <w:tcW w:w="900" w:type="dxa"/>
          </w:tcPr>
          <w:p w:rsidR="00F15C4E" w:rsidRPr="00EF3B8D" w:rsidRDefault="00F15C4E" w:rsidP="00EF3B8D">
            <w:pPr>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0,1</w:t>
            </w:r>
          </w:p>
        </w:tc>
        <w:tc>
          <w:tcPr>
            <w:tcW w:w="900" w:type="dxa"/>
          </w:tcPr>
          <w:p w:rsidR="00F15C4E" w:rsidRPr="00EF3B8D" w:rsidRDefault="00F15C4E" w:rsidP="00EF3B8D">
            <w:pPr>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0,0</w:t>
            </w:r>
          </w:p>
        </w:tc>
        <w:tc>
          <w:tcPr>
            <w:tcW w:w="810" w:type="dxa"/>
          </w:tcPr>
          <w:p w:rsidR="00F15C4E" w:rsidRPr="00EF3B8D" w:rsidRDefault="00F15C4E" w:rsidP="00EF3B8D">
            <w:pPr>
              <w:jc w:val="center"/>
              <w:outlineLvl w:val="1"/>
              <w:rPr>
                <w:rFonts w:ascii="Arial" w:hAnsi="Arial" w:cs="Arial"/>
                <w:b/>
                <w:sz w:val="20"/>
                <w:szCs w:val="20"/>
                <w:shd w:val="clear" w:color="auto" w:fill="FFFFFF"/>
              </w:rPr>
            </w:pPr>
            <w:r w:rsidRPr="00EF3B8D">
              <w:rPr>
                <w:rFonts w:ascii="Arial" w:hAnsi="Arial" w:cs="Arial"/>
                <w:b/>
                <w:sz w:val="20"/>
                <w:szCs w:val="20"/>
                <w:shd w:val="clear" w:color="auto" w:fill="FFFFFF"/>
              </w:rPr>
              <w:t>0,1</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Bangladesh</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7,2</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Brunei Daussalam</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-2,5</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0,5</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1,0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8,0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1,8</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0,4</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-0,7</w:t>
            </w:r>
          </w:p>
        </w:tc>
      </w:tr>
      <w:tr w:rsidR="00F15C4E" w:rsidRPr="00EF3B8D" w:rsidTr="00D64CF9">
        <w:tc>
          <w:tcPr>
            <w:tcW w:w="3240" w:type="dxa"/>
          </w:tcPr>
          <w:p w:rsidR="00F15C4E" w:rsidRPr="00EF3B8D" w:rsidRDefault="00F15C4E" w:rsidP="00EF3B8D">
            <w:pPr>
              <w:spacing w:after="60"/>
              <w:jc w:val="both"/>
              <w:outlineLvl w:val="1"/>
              <w:rPr>
                <w:rFonts w:ascii="Arial" w:hAnsi="Arial" w:cs="Arial"/>
                <w:sz w:val="20"/>
                <w:szCs w:val="20"/>
                <w:shd w:val="clear" w:color="auto" w:fill="FFFFFF"/>
              </w:rPr>
            </w:pPr>
            <w:r w:rsidRPr="00EF3B8D">
              <w:rPr>
                <w:rFonts w:ascii="Arial" w:hAnsi="Arial" w:cs="Arial"/>
                <w:sz w:val="20"/>
                <w:szCs w:val="20"/>
                <w:shd w:val="clear" w:color="auto" w:fill="FFFFFF"/>
              </w:rPr>
              <w:t>Camphuchia</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6,9</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6,9</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6,8</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r>
      <w:tr w:rsidR="00F15C4E" w:rsidRPr="00EF3B8D" w:rsidTr="00D64CF9">
        <w:tc>
          <w:tcPr>
            <w:tcW w:w="3240" w:type="dxa"/>
          </w:tcPr>
          <w:p w:rsidR="00F15C4E" w:rsidRPr="00EF3B8D" w:rsidRDefault="00F15C4E" w:rsidP="00EF3B8D">
            <w:pPr>
              <w:outlineLvl w:val="1"/>
              <w:rPr>
                <w:rFonts w:ascii="Arial" w:hAnsi="Arial" w:cs="Arial"/>
                <w:spacing w:val="-2"/>
                <w:sz w:val="20"/>
                <w:szCs w:val="20"/>
                <w:shd w:val="clear" w:color="auto" w:fill="FFFFFF"/>
              </w:rPr>
            </w:pPr>
            <w:r w:rsidRPr="00EF3B8D">
              <w:rPr>
                <w:rFonts w:ascii="Arial" w:hAnsi="Arial" w:cs="Arial"/>
                <w:spacing w:val="-2"/>
                <w:sz w:val="20"/>
                <w:szCs w:val="20"/>
                <w:shd w:val="clear" w:color="auto" w:fill="FFFFFF"/>
              </w:rPr>
              <w:t>Trung Quốc</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6,7</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6,6</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6,4</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Ấn Độ</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6,7</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7,4</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7,8</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Indonesia</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5,0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5,1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5,3</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5,5</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Lào</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6,8</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6,8</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Malaysia</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4,2</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5,9</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5,3</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5,0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0,5</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0,5</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0,2</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Myanmar</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5,9</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6,7</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6,9</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-0,5</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-0,7</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-0,4</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Mông Cổ</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1,2</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5,1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5,0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6,3</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2,5</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-0,4</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Nepal</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0,4</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7,5</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5,0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4,0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0,2</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Philippines</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6,9</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6,7</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6,7</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6,8</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0,0</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Sri Lanka</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4,5</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3,1</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4,0</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4,5</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-1,6</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-0,8</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-0,4</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Thái Land</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3,3</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3,9</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3,9</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3,8</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0,2</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0,4</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0,4</w:t>
            </w:r>
          </w:p>
        </w:tc>
      </w:tr>
      <w:tr w:rsidR="00F15C4E" w:rsidRPr="00EF3B8D" w:rsidTr="00D64CF9">
        <w:tc>
          <w:tcPr>
            <w:tcW w:w="3240" w:type="dxa"/>
          </w:tcPr>
          <w:p w:rsidR="00F15C4E" w:rsidRPr="00EF3B8D" w:rsidRDefault="00F15C4E" w:rsidP="00EF3B8D">
            <w:pPr>
              <w:outlineLvl w:val="1"/>
              <w:rPr>
                <w:rFonts w:ascii="Arial" w:hAnsi="Arial" w:cs="Arial"/>
                <w:sz w:val="20"/>
                <w:szCs w:val="20"/>
                <w:shd w:val="clear" w:color="auto" w:fill="FFFFFF"/>
              </w:rPr>
            </w:pPr>
            <w:r w:rsidRPr="00EF3B8D">
              <w:rPr>
                <w:rFonts w:ascii="Arial" w:hAnsi="Arial" w:cs="Arial"/>
                <w:sz w:val="20"/>
                <w:szCs w:val="20"/>
                <w:shd w:val="clear" w:color="auto" w:fill="FFFFFF"/>
              </w:rPr>
              <w:t>Việt Nam</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6,2</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6,8</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6,6</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6,5</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0,5</w:t>
            </w:r>
          </w:p>
        </w:tc>
        <w:tc>
          <w:tcPr>
            <w:tcW w:w="90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0,3</w:t>
            </w:r>
          </w:p>
        </w:tc>
        <w:tc>
          <w:tcPr>
            <w:tcW w:w="810" w:type="dxa"/>
          </w:tcPr>
          <w:p w:rsidR="00F15C4E" w:rsidRPr="00EF3B8D" w:rsidRDefault="00F15C4E" w:rsidP="00EF3B8D">
            <w:pPr>
              <w:jc w:val="center"/>
              <w:outlineLvl w:val="1"/>
              <w:rPr>
                <w:rFonts w:ascii="Arial" w:hAnsi="Arial" w:cs="Arial"/>
                <w:sz w:val="20"/>
                <w:szCs w:val="20"/>
                <w:shd w:val="clear" w:color="auto" w:fill="FFFFFF"/>
              </w:rPr>
            </w:pPr>
            <w:r w:rsidRPr="00EF3B8D">
              <w:rPr>
                <w:rFonts w:ascii="Arial" w:hAnsi="Arial" w:cs="Arial"/>
                <w:sz w:val="20"/>
                <w:szCs w:val="20"/>
                <w:shd w:val="clear" w:color="auto" w:fill="FFFFFF"/>
              </w:rPr>
              <w:t>0,3</w:t>
            </w:r>
          </w:p>
        </w:tc>
      </w:tr>
      <w:tr w:rsidR="00F15C4E" w:rsidRPr="00EF3B8D" w:rsidTr="00D64CF9">
        <w:tc>
          <w:tcPr>
            <w:tcW w:w="3240" w:type="dxa"/>
          </w:tcPr>
          <w:p w:rsidR="00F15C4E" w:rsidRPr="00EF3B8D" w:rsidRDefault="00F15C4E" w:rsidP="00EF3B8D">
            <w:pP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Các quốc đảo và nước nhỏ</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3,2</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3,0</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3,7</w:t>
            </w:r>
          </w:p>
        </w:tc>
        <w:tc>
          <w:tcPr>
            <w:tcW w:w="81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3,9</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-0,7</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-0,7</w:t>
            </w:r>
          </w:p>
        </w:tc>
        <w:tc>
          <w:tcPr>
            <w:tcW w:w="81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-0,8</w:t>
            </w:r>
          </w:p>
        </w:tc>
      </w:tr>
      <w:tr w:rsidR="00F15C4E" w:rsidRPr="00EF3B8D" w:rsidTr="00D64CF9">
        <w:tc>
          <w:tcPr>
            <w:tcW w:w="3240" w:type="dxa"/>
          </w:tcPr>
          <w:p w:rsidR="00F15C4E" w:rsidRPr="00EF3B8D" w:rsidRDefault="00F15C4E" w:rsidP="00EF3B8D">
            <w:pP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Các nước ASEAN</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4,8</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5,3</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5,3</w:t>
            </w:r>
          </w:p>
        </w:tc>
        <w:tc>
          <w:tcPr>
            <w:tcW w:w="81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5,3</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0,2</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0,1</w:t>
            </w:r>
          </w:p>
        </w:tc>
        <w:tc>
          <w:tcPr>
            <w:tcW w:w="81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0,1</w:t>
            </w:r>
          </w:p>
        </w:tc>
      </w:tr>
      <w:tr w:rsidR="00F15C4E" w:rsidRPr="00EF3B8D" w:rsidTr="00D64CF9">
        <w:tc>
          <w:tcPr>
            <w:tcW w:w="3240" w:type="dxa"/>
          </w:tcPr>
          <w:p w:rsidR="00F15C4E" w:rsidRPr="00EF3B8D" w:rsidRDefault="00F15C4E" w:rsidP="00EF3B8D">
            <w:pP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ASEAN 5 (**)</w:t>
            </w:r>
          </w:p>
        </w:tc>
        <w:tc>
          <w:tcPr>
            <w:tcW w:w="900" w:type="dxa"/>
          </w:tcPr>
          <w:p w:rsidR="00F15C4E" w:rsidRPr="00EF3B8D" w:rsidRDefault="00F15C4E" w:rsidP="00EF3B8D">
            <w:pPr>
              <w:spacing w:after="60"/>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4,6</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5,1</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5,0</w:t>
            </w:r>
          </w:p>
        </w:tc>
        <w:tc>
          <w:tcPr>
            <w:tcW w:w="81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5,1</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0,1</w:t>
            </w:r>
          </w:p>
        </w:tc>
        <w:tc>
          <w:tcPr>
            <w:tcW w:w="90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0,2</w:t>
            </w:r>
          </w:p>
        </w:tc>
        <w:tc>
          <w:tcPr>
            <w:tcW w:w="810" w:type="dxa"/>
          </w:tcPr>
          <w:p w:rsidR="00F15C4E" w:rsidRPr="00EF3B8D" w:rsidRDefault="00F15C4E" w:rsidP="00EF3B8D">
            <w:pPr>
              <w:jc w:val="center"/>
              <w:outlineLvl w:val="1"/>
              <w:rPr>
                <w:rFonts w:ascii="Arial" w:hAnsi="Arial" w:cs="Arial"/>
                <w:b/>
                <w:i/>
                <w:sz w:val="20"/>
                <w:szCs w:val="20"/>
                <w:shd w:val="clear" w:color="auto" w:fill="FFFFFF"/>
              </w:rPr>
            </w:pPr>
            <w:r w:rsidRPr="00EF3B8D">
              <w:rPr>
                <w:rFonts w:ascii="Arial" w:hAnsi="Arial" w:cs="Arial"/>
                <w:b/>
                <w:i/>
                <w:sz w:val="20"/>
                <w:szCs w:val="20"/>
                <w:shd w:val="clear" w:color="auto" w:fill="FFFFFF"/>
              </w:rPr>
              <w:t>0,1</w:t>
            </w:r>
          </w:p>
        </w:tc>
      </w:tr>
    </w:tbl>
    <w:p w:rsidR="00F15C4E" w:rsidRPr="00EF3B8D" w:rsidRDefault="00F15C4E" w:rsidP="00EF3B8D">
      <w:pPr>
        <w:spacing w:before="60" w:after="0" w:line="240" w:lineRule="auto"/>
        <w:outlineLvl w:val="1"/>
        <w:rPr>
          <w:rFonts w:ascii="Arial" w:hAnsi="Arial" w:cs="Arial"/>
          <w:sz w:val="16"/>
          <w:szCs w:val="16"/>
          <w:shd w:val="clear" w:color="auto" w:fill="FFFFFF"/>
        </w:rPr>
      </w:pPr>
      <w:r w:rsidRPr="00EF3B8D">
        <w:rPr>
          <w:rFonts w:ascii="Arial" w:hAnsi="Arial" w:cs="Arial"/>
          <w:sz w:val="16"/>
          <w:szCs w:val="16"/>
          <w:shd w:val="clear" w:color="auto" w:fill="FFFFFF"/>
        </w:rPr>
        <w:t>Nguồn: IMF tháng 5/2018</w:t>
      </w:r>
      <w:r w:rsidRPr="00EF3B8D">
        <w:rPr>
          <w:rFonts w:ascii="Arial" w:hAnsi="Arial" w:cs="Arial"/>
          <w:sz w:val="16"/>
          <w:szCs w:val="16"/>
          <w:shd w:val="clear" w:color="auto" w:fill="FFFFFF"/>
        </w:rPr>
        <w:tab/>
      </w:r>
    </w:p>
    <w:p w:rsidR="00F15C4E" w:rsidRPr="00EF3B8D" w:rsidRDefault="00F15C4E" w:rsidP="00EF3B8D">
      <w:pPr>
        <w:spacing w:after="0" w:line="240" w:lineRule="auto"/>
        <w:outlineLvl w:val="1"/>
        <w:rPr>
          <w:rFonts w:ascii="Arial" w:hAnsi="Arial" w:cs="Arial"/>
          <w:sz w:val="16"/>
          <w:szCs w:val="16"/>
          <w:shd w:val="clear" w:color="auto" w:fill="FFFFFF"/>
        </w:rPr>
      </w:pPr>
      <w:r w:rsidRPr="00EF3B8D">
        <w:rPr>
          <w:rFonts w:ascii="Arial" w:hAnsi="Arial" w:cs="Arial"/>
          <w:sz w:val="16"/>
          <w:szCs w:val="16"/>
          <w:shd w:val="clear" w:color="auto" w:fill="FFFFFF"/>
        </w:rPr>
        <w:t>(*): Tăng giảm so với dự báo tháng10/2017;</w:t>
      </w:r>
    </w:p>
    <w:p w:rsidR="00F15C4E" w:rsidRPr="00EF3B8D" w:rsidRDefault="00F15C4E" w:rsidP="00EF3B8D">
      <w:pPr>
        <w:spacing w:after="60" w:line="240" w:lineRule="auto"/>
        <w:outlineLvl w:val="1"/>
        <w:rPr>
          <w:rFonts w:ascii="Arial" w:hAnsi="Arial" w:cs="Arial"/>
          <w:sz w:val="16"/>
          <w:szCs w:val="16"/>
          <w:shd w:val="clear" w:color="auto" w:fill="FFFFFF"/>
        </w:rPr>
      </w:pPr>
      <w:r w:rsidRPr="00EF3B8D">
        <w:rPr>
          <w:rFonts w:ascii="Arial" w:hAnsi="Arial" w:cs="Arial"/>
          <w:sz w:val="16"/>
          <w:szCs w:val="16"/>
          <w:shd w:val="clear" w:color="auto" w:fill="FFFFFF"/>
        </w:rPr>
        <w:t xml:space="preserve">(**): Indonesia, Malaysia, Philippines, Singapore, </w:t>
      </w:r>
      <w:proofErr w:type="gramStart"/>
      <w:r w:rsidRPr="00EF3B8D">
        <w:rPr>
          <w:rFonts w:ascii="Arial" w:hAnsi="Arial" w:cs="Arial"/>
          <w:sz w:val="16"/>
          <w:szCs w:val="16"/>
          <w:shd w:val="clear" w:color="auto" w:fill="FFFFFF"/>
        </w:rPr>
        <w:t>Thái</w:t>
      </w:r>
      <w:proofErr w:type="gramEnd"/>
      <w:r w:rsidRPr="00EF3B8D">
        <w:rPr>
          <w:rFonts w:ascii="Arial" w:hAnsi="Arial" w:cs="Arial"/>
          <w:sz w:val="16"/>
          <w:szCs w:val="16"/>
          <w:shd w:val="clear" w:color="auto" w:fill="FFFFFF"/>
        </w:rPr>
        <w:t xml:space="preserve"> Land.</w:t>
      </w:r>
    </w:p>
    <w:p w:rsidR="00F15C4E" w:rsidRPr="00EF3B8D" w:rsidRDefault="00F15C4E" w:rsidP="00EF3B8D">
      <w:pPr>
        <w:spacing w:after="60" w:line="240" w:lineRule="auto"/>
        <w:jc w:val="both"/>
        <w:rPr>
          <w:rFonts w:ascii="Arial" w:hAnsi="Arial" w:cs="Arial"/>
          <w:sz w:val="20"/>
          <w:szCs w:val="20"/>
        </w:rPr>
      </w:pPr>
      <w:r w:rsidRPr="00EF3B8D">
        <w:rPr>
          <w:rFonts w:ascii="Arial" w:hAnsi="Arial" w:cs="Arial"/>
          <w:sz w:val="20"/>
          <w:szCs w:val="20"/>
        </w:rPr>
        <w:t>Yếu tố cơ bản dẫn dắt tăng trưởng kinh tế châu Á là GDP và thương mại toàn cầu tăng cao hơn kỳ vọng, đặc biệt là chương trình kích thích tài khóa tại Mỹ. Những yếu tố này đã tạo động lực thúc đẩy các hoạt động xuất khẩu và đầu tư trong khu vực, trong khi điều kiện tài chính thuận lợi tiếp tục khuyến khích nhu cầu chi tiêu trong nước. Trong năm 2018, kinh tế Trung Quốc được dự báo giảm nhẹ xuống mức tăng trưởng 6</w:t>
      </w:r>
      <w:proofErr w:type="gramStart"/>
      <w:r w:rsidRPr="00EF3B8D">
        <w:rPr>
          <w:rFonts w:ascii="Arial" w:hAnsi="Arial" w:cs="Arial"/>
          <w:sz w:val="20"/>
          <w:szCs w:val="20"/>
        </w:rPr>
        <w:t>,6</w:t>
      </w:r>
      <w:proofErr w:type="gramEnd"/>
      <w:r w:rsidRPr="00EF3B8D">
        <w:rPr>
          <w:rFonts w:ascii="Arial" w:hAnsi="Arial" w:cs="Arial"/>
          <w:sz w:val="20"/>
          <w:szCs w:val="20"/>
        </w:rPr>
        <w:t>%, phần nào phản ánh tác động của các biện pháp thắt chặt tài khóa và chi tiêu trong nước. Kinh tế Nhật Bản được dự báo tăng 1,2% trong năm nay, ghi nhận kết quả tăng trên tiềm năng tăng trưởng trong 8 quý liên tiếp. Kinh tế Ấn Độ được dự báo sẽ tăng trở lại lên mức 7,4% trong năm 2018, sau khi giảm nhẹ do những rối loạn tạm thời bắt nguồn từ sáng kiến điều chỉnh chính sách tỷ giá và quy định mới về thuế hàng hóa và dịch vụ.</w:t>
      </w:r>
    </w:p>
    <w:p w:rsidR="00F15C4E" w:rsidRPr="00EF3B8D" w:rsidRDefault="00F15C4E" w:rsidP="00EF3B8D">
      <w:pPr>
        <w:spacing w:after="60" w:line="240" w:lineRule="auto"/>
        <w:jc w:val="both"/>
        <w:rPr>
          <w:rFonts w:ascii="Arial" w:hAnsi="Arial" w:cs="Arial"/>
          <w:sz w:val="20"/>
          <w:szCs w:val="20"/>
          <w:shd w:val="clear" w:color="auto" w:fill="FFFFFF"/>
        </w:rPr>
      </w:pPr>
      <w:r w:rsidRPr="00EF3B8D">
        <w:rPr>
          <w:rFonts w:ascii="Arial" w:hAnsi="Arial" w:cs="Arial"/>
          <w:sz w:val="20"/>
          <w:szCs w:val="20"/>
          <w:shd w:val="clear" w:color="auto" w:fill="FFFFFF"/>
        </w:rPr>
        <w:lastRenderedPageBreak/>
        <w:t>Mặc dù thị trường chứng khoán toàn cầu giảm mạnh trong những tháng đầu năm 2018, nhưng điều kiện tài chính trong khu vực về cơ bản vẫn thuận lợi, do phần lớn tác động của việc bình thường hóa chính sách tiền tệ theo lộ trình từng bước tại Mỹ được bù đắp bởi các hoạt động đầu tư liều lĩnh trên toàn cầu.</w:t>
      </w:r>
    </w:p>
    <w:p w:rsidR="00F15C4E" w:rsidRPr="00EF3B8D" w:rsidRDefault="00F15C4E" w:rsidP="00EF3B8D">
      <w:pPr>
        <w:spacing w:after="60" w:line="240" w:lineRule="auto"/>
        <w:jc w:val="both"/>
        <w:rPr>
          <w:rFonts w:ascii="Arial" w:hAnsi="Arial" w:cs="Arial"/>
          <w:sz w:val="20"/>
          <w:szCs w:val="20"/>
          <w:shd w:val="clear" w:color="auto" w:fill="FFFFFF"/>
        </w:rPr>
      </w:pPr>
      <w:r w:rsidRPr="00EF3B8D">
        <w:rPr>
          <w:rFonts w:ascii="Arial" w:hAnsi="Arial" w:cs="Arial"/>
          <w:sz w:val="20"/>
          <w:szCs w:val="20"/>
          <w:shd w:val="clear" w:color="auto" w:fill="FFFFFF"/>
        </w:rPr>
        <w:t xml:space="preserve">Tín dụng trong khu vực tiếp tục tăng cao, chủ yếu là do các doanh nghiệp tiếp tục tăng tỷ lệ đòn bẩy, và nợ nần của các hộ gia đình ngày càng tăng cao. Tín dụng tăng cao cũng có tác dụng nhất định đối với thị trường bất động sản, giá nhà đất tại một số nước có dấu hiệu tăng cao, một số quốc gia và vùng lãnh thổ (như Australia, Hàn Quốc, Hồng Kông, Singapore) phải sử dụng các giải pháp kinh tế </w:t>
      </w:r>
      <w:proofErr w:type="gramStart"/>
      <w:r w:rsidRPr="00EF3B8D">
        <w:rPr>
          <w:rFonts w:ascii="Arial" w:hAnsi="Arial" w:cs="Arial"/>
          <w:sz w:val="20"/>
          <w:szCs w:val="20"/>
          <w:shd w:val="clear" w:color="auto" w:fill="FFFFFF"/>
        </w:rPr>
        <w:t>vĩ</w:t>
      </w:r>
      <w:proofErr w:type="gramEnd"/>
      <w:r w:rsidRPr="00EF3B8D">
        <w:rPr>
          <w:rFonts w:ascii="Arial" w:hAnsi="Arial" w:cs="Arial"/>
          <w:sz w:val="20"/>
          <w:szCs w:val="20"/>
          <w:shd w:val="clear" w:color="auto" w:fill="FFFFFF"/>
        </w:rPr>
        <w:t xml:space="preserve"> mô để ổn định thị trường.  </w:t>
      </w:r>
    </w:p>
    <w:p w:rsidR="00F15C4E" w:rsidRPr="00EF3B8D" w:rsidRDefault="00F15C4E" w:rsidP="00EF3B8D">
      <w:pPr>
        <w:spacing w:after="60" w:line="240" w:lineRule="auto"/>
        <w:jc w:val="both"/>
        <w:rPr>
          <w:rFonts w:ascii="Arial" w:hAnsi="Arial" w:cs="Arial"/>
          <w:sz w:val="20"/>
          <w:szCs w:val="20"/>
          <w:shd w:val="clear" w:color="auto" w:fill="FFFFFF"/>
        </w:rPr>
      </w:pPr>
      <w:r w:rsidRPr="00EF3B8D">
        <w:rPr>
          <w:rFonts w:ascii="Arial" w:hAnsi="Arial" w:cs="Arial"/>
          <w:sz w:val="20"/>
          <w:szCs w:val="20"/>
          <w:shd w:val="clear" w:color="auto" w:fill="FFFFFF"/>
        </w:rPr>
        <w:t xml:space="preserve">Tại nhiều EMDE trong khu vực, tín dụng tiếp tục tăng nóng, thậm chí đạt hai con số trong nhiều năm qua tại một số nước như Campuchia, Lào, Myanmar, Nepal, Sri Lanka, Việt Nam, Mông Cổ. Tín dụng tăng cao có thể là bằng chứng cho thấy, tình hình kinh tế vĩ mô đã cải thiện đáng kể, nhưng cũng có thể dẫn đến những vấn đề về rủi ro tài chính, bắt nguồn từ nguy cơ mất cân đối kinh tế vĩ mô và những yếu kém trong khu vực ngân hàng. Trong khi đó, năng lực giám sát và quản lý rủi ro tài chính còn nhiều hạn chế, thiếu nhiều công cụ quản lý </w:t>
      </w:r>
      <w:proofErr w:type="gramStart"/>
      <w:r w:rsidRPr="00EF3B8D">
        <w:rPr>
          <w:rFonts w:ascii="Arial" w:hAnsi="Arial" w:cs="Arial"/>
          <w:sz w:val="20"/>
          <w:szCs w:val="20"/>
          <w:shd w:val="clear" w:color="auto" w:fill="FFFFFF"/>
        </w:rPr>
        <w:t>vĩ</w:t>
      </w:r>
      <w:proofErr w:type="gramEnd"/>
      <w:r w:rsidRPr="00EF3B8D">
        <w:rPr>
          <w:rFonts w:ascii="Arial" w:hAnsi="Arial" w:cs="Arial"/>
          <w:sz w:val="20"/>
          <w:szCs w:val="20"/>
          <w:shd w:val="clear" w:color="auto" w:fill="FFFFFF"/>
        </w:rPr>
        <w:t xml:space="preserve"> mô thận trọng, các quy định an toàn và hiệu quả trong khu vực ngân hàng còn thấp so với thông lệ quốc tế.</w:t>
      </w:r>
    </w:p>
    <w:p w:rsidR="00F15C4E" w:rsidRPr="00EF3B8D" w:rsidRDefault="00F15C4E" w:rsidP="00EF3B8D">
      <w:pPr>
        <w:pStyle w:val="NormalWeb"/>
        <w:shd w:val="clear" w:color="auto" w:fill="FFFFFF"/>
        <w:spacing w:before="0" w:beforeAutospacing="0" w:after="60" w:afterAutospacing="0"/>
        <w:jc w:val="both"/>
        <w:rPr>
          <w:rFonts w:ascii="Arial" w:hAnsi="Arial" w:cs="Arial"/>
          <w:sz w:val="20"/>
          <w:szCs w:val="20"/>
        </w:rPr>
      </w:pPr>
      <w:r w:rsidRPr="00EF3B8D">
        <w:rPr>
          <w:rFonts w:ascii="Arial" w:hAnsi="Arial" w:cs="Arial"/>
          <w:sz w:val="20"/>
          <w:szCs w:val="20"/>
        </w:rPr>
        <w:t xml:space="preserve">Rủi ro kinh tế vẫn cân bằng trong ngắn hạn, nhưng có xu hướng tăng dần trong giai đoạn trung hạn. Trong đó, điều kiện tài chính toàn cầu bị thắt chặt đột ngột sẽ gây tổn thương cho các nền kinh tế châu Á, trong khi thời kỳ tài chính nới lỏng quá dài đang gây rủi ro hình thành các đòn bẩy tín dụng và gây tổn thương về tài chính. Do hoạt động rủi ro quá mức và xu hướng di chuyển rủi ro tài chính sang khu vực phi ngân hàng, mức độ thiệt hại có thể trầm trọng hơn. Những rủi ro khác bao gồm, lợi ích của quá trình toàn cầu hóa không được chia sẻ đồng đều, các biện pháp chống bán phá giá trong thời gian gần đây, xu hướng dịch chuyển sang chính sách hướng nội, có thể cản trở thương mại quốc tế và các thị trường tài chính. Ngoài ra, căng thẳng địa chính trị tiếp tục là rủi ro đáng lo ngại. Chưa hết, các vụ tấn công mạng và </w:t>
      </w:r>
      <w:proofErr w:type="gramStart"/>
      <w:r w:rsidRPr="00EF3B8D">
        <w:rPr>
          <w:rFonts w:ascii="Arial" w:hAnsi="Arial" w:cs="Arial"/>
          <w:sz w:val="20"/>
          <w:szCs w:val="20"/>
        </w:rPr>
        <w:t>vi</w:t>
      </w:r>
      <w:proofErr w:type="gramEnd"/>
      <w:r w:rsidRPr="00EF3B8D">
        <w:rPr>
          <w:rFonts w:ascii="Arial" w:hAnsi="Arial" w:cs="Arial"/>
          <w:sz w:val="20"/>
          <w:szCs w:val="20"/>
        </w:rPr>
        <w:t xml:space="preserve"> phạm an ninh mạng ngày tăng trên phạm vi toàn cầu, trong khi hiện tượng biến đổi khí hậu và thiên tai tiếp tục gây thiệt hại lớn cho khu vực. </w:t>
      </w:r>
    </w:p>
    <w:p w:rsidR="00F15C4E" w:rsidRPr="00EF3B8D" w:rsidRDefault="00F15C4E" w:rsidP="00EF3B8D">
      <w:pPr>
        <w:pStyle w:val="NormalWeb"/>
        <w:shd w:val="clear" w:color="auto" w:fill="FFFFFF"/>
        <w:spacing w:before="0" w:beforeAutospacing="0" w:after="60" w:afterAutospacing="0"/>
        <w:jc w:val="both"/>
        <w:rPr>
          <w:rFonts w:ascii="Arial" w:hAnsi="Arial" w:cs="Arial"/>
          <w:sz w:val="20"/>
          <w:szCs w:val="20"/>
        </w:rPr>
      </w:pPr>
      <w:r w:rsidRPr="00EF3B8D">
        <w:rPr>
          <w:rFonts w:ascii="Arial" w:hAnsi="Arial" w:cs="Arial"/>
          <w:sz w:val="20"/>
          <w:szCs w:val="20"/>
        </w:rPr>
        <w:t xml:space="preserve">Trong dài hạn, triển vọng kinh tế Châu Á - Thái Bình Dương chịu tác động của các yếu tố bắt nguồn từ vấn đề nhân chủng học, năng suất </w:t>
      </w:r>
      <w:proofErr w:type="gramStart"/>
      <w:r w:rsidRPr="00EF3B8D">
        <w:rPr>
          <w:rFonts w:ascii="Arial" w:hAnsi="Arial" w:cs="Arial"/>
          <w:sz w:val="20"/>
          <w:szCs w:val="20"/>
        </w:rPr>
        <w:t>lao</w:t>
      </w:r>
      <w:proofErr w:type="gramEnd"/>
      <w:r w:rsidRPr="00EF3B8D">
        <w:rPr>
          <w:rFonts w:ascii="Arial" w:hAnsi="Arial" w:cs="Arial"/>
          <w:sz w:val="20"/>
          <w:szCs w:val="20"/>
        </w:rPr>
        <w:t xml:space="preserve"> động, công nghệ số. Trong đó, xu hướng già hóa dân số là thách thức lớn nhất, có thể khiến nhiều nước châu Á chưa kịp giàu đã già, và xu hướng này sẽ ảnh hưởng trầm trọng đến tăng trưởng kinh tế và vị thể tài khóa. Cùng với xu hướng năng suất tăng chậm dần, việc mở rộng số hóa trong nền kinh tế toàn cầu cũng đặt ra nhiều thách thức về việc làm và thị trường lao động trong tương lai, do sự khác biệt rất lớn giữa các nước trong khu vực, mặc dù các nước châu Á đã chủ động tham gia cuộc cách mạng công nghiệp 4.0.</w:t>
      </w:r>
    </w:p>
    <w:p w:rsidR="00781BEC" w:rsidRPr="00EF3B8D" w:rsidRDefault="00781BEC" w:rsidP="00EF3B8D">
      <w:pPr>
        <w:pStyle w:val="NormalWeb"/>
        <w:shd w:val="clear" w:color="auto" w:fill="FFFFFF"/>
        <w:spacing w:before="0" w:beforeAutospacing="0" w:after="60" w:afterAutospacing="0"/>
        <w:jc w:val="both"/>
        <w:rPr>
          <w:rFonts w:ascii="Arial" w:hAnsi="Arial" w:cs="Arial"/>
          <w:b/>
          <w:i/>
          <w:sz w:val="20"/>
          <w:szCs w:val="20"/>
        </w:rPr>
      </w:pPr>
      <w:r w:rsidRPr="00EF3B8D">
        <w:rPr>
          <w:rFonts w:ascii="Arial" w:hAnsi="Arial" w:cs="Arial"/>
          <w:b/>
          <w:i/>
          <w:sz w:val="20"/>
          <w:szCs w:val="20"/>
        </w:rPr>
        <w:t>Xuân Thanh</w:t>
      </w:r>
    </w:p>
    <w:p w:rsidR="003E18D8" w:rsidRPr="00EF3B8D" w:rsidRDefault="00F15C4E" w:rsidP="00EF3B8D">
      <w:pPr>
        <w:pStyle w:val="NormalWeb"/>
        <w:shd w:val="clear" w:color="auto" w:fill="FFFFFF"/>
        <w:spacing w:before="0" w:beforeAutospacing="0" w:after="60" w:afterAutospacing="0"/>
        <w:jc w:val="both"/>
        <w:rPr>
          <w:rFonts w:ascii="Arial" w:hAnsi="Arial" w:cs="Arial"/>
          <w:i/>
          <w:sz w:val="20"/>
          <w:szCs w:val="20"/>
        </w:rPr>
      </w:pPr>
      <w:r w:rsidRPr="00EF3B8D">
        <w:rPr>
          <w:rFonts w:ascii="Arial" w:hAnsi="Arial" w:cs="Arial"/>
          <w:i/>
          <w:sz w:val="20"/>
          <w:szCs w:val="20"/>
        </w:rPr>
        <w:t>Nguồn: IMF tháng 5/2018</w:t>
      </w:r>
    </w:p>
    <w:sectPr w:rsidR="003E18D8" w:rsidRPr="00EF3B8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7DE" w:rsidRDefault="003417DE" w:rsidP="00D64CF9">
      <w:pPr>
        <w:spacing w:after="0" w:line="240" w:lineRule="auto"/>
      </w:pPr>
      <w:r>
        <w:separator/>
      </w:r>
    </w:p>
  </w:endnote>
  <w:endnote w:type="continuationSeparator" w:id="0">
    <w:p w:rsidR="003417DE" w:rsidRDefault="003417DE" w:rsidP="00D6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679891"/>
      <w:docPartObj>
        <w:docPartGallery w:val="Page Numbers (Bottom of Page)"/>
        <w:docPartUnique/>
      </w:docPartObj>
    </w:sdtPr>
    <w:sdtEndPr>
      <w:rPr>
        <w:noProof/>
      </w:rPr>
    </w:sdtEndPr>
    <w:sdtContent>
      <w:p w:rsidR="00D64CF9" w:rsidRDefault="00D64CF9">
        <w:pPr>
          <w:pStyle w:val="Footer"/>
          <w:jc w:val="right"/>
        </w:pPr>
        <w:r>
          <w:fldChar w:fldCharType="begin"/>
        </w:r>
        <w:r>
          <w:instrText xml:space="preserve"> PAGE   \* MERGEFORMAT </w:instrText>
        </w:r>
        <w:r>
          <w:fldChar w:fldCharType="separate"/>
        </w:r>
        <w:r w:rsidR="00324843">
          <w:rPr>
            <w:noProof/>
          </w:rPr>
          <w:t>2</w:t>
        </w:r>
        <w:r>
          <w:rPr>
            <w:noProof/>
          </w:rPr>
          <w:fldChar w:fldCharType="end"/>
        </w:r>
      </w:p>
    </w:sdtContent>
  </w:sdt>
  <w:p w:rsidR="00D64CF9" w:rsidRDefault="00D64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7DE" w:rsidRDefault="003417DE" w:rsidP="00D64CF9">
      <w:pPr>
        <w:spacing w:after="0" w:line="240" w:lineRule="auto"/>
      </w:pPr>
      <w:r>
        <w:separator/>
      </w:r>
    </w:p>
  </w:footnote>
  <w:footnote w:type="continuationSeparator" w:id="0">
    <w:p w:rsidR="003417DE" w:rsidRDefault="003417DE" w:rsidP="00D64C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4E"/>
    <w:rsid w:val="002E36CB"/>
    <w:rsid w:val="00324843"/>
    <w:rsid w:val="003417DE"/>
    <w:rsid w:val="003E18D8"/>
    <w:rsid w:val="006533A1"/>
    <w:rsid w:val="00742833"/>
    <w:rsid w:val="00781BEC"/>
    <w:rsid w:val="00BE3AD0"/>
    <w:rsid w:val="00D64CF9"/>
    <w:rsid w:val="00EF3B8D"/>
    <w:rsid w:val="00F111F0"/>
    <w:rsid w:val="00F1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1C30C-A149-474A-9F47-A757F58E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C4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15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CF9"/>
  </w:style>
  <w:style w:type="paragraph" w:styleId="Footer">
    <w:name w:val="footer"/>
    <w:basedOn w:val="Normal"/>
    <w:link w:val="FooterChar"/>
    <w:uiPriority w:val="99"/>
    <w:unhideWhenUsed/>
    <w:rsid w:val="00D64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CF9"/>
  </w:style>
  <w:style w:type="paragraph" w:styleId="BalloonText">
    <w:name w:val="Balloon Text"/>
    <w:basedOn w:val="Normal"/>
    <w:link w:val="BalloonTextChar"/>
    <w:uiPriority w:val="99"/>
    <w:semiHidden/>
    <w:unhideWhenUsed/>
    <w:rsid w:val="00781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B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cp:lastPrinted>2018-05-11T07:39:00Z</cp:lastPrinted>
  <dcterms:created xsi:type="dcterms:W3CDTF">2018-05-11T09:32:00Z</dcterms:created>
  <dcterms:modified xsi:type="dcterms:W3CDTF">2018-05-11T09:36:00Z</dcterms:modified>
</cp:coreProperties>
</file>