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07C" w:rsidRPr="00ED5B2B" w:rsidRDefault="0086307C" w:rsidP="00ED5B2B">
      <w:pPr>
        <w:spacing w:after="60" w:line="240" w:lineRule="auto"/>
        <w:jc w:val="both"/>
        <w:rPr>
          <w:rFonts w:ascii="Arial" w:hAnsi="Arial" w:cs="Arial"/>
          <w:sz w:val="20"/>
          <w:szCs w:val="20"/>
        </w:rPr>
      </w:pPr>
      <w:bookmarkStart w:id="0" w:name="_GoBack"/>
      <w:bookmarkEnd w:id="0"/>
      <w:r w:rsidRPr="00ED5B2B">
        <w:rPr>
          <w:rFonts w:ascii="Arial" w:hAnsi="Arial" w:cs="Arial"/>
          <w:sz w:val="20"/>
          <w:szCs w:val="20"/>
        </w:rPr>
        <w:t xml:space="preserve">Cụ thể là, </w:t>
      </w:r>
      <w:r w:rsidR="00E069D2" w:rsidRPr="00ED5B2B">
        <w:rPr>
          <w:rFonts w:ascii="Arial" w:hAnsi="Arial" w:cs="Arial"/>
          <w:sz w:val="20"/>
          <w:szCs w:val="20"/>
        </w:rPr>
        <w:t>sau khi tăng 3</w:t>
      </w:r>
      <w:proofErr w:type="gramStart"/>
      <w:r w:rsidR="00E069D2" w:rsidRPr="00ED5B2B">
        <w:rPr>
          <w:rFonts w:ascii="Arial" w:hAnsi="Arial" w:cs="Arial"/>
          <w:sz w:val="20"/>
          <w:szCs w:val="20"/>
        </w:rPr>
        <w:t>,8</w:t>
      </w:r>
      <w:proofErr w:type="gramEnd"/>
      <w:r w:rsidR="00E069D2" w:rsidRPr="00ED5B2B">
        <w:rPr>
          <w:rFonts w:ascii="Arial" w:hAnsi="Arial" w:cs="Arial"/>
          <w:sz w:val="20"/>
          <w:szCs w:val="20"/>
        </w:rPr>
        <w:t>% trong</w:t>
      </w:r>
      <w:r w:rsidRPr="00ED5B2B">
        <w:rPr>
          <w:rFonts w:ascii="Arial" w:hAnsi="Arial" w:cs="Arial"/>
          <w:sz w:val="20"/>
          <w:szCs w:val="20"/>
        </w:rPr>
        <w:t xml:space="preserve"> năm 2017 </w:t>
      </w:r>
      <w:r w:rsidR="00E069D2" w:rsidRPr="00ED5B2B">
        <w:rPr>
          <w:rFonts w:ascii="Arial" w:hAnsi="Arial" w:cs="Arial"/>
          <w:sz w:val="20"/>
          <w:szCs w:val="20"/>
        </w:rPr>
        <w:t xml:space="preserve">và là </w:t>
      </w:r>
      <w:r w:rsidRPr="00ED5B2B">
        <w:rPr>
          <w:rFonts w:ascii="Arial" w:hAnsi="Arial" w:cs="Arial"/>
          <w:sz w:val="20"/>
          <w:szCs w:val="20"/>
        </w:rPr>
        <w:t>mức tăng cao nhất kể từ năm 2011</w:t>
      </w:r>
      <w:r w:rsidR="00E069D2" w:rsidRPr="00ED5B2B">
        <w:rPr>
          <w:rFonts w:ascii="Arial" w:hAnsi="Arial" w:cs="Arial"/>
          <w:sz w:val="20"/>
          <w:szCs w:val="20"/>
        </w:rPr>
        <w:t>,</w:t>
      </w:r>
      <w:r w:rsidRPr="00ED5B2B">
        <w:rPr>
          <w:rFonts w:ascii="Arial" w:hAnsi="Arial" w:cs="Arial"/>
          <w:sz w:val="20"/>
          <w:szCs w:val="20"/>
        </w:rPr>
        <w:t xml:space="preserve"> </w:t>
      </w:r>
      <w:r w:rsidR="00E069D2" w:rsidRPr="00ED5B2B">
        <w:rPr>
          <w:rFonts w:ascii="Arial" w:hAnsi="Arial" w:cs="Arial"/>
          <w:sz w:val="20"/>
          <w:szCs w:val="20"/>
        </w:rPr>
        <w:t>kinh tế to</w:t>
      </w:r>
      <w:r w:rsidRPr="00ED5B2B">
        <w:rPr>
          <w:rFonts w:ascii="Arial" w:hAnsi="Arial" w:cs="Arial"/>
          <w:sz w:val="20"/>
          <w:szCs w:val="20"/>
        </w:rPr>
        <w:t>à</w:t>
      </w:r>
      <w:r w:rsidR="00E069D2" w:rsidRPr="00ED5B2B">
        <w:rPr>
          <w:rFonts w:ascii="Arial" w:hAnsi="Arial" w:cs="Arial"/>
          <w:sz w:val="20"/>
          <w:szCs w:val="20"/>
        </w:rPr>
        <w:t>n cầu được</w:t>
      </w:r>
      <w:r w:rsidRPr="00ED5B2B">
        <w:rPr>
          <w:rFonts w:ascii="Arial" w:hAnsi="Arial" w:cs="Arial"/>
          <w:sz w:val="20"/>
          <w:szCs w:val="20"/>
        </w:rPr>
        <w:t xml:space="preserve"> dự báo tiếp tục tăng 3,9% trong hai năm 2018-2019, chủ yếu nhờ động lượng tăng trưởng bền vững tại hầu hết các quốc gia và chương trình tài khóa mở rộng tại Mỹ. Trên toàn cầu, lạm phát cơ bản được dự báo tiếp tục tăng cao, mặc dù lạm phát lõi còn khá trầm lắng. Trái lại, kinh tế châu Á năm 2018-2019 tiếp tục tăng cao (5</w:t>
      </w:r>
      <w:proofErr w:type="gramStart"/>
      <w:r w:rsidRPr="00ED5B2B">
        <w:rPr>
          <w:rFonts w:ascii="Arial" w:hAnsi="Arial" w:cs="Arial"/>
          <w:sz w:val="20"/>
          <w:szCs w:val="20"/>
        </w:rPr>
        <w:t>,6</w:t>
      </w:r>
      <w:proofErr w:type="gramEnd"/>
      <w:r w:rsidRPr="00ED5B2B">
        <w:rPr>
          <w:rFonts w:ascii="Arial" w:hAnsi="Arial" w:cs="Arial"/>
          <w:sz w:val="20"/>
          <w:szCs w:val="20"/>
        </w:rPr>
        <w:t>%), nhưng lạm phát cơ bả</w:t>
      </w:r>
      <w:r w:rsidR="00E069D2" w:rsidRPr="00ED5B2B">
        <w:rPr>
          <w:rFonts w:ascii="Arial" w:hAnsi="Arial" w:cs="Arial"/>
          <w:sz w:val="20"/>
          <w:szCs w:val="20"/>
        </w:rPr>
        <w:t>n đượ</w:t>
      </w:r>
      <w:r w:rsidRPr="00ED5B2B">
        <w:rPr>
          <w:rFonts w:ascii="Arial" w:hAnsi="Arial" w:cs="Arial"/>
          <w:sz w:val="20"/>
          <w:szCs w:val="20"/>
        </w:rPr>
        <w:t>c dự báo sẽ không tăng, thậm chí các chuyên gia IMF phải điều chỉnh giảm tại một số nước. Tại nhiều nước châu Á, lạm phát lõi vẫn thấp hơn mục tiêu đề ra. Trong ba năm 2017-2019, lạm phát tại các nước phát triển châu Á chỉ tăng 1</w:t>
      </w:r>
      <w:proofErr w:type="gramStart"/>
      <w:r w:rsidRPr="00ED5B2B">
        <w:rPr>
          <w:rFonts w:ascii="Arial" w:hAnsi="Arial" w:cs="Arial"/>
          <w:sz w:val="20"/>
          <w:szCs w:val="20"/>
        </w:rPr>
        <w:t>,0</w:t>
      </w:r>
      <w:proofErr w:type="gramEnd"/>
      <w:r w:rsidRPr="00ED5B2B">
        <w:rPr>
          <w:rFonts w:ascii="Arial" w:hAnsi="Arial" w:cs="Arial"/>
          <w:sz w:val="20"/>
          <w:szCs w:val="20"/>
        </w:rPr>
        <w:t xml:space="preserve">%; 1,4%; và 1,5%; trong khi lạm phát trung bình tại các nước phát triển trên toàn cầu là 1,7%; 2,0%; và 1,9%. Tương tự, lạm phát tại các nước đang phát triển và mới nổi </w:t>
      </w:r>
      <w:r w:rsidR="00E069D2" w:rsidRPr="00ED5B2B">
        <w:rPr>
          <w:rFonts w:ascii="Arial" w:hAnsi="Arial" w:cs="Arial"/>
          <w:sz w:val="20"/>
          <w:szCs w:val="20"/>
        </w:rPr>
        <w:t xml:space="preserve">(EMDEs) </w:t>
      </w:r>
      <w:r w:rsidRPr="00ED5B2B">
        <w:rPr>
          <w:rFonts w:ascii="Arial" w:hAnsi="Arial" w:cs="Arial"/>
          <w:sz w:val="20"/>
          <w:szCs w:val="20"/>
        </w:rPr>
        <w:t>châu Á trong giai đoạn 2017-2019 là 2</w:t>
      </w:r>
      <w:proofErr w:type="gramStart"/>
      <w:r w:rsidRPr="00ED5B2B">
        <w:rPr>
          <w:rFonts w:ascii="Arial" w:hAnsi="Arial" w:cs="Arial"/>
          <w:sz w:val="20"/>
          <w:szCs w:val="20"/>
        </w:rPr>
        <w:t>,4</w:t>
      </w:r>
      <w:proofErr w:type="gramEnd"/>
      <w:r w:rsidRPr="00ED5B2B">
        <w:rPr>
          <w:rFonts w:ascii="Arial" w:hAnsi="Arial" w:cs="Arial"/>
          <w:sz w:val="20"/>
          <w:szCs w:val="20"/>
        </w:rPr>
        <w:t xml:space="preserve">%; 3,3%; và 3,3%; thấp hơn nhiều so với mức lạm phát trung bình tại các EMDE toàn cầu (4,0%; 4,6%; và 4,3%).   </w:t>
      </w:r>
    </w:p>
    <w:p w:rsidR="0086307C" w:rsidRPr="00ED5B2B" w:rsidRDefault="0086307C" w:rsidP="00ED5B2B">
      <w:pPr>
        <w:spacing w:after="60" w:line="240" w:lineRule="auto"/>
        <w:jc w:val="center"/>
        <w:rPr>
          <w:rFonts w:ascii="Arial" w:hAnsi="Arial" w:cs="Arial"/>
          <w:b/>
          <w:i/>
          <w:sz w:val="20"/>
          <w:szCs w:val="20"/>
        </w:rPr>
      </w:pPr>
      <w:r w:rsidRPr="00ED5B2B">
        <w:rPr>
          <w:rFonts w:ascii="Arial" w:hAnsi="Arial" w:cs="Arial"/>
          <w:b/>
          <w:i/>
          <w:sz w:val="20"/>
          <w:szCs w:val="20"/>
        </w:rPr>
        <w:t>Chỉ số lạm phát tại châu Á (% so với năm trước)</w:t>
      </w:r>
    </w:p>
    <w:tbl>
      <w:tblPr>
        <w:tblStyle w:val="TableGrid"/>
        <w:tblW w:w="9360" w:type="dxa"/>
        <w:tblInd w:w="108" w:type="dxa"/>
        <w:tblLayout w:type="fixed"/>
        <w:tblLook w:val="04A0" w:firstRow="1" w:lastRow="0" w:firstColumn="1" w:lastColumn="0" w:noHBand="0" w:noVBand="1"/>
      </w:tblPr>
      <w:tblGrid>
        <w:gridCol w:w="3240"/>
        <w:gridCol w:w="900"/>
        <w:gridCol w:w="900"/>
        <w:gridCol w:w="900"/>
        <w:gridCol w:w="810"/>
        <w:gridCol w:w="900"/>
        <w:gridCol w:w="900"/>
        <w:gridCol w:w="810"/>
      </w:tblGrid>
      <w:tr w:rsidR="0086307C" w:rsidRPr="00ED5B2B" w:rsidTr="00A9615D">
        <w:tc>
          <w:tcPr>
            <w:tcW w:w="3240" w:type="dxa"/>
            <w:tcBorders>
              <w:top w:val="single" w:sz="4" w:space="0" w:color="auto"/>
              <w:bottom w:val="single" w:sz="4" w:space="0" w:color="auto"/>
            </w:tcBorders>
          </w:tcPr>
          <w:p w:rsidR="0086307C" w:rsidRPr="00ED5B2B" w:rsidRDefault="0086307C" w:rsidP="00A9615D">
            <w:pPr>
              <w:spacing w:after="60"/>
              <w:jc w:val="center"/>
              <w:outlineLvl w:val="1"/>
              <w:rPr>
                <w:rFonts w:ascii="Arial" w:hAnsi="Arial" w:cs="Arial"/>
                <w:b/>
                <w:sz w:val="20"/>
                <w:szCs w:val="20"/>
                <w:shd w:val="clear" w:color="auto" w:fill="FFFFFF"/>
              </w:rPr>
            </w:pPr>
          </w:p>
        </w:tc>
        <w:tc>
          <w:tcPr>
            <w:tcW w:w="3510" w:type="dxa"/>
            <w:gridSpan w:val="4"/>
            <w:tcBorders>
              <w:top w:val="single" w:sz="4" w:space="0" w:color="auto"/>
              <w:bottom w:val="single" w:sz="4" w:space="0" w:color="auto"/>
            </w:tcBorders>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eastAsia="Times New Roman" w:hAnsi="Arial" w:cs="Arial"/>
                <w:b/>
                <w:sz w:val="20"/>
                <w:szCs w:val="20"/>
              </w:rPr>
              <w:t>Kết quả và dự báo</w:t>
            </w:r>
          </w:p>
        </w:tc>
        <w:tc>
          <w:tcPr>
            <w:tcW w:w="2610" w:type="dxa"/>
            <w:gridSpan w:val="3"/>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eastAsia="Times New Roman" w:hAnsi="Arial" w:cs="Arial"/>
                <w:b/>
                <w:sz w:val="20"/>
                <w:szCs w:val="20"/>
              </w:rPr>
              <w:t>Thay đổi*</w:t>
            </w:r>
          </w:p>
        </w:tc>
      </w:tr>
      <w:tr w:rsidR="0086307C" w:rsidRPr="00ED5B2B" w:rsidTr="00A9615D">
        <w:tc>
          <w:tcPr>
            <w:tcW w:w="3240" w:type="dxa"/>
            <w:tcBorders>
              <w:top w:val="single" w:sz="4" w:space="0" w:color="auto"/>
              <w:bottom w:val="single" w:sz="4" w:space="0" w:color="auto"/>
            </w:tcBorders>
          </w:tcPr>
          <w:p w:rsidR="0086307C" w:rsidRPr="00ED5B2B" w:rsidRDefault="0086307C" w:rsidP="00A9615D">
            <w:pPr>
              <w:spacing w:after="60"/>
              <w:jc w:val="center"/>
              <w:outlineLvl w:val="1"/>
              <w:rPr>
                <w:rFonts w:ascii="Arial" w:hAnsi="Arial" w:cs="Arial"/>
                <w:sz w:val="20"/>
                <w:szCs w:val="20"/>
                <w:shd w:val="clear" w:color="auto" w:fill="FFFFFF"/>
              </w:rPr>
            </w:pPr>
          </w:p>
        </w:tc>
        <w:tc>
          <w:tcPr>
            <w:tcW w:w="900" w:type="dxa"/>
            <w:tcBorders>
              <w:top w:val="single" w:sz="4" w:space="0" w:color="auto"/>
              <w:bottom w:val="single" w:sz="4" w:space="0" w:color="auto"/>
            </w:tcBorders>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2016</w:t>
            </w:r>
          </w:p>
        </w:tc>
        <w:tc>
          <w:tcPr>
            <w:tcW w:w="900" w:type="dxa"/>
            <w:tcBorders>
              <w:top w:val="single" w:sz="4" w:space="0" w:color="auto"/>
              <w:bottom w:val="single" w:sz="4" w:space="0" w:color="auto"/>
            </w:tcBorders>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2017</w:t>
            </w:r>
          </w:p>
        </w:tc>
        <w:tc>
          <w:tcPr>
            <w:tcW w:w="900" w:type="dxa"/>
            <w:tcBorders>
              <w:top w:val="single" w:sz="4" w:space="0" w:color="auto"/>
              <w:bottom w:val="single" w:sz="4" w:space="0" w:color="auto"/>
            </w:tcBorders>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2018</w:t>
            </w:r>
          </w:p>
        </w:tc>
        <w:tc>
          <w:tcPr>
            <w:tcW w:w="810" w:type="dxa"/>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2019</w:t>
            </w:r>
          </w:p>
        </w:tc>
        <w:tc>
          <w:tcPr>
            <w:tcW w:w="900" w:type="dxa"/>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2017</w:t>
            </w:r>
          </w:p>
        </w:tc>
        <w:tc>
          <w:tcPr>
            <w:tcW w:w="900" w:type="dxa"/>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2018</w:t>
            </w:r>
          </w:p>
        </w:tc>
        <w:tc>
          <w:tcPr>
            <w:tcW w:w="810" w:type="dxa"/>
          </w:tcPr>
          <w:p w:rsidR="0086307C" w:rsidRPr="00ED5B2B" w:rsidRDefault="0086307C" w:rsidP="00A9615D">
            <w:pPr>
              <w:spacing w:after="60"/>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2019</w:t>
            </w:r>
          </w:p>
        </w:tc>
      </w:tr>
      <w:tr w:rsidR="0086307C" w:rsidRPr="00ED5B2B" w:rsidTr="00A9615D">
        <w:tc>
          <w:tcPr>
            <w:tcW w:w="3240" w:type="dxa"/>
            <w:tcBorders>
              <w:top w:val="single" w:sz="4" w:space="0" w:color="auto"/>
            </w:tcBorders>
          </w:tcPr>
          <w:p w:rsidR="0086307C" w:rsidRPr="00ED5B2B" w:rsidRDefault="0086307C" w:rsidP="00A9615D">
            <w:pP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Châu Á</w:t>
            </w:r>
          </w:p>
        </w:tc>
        <w:tc>
          <w:tcPr>
            <w:tcW w:w="900" w:type="dxa"/>
            <w:tcBorders>
              <w:top w:val="single" w:sz="4" w:space="0" w:color="auto"/>
            </w:tcBorders>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2,3</w:t>
            </w:r>
          </w:p>
        </w:tc>
        <w:tc>
          <w:tcPr>
            <w:tcW w:w="900" w:type="dxa"/>
            <w:tcBorders>
              <w:top w:val="single" w:sz="4" w:space="0" w:color="auto"/>
            </w:tcBorders>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2,1</w:t>
            </w:r>
          </w:p>
        </w:tc>
        <w:tc>
          <w:tcPr>
            <w:tcW w:w="900" w:type="dxa"/>
            <w:tcBorders>
              <w:top w:val="single" w:sz="4" w:space="0" w:color="auto"/>
            </w:tcBorders>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2,9</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2,9</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-0,2</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0,1</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Các nền kinh tế phát triển</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0,5</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1,0</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1,4</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1,5</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0,0</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0,2</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-0,1</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 xml:space="preserve">Australia </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1,3</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New Zealand</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1,9</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1,7</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Nhật Bản</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Hồng Kông</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Hàn Quốc</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1,9</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1,7</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1,9</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Đài Loan</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1,3</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Singapore</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r>
      <w:tr w:rsidR="0086307C" w:rsidRPr="00ED5B2B" w:rsidTr="00A9615D">
        <w:tc>
          <w:tcPr>
            <w:tcW w:w="3240" w:type="dxa"/>
          </w:tcPr>
          <w:p w:rsidR="0086307C" w:rsidRPr="00ED5B2B" w:rsidRDefault="0086307C" w:rsidP="00A9615D">
            <w:pPr>
              <w:outlineLvl w:val="1"/>
              <w:rPr>
                <w:rFonts w:ascii="Arial" w:hAnsi="Arial" w:cs="Arial"/>
                <w:b/>
                <w:sz w:val="20"/>
                <w:szCs w:val="20"/>
                <w:shd w:val="clear" w:color="auto" w:fill="FFFFFF"/>
              </w:rPr>
            </w:pPr>
            <w:r w:rsidRPr="00ED5B2B">
              <w:rPr>
                <w:rFonts w:ascii="Arial" w:hAnsi="Arial" w:cs="Arial"/>
                <w:b/>
                <w:sz w:val="20"/>
                <w:szCs w:val="20"/>
                <w:shd w:val="clear" w:color="auto" w:fill="FFFFFF"/>
              </w:rPr>
              <w:t>Các EMDE **</w:t>
            </w:r>
          </w:p>
        </w:tc>
        <w:tc>
          <w:tcPr>
            <w:tcW w:w="90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2,8</w:t>
            </w:r>
          </w:p>
        </w:tc>
        <w:tc>
          <w:tcPr>
            <w:tcW w:w="90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2,4</w:t>
            </w:r>
          </w:p>
        </w:tc>
        <w:tc>
          <w:tcPr>
            <w:tcW w:w="90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3,3</w:t>
            </w:r>
          </w:p>
        </w:tc>
        <w:tc>
          <w:tcPr>
            <w:tcW w:w="81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3,3</w:t>
            </w:r>
          </w:p>
        </w:tc>
        <w:tc>
          <w:tcPr>
            <w:tcW w:w="90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-0,2</w:t>
            </w:r>
          </w:p>
        </w:tc>
        <w:tc>
          <w:tcPr>
            <w:tcW w:w="90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0,1</w:t>
            </w:r>
          </w:p>
        </w:tc>
        <w:tc>
          <w:tcPr>
            <w:tcW w:w="810" w:type="dxa"/>
          </w:tcPr>
          <w:p w:rsidR="0086307C" w:rsidRPr="00ED5B2B" w:rsidRDefault="0086307C" w:rsidP="00A9615D">
            <w:pPr>
              <w:jc w:val="center"/>
              <w:outlineLvl w:val="1"/>
              <w:rPr>
                <w:rFonts w:ascii="Arial" w:hAnsi="Arial" w:cs="Arial"/>
                <w:b/>
                <w:sz w:val="20"/>
                <w:szCs w:val="20"/>
                <w:shd w:val="clear" w:color="auto" w:fill="FFFFFF"/>
              </w:rPr>
            </w:pPr>
            <w:r w:rsidRPr="00ED5B2B">
              <w:rPr>
                <w:rFonts w:ascii="Arial" w:hAnsi="Arial" w:cs="Arial"/>
                <w:b/>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Bangladesh</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5,7</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5,7</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6,0</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0,5</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Brunei Darussalam</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-0,7</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r>
      <w:tr w:rsidR="0086307C" w:rsidRPr="00ED5B2B" w:rsidTr="00A9615D">
        <w:tc>
          <w:tcPr>
            <w:tcW w:w="3240" w:type="dxa"/>
          </w:tcPr>
          <w:p w:rsidR="0086307C" w:rsidRPr="00ED5B2B" w:rsidRDefault="0086307C" w:rsidP="00A9615D">
            <w:pPr>
              <w:spacing w:after="60"/>
              <w:jc w:val="both"/>
              <w:outlineLvl w:val="1"/>
              <w:rPr>
                <w:rFonts w:ascii="Arial" w:hAnsi="Arial" w:cs="Arial"/>
                <w:sz w:val="20"/>
                <w:szCs w:val="20"/>
                <w:shd w:val="clear" w:color="auto" w:fill="FFFFFF"/>
              </w:rPr>
            </w:pPr>
            <w:r w:rsidRPr="00ED5B2B">
              <w:rPr>
                <w:rFonts w:ascii="Arial" w:hAnsi="Arial" w:cs="Arial"/>
                <w:sz w:val="20"/>
                <w:szCs w:val="20"/>
                <w:shd w:val="clear" w:color="auto" w:fill="FFFFFF"/>
              </w:rPr>
              <w:t>Camphuchia</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2,9</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3,2</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pacing w:val="-2"/>
                <w:sz w:val="20"/>
                <w:szCs w:val="20"/>
                <w:shd w:val="clear" w:color="auto" w:fill="FFFFFF"/>
              </w:rPr>
            </w:pPr>
            <w:r w:rsidRPr="00ED5B2B">
              <w:rPr>
                <w:rFonts w:ascii="Arial" w:hAnsi="Arial" w:cs="Arial"/>
                <w:spacing w:val="-2"/>
                <w:sz w:val="20"/>
                <w:szCs w:val="20"/>
                <w:shd w:val="clear" w:color="auto" w:fill="FFFFFF"/>
              </w:rPr>
              <w:t>Trung Quốc</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2,5</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Ấn Độ</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5,0</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Indonesia</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3,5</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-0,4</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-0,4</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Lào</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-0,4</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Malaysia</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Myanmar</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5,5</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-1,4</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-0,7</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-0,7</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Mông Cổ</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4,6</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6,4</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0,3</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Nepal</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9,9</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6,0</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5,8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Philippines</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3,2</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0,8</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Sri Lanka</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6,5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4,8</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Thái Land</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0,7</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1,4</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0,7</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0,1</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0,4</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-0,9</w:t>
            </w:r>
          </w:p>
        </w:tc>
      </w:tr>
      <w:tr w:rsidR="0086307C" w:rsidRPr="00ED5B2B" w:rsidTr="00A9615D">
        <w:tc>
          <w:tcPr>
            <w:tcW w:w="3240" w:type="dxa"/>
          </w:tcPr>
          <w:p w:rsidR="0086307C" w:rsidRPr="00ED5B2B" w:rsidRDefault="0086307C" w:rsidP="00A9615D">
            <w:pPr>
              <w:outlineLvl w:val="1"/>
              <w:rPr>
                <w:rFonts w:ascii="Arial" w:hAnsi="Arial" w:cs="Arial"/>
                <w:sz w:val="20"/>
                <w:szCs w:val="20"/>
                <w:shd w:val="clear" w:color="auto" w:fill="FFFFFF"/>
              </w:rPr>
            </w:pPr>
            <w:r w:rsidRPr="00ED5B2B">
              <w:rPr>
                <w:rFonts w:ascii="Arial" w:hAnsi="Arial" w:cs="Arial"/>
                <w:sz w:val="20"/>
                <w:szCs w:val="20"/>
                <w:shd w:val="clear" w:color="auto" w:fill="FFFFFF"/>
              </w:rPr>
              <w:t>Việt Nam</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2,7</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3,5</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3,8</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4,0</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-0,8</w:t>
            </w:r>
          </w:p>
        </w:tc>
        <w:tc>
          <w:tcPr>
            <w:tcW w:w="90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-0,2</w:t>
            </w:r>
          </w:p>
        </w:tc>
        <w:tc>
          <w:tcPr>
            <w:tcW w:w="810" w:type="dxa"/>
          </w:tcPr>
          <w:p w:rsidR="0086307C" w:rsidRPr="00ED5B2B" w:rsidRDefault="0086307C" w:rsidP="00A9615D">
            <w:pPr>
              <w:jc w:val="center"/>
              <w:outlineLvl w:val="1"/>
              <w:rPr>
                <w:rFonts w:ascii="Arial" w:hAnsi="Arial" w:cs="Arial"/>
                <w:sz w:val="20"/>
                <w:szCs w:val="20"/>
                <w:shd w:val="clear" w:color="auto" w:fill="FFFFFF"/>
              </w:rPr>
            </w:pPr>
            <w:r w:rsidRPr="00ED5B2B">
              <w:rPr>
                <w:rFonts w:ascii="Arial" w:hAnsi="Arial" w:cs="Arial"/>
                <w:sz w:val="20"/>
                <w:szCs w:val="20"/>
                <w:shd w:val="clear" w:color="auto" w:fill="FFFFFF"/>
              </w:rPr>
              <w:t>0,0</w:t>
            </w:r>
          </w:p>
        </w:tc>
      </w:tr>
      <w:tr w:rsidR="0086307C" w:rsidRPr="00ED5B2B" w:rsidTr="00A9615D">
        <w:tc>
          <w:tcPr>
            <w:tcW w:w="3240" w:type="dxa"/>
          </w:tcPr>
          <w:p w:rsidR="0086307C" w:rsidRPr="00ED5B2B" w:rsidRDefault="0086307C" w:rsidP="00A9615D">
            <w:pP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Các quốc đảo và nước nhỏ</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4,0</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3,8</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2,8</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2,7</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-0,4</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-1,4</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-1,4</w:t>
            </w:r>
          </w:p>
        </w:tc>
      </w:tr>
      <w:tr w:rsidR="0086307C" w:rsidRPr="00ED5B2B" w:rsidTr="00A9615D">
        <w:tc>
          <w:tcPr>
            <w:tcW w:w="3240" w:type="dxa"/>
          </w:tcPr>
          <w:p w:rsidR="0086307C" w:rsidRPr="00ED5B2B" w:rsidRDefault="0086307C" w:rsidP="00A9615D">
            <w:pP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Các nước ASEAN</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2,4</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3,0</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3,2</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2,9</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-0,2</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0,0</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-0,3</w:t>
            </w:r>
          </w:p>
        </w:tc>
      </w:tr>
      <w:tr w:rsidR="0086307C" w:rsidRPr="00ED5B2B" w:rsidTr="00A9615D">
        <w:tc>
          <w:tcPr>
            <w:tcW w:w="3240" w:type="dxa"/>
          </w:tcPr>
          <w:p w:rsidR="0086307C" w:rsidRPr="00ED5B2B" w:rsidRDefault="0086307C" w:rsidP="00A9615D">
            <w:pP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ASEAN 5 ***</w:t>
            </w:r>
          </w:p>
        </w:tc>
        <w:tc>
          <w:tcPr>
            <w:tcW w:w="900" w:type="dxa"/>
          </w:tcPr>
          <w:p w:rsidR="0086307C" w:rsidRPr="00ED5B2B" w:rsidRDefault="0086307C" w:rsidP="00A9615D">
            <w:pPr>
              <w:spacing w:after="60"/>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2,2</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2,9</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3,0</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2,7</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-0,1</w:t>
            </w:r>
          </w:p>
        </w:tc>
        <w:tc>
          <w:tcPr>
            <w:tcW w:w="90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0,1</w:t>
            </w:r>
          </w:p>
        </w:tc>
        <w:tc>
          <w:tcPr>
            <w:tcW w:w="810" w:type="dxa"/>
          </w:tcPr>
          <w:p w:rsidR="0086307C" w:rsidRPr="00ED5B2B" w:rsidRDefault="0086307C" w:rsidP="00A9615D">
            <w:pPr>
              <w:jc w:val="center"/>
              <w:outlineLvl w:val="1"/>
              <w:rPr>
                <w:rFonts w:ascii="Arial" w:hAnsi="Arial" w:cs="Arial"/>
                <w:b/>
                <w:i/>
                <w:sz w:val="20"/>
                <w:szCs w:val="20"/>
                <w:shd w:val="clear" w:color="auto" w:fill="FFFFFF"/>
              </w:rPr>
            </w:pPr>
            <w:r w:rsidRPr="00ED5B2B">
              <w:rPr>
                <w:rFonts w:ascii="Arial" w:hAnsi="Arial" w:cs="Arial"/>
                <w:b/>
                <w:i/>
                <w:sz w:val="20"/>
                <w:szCs w:val="20"/>
                <w:shd w:val="clear" w:color="auto" w:fill="FFFFFF"/>
              </w:rPr>
              <w:t>-0,4</w:t>
            </w:r>
          </w:p>
        </w:tc>
      </w:tr>
    </w:tbl>
    <w:p w:rsidR="0086307C" w:rsidRPr="00ED5B2B" w:rsidRDefault="0086307C" w:rsidP="00ED5B2B">
      <w:pPr>
        <w:spacing w:before="60" w:after="0" w:line="240" w:lineRule="auto"/>
        <w:outlineLvl w:val="1"/>
        <w:rPr>
          <w:rFonts w:ascii="Arial" w:hAnsi="Arial" w:cs="Arial"/>
          <w:sz w:val="16"/>
          <w:szCs w:val="16"/>
          <w:shd w:val="clear" w:color="auto" w:fill="FFFFFF"/>
        </w:rPr>
      </w:pPr>
      <w:r w:rsidRPr="00ED5B2B">
        <w:rPr>
          <w:rFonts w:ascii="Arial" w:hAnsi="Arial" w:cs="Arial"/>
          <w:sz w:val="16"/>
          <w:szCs w:val="16"/>
          <w:shd w:val="clear" w:color="auto" w:fill="FFFFFF"/>
        </w:rPr>
        <w:t>Nguồn: IMF tháng 5/2018</w:t>
      </w:r>
      <w:r w:rsidRPr="00ED5B2B">
        <w:rPr>
          <w:rFonts w:ascii="Arial" w:hAnsi="Arial" w:cs="Arial"/>
          <w:sz w:val="16"/>
          <w:szCs w:val="16"/>
          <w:shd w:val="clear" w:color="auto" w:fill="FFFFFF"/>
        </w:rPr>
        <w:tab/>
      </w:r>
    </w:p>
    <w:p w:rsidR="0086307C" w:rsidRPr="00ED5B2B" w:rsidRDefault="0086307C" w:rsidP="00ED5B2B">
      <w:pPr>
        <w:spacing w:after="0" w:line="240" w:lineRule="auto"/>
        <w:outlineLvl w:val="1"/>
        <w:rPr>
          <w:rFonts w:ascii="Arial" w:hAnsi="Arial" w:cs="Arial"/>
          <w:sz w:val="16"/>
          <w:szCs w:val="16"/>
          <w:shd w:val="clear" w:color="auto" w:fill="FFFFFF"/>
        </w:rPr>
      </w:pPr>
      <w:r w:rsidRPr="00ED5B2B">
        <w:rPr>
          <w:rFonts w:ascii="Arial" w:hAnsi="Arial" w:cs="Arial"/>
          <w:sz w:val="16"/>
          <w:szCs w:val="16"/>
          <w:shd w:val="clear" w:color="auto" w:fill="FFFFFF"/>
        </w:rPr>
        <w:t>(*): Tăng giảm so với dự báo tháng10/2017;</w:t>
      </w:r>
    </w:p>
    <w:p w:rsidR="0086307C" w:rsidRPr="00ED5B2B" w:rsidRDefault="0086307C" w:rsidP="00ED5B2B">
      <w:pPr>
        <w:spacing w:after="0" w:line="240" w:lineRule="auto"/>
        <w:outlineLvl w:val="1"/>
        <w:rPr>
          <w:rFonts w:ascii="Arial" w:hAnsi="Arial" w:cs="Arial"/>
          <w:sz w:val="16"/>
          <w:szCs w:val="16"/>
          <w:shd w:val="clear" w:color="auto" w:fill="FFFFFF"/>
        </w:rPr>
      </w:pPr>
      <w:r w:rsidRPr="00ED5B2B">
        <w:rPr>
          <w:rFonts w:ascii="Arial" w:hAnsi="Arial" w:cs="Arial"/>
          <w:sz w:val="16"/>
          <w:szCs w:val="16"/>
          <w:shd w:val="clear" w:color="auto" w:fill="FFFFFF"/>
        </w:rPr>
        <w:t>(**): Không kể các quốc đảo và nước nhỏ;</w:t>
      </w:r>
    </w:p>
    <w:p w:rsidR="0086307C" w:rsidRPr="00ED5B2B" w:rsidRDefault="0086307C" w:rsidP="00ED5B2B">
      <w:pPr>
        <w:spacing w:after="60" w:line="240" w:lineRule="auto"/>
        <w:outlineLvl w:val="1"/>
        <w:rPr>
          <w:rFonts w:ascii="Arial" w:hAnsi="Arial" w:cs="Arial"/>
          <w:sz w:val="16"/>
          <w:szCs w:val="16"/>
          <w:shd w:val="clear" w:color="auto" w:fill="FFFFFF"/>
        </w:rPr>
      </w:pPr>
      <w:r w:rsidRPr="00ED5B2B">
        <w:rPr>
          <w:rFonts w:ascii="Arial" w:hAnsi="Arial" w:cs="Arial"/>
          <w:sz w:val="16"/>
          <w:szCs w:val="16"/>
          <w:shd w:val="clear" w:color="auto" w:fill="FFFFFF"/>
        </w:rPr>
        <w:t xml:space="preserve">(***): Indonesia, Malaysia, Philippines, Singapore, </w:t>
      </w:r>
      <w:proofErr w:type="gramStart"/>
      <w:r w:rsidRPr="00ED5B2B">
        <w:rPr>
          <w:rFonts w:ascii="Arial" w:hAnsi="Arial" w:cs="Arial"/>
          <w:sz w:val="16"/>
          <w:szCs w:val="16"/>
          <w:shd w:val="clear" w:color="auto" w:fill="FFFFFF"/>
        </w:rPr>
        <w:t>Thái</w:t>
      </w:r>
      <w:proofErr w:type="gramEnd"/>
      <w:r w:rsidRPr="00ED5B2B">
        <w:rPr>
          <w:rFonts w:ascii="Arial" w:hAnsi="Arial" w:cs="Arial"/>
          <w:sz w:val="16"/>
          <w:szCs w:val="16"/>
          <w:shd w:val="clear" w:color="auto" w:fill="FFFFFF"/>
        </w:rPr>
        <w:t xml:space="preserve"> Land.</w:t>
      </w:r>
      <w:r w:rsidRPr="00ED5B2B">
        <w:rPr>
          <w:rFonts w:ascii="Arial" w:hAnsi="Arial" w:cs="Arial"/>
          <w:sz w:val="16"/>
          <w:szCs w:val="16"/>
        </w:rPr>
        <w:tab/>
      </w:r>
      <w:r w:rsidRPr="00ED5B2B">
        <w:rPr>
          <w:rFonts w:ascii="Arial" w:hAnsi="Arial" w:cs="Arial"/>
          <w:sz w:val="16"/>
          <w:szCs w:val="16"/>
        </w:rPr>
        <w:tab/>
      </w:r>
      <w:r w:rsidRPr="00ED5B2B">
        <w:rPr>
          <w:rFonts w:ascii="Arial" w:hAnsi="Arial" w:cs="Arial"/>
          <w:sz w:val="16"/>
          <w:szCs w:val="16"/>
        </w:rPr>
        <w:tab/>
        <w:t xml:space="preserve"> </w:t>
      </w:r>
    </w:p>
    <w:p w:rsidR="0086307C" w:rsidRPr="00ED5B2B" w:rsidRDefault="0086307C" w:rsidP="00ED5B2B">
      <w:pPr>
        <w:spacing w:after="60" w:line="240" w:lineRule="auto"/>
        <w:jc w:val="both"/>
        <w:rPr>
          <w:rFonts w:ascii="Arial" w:hAnsi="Arial" w:cs="Arial"/>
          <w:sz w:val="20"/>
          <w:szCs w:val="20"/>
        </w:rPr>
      </w:pPr>
      <w:r w:rsidRPr="00ED5B2B">
        <w:rPr>
          <w:rFonts w:ascii="Arial" w:hAnsi="Arial" w:cs="Arial"/>
          <w:sz w:val="20"/>
          <w:szCs w:val="20"/>
        </w:rPr>
        <w:t>Nguyên nhân chủ yếu của tình trạng lạm phát thấp là do những tác động tạm thời, đặc biệt là lạm phát nhập khẩu. Kết quả ước lượ</w:t>
      </w:r>
      <w:r w:rsidR="00E069D2" w:rsidRPr="00ED5B2B">
        <w:rPr>
          <w:rFonts w:ascii="Arial" w:hAnsi="Arial" w:cs="Arial"/>
          <w:sz w:val="20"/>
          <w:szCs w:val="20"/>
        </w:rPr>
        <w:t>ng dựa trên</w:t>
      </w:r>
      <w:r w:rsidRPr="00ED5B2B">
        <w:rPr>
          <w:rFonts w:ascii="Arial" w:hAnsi="Arial" w:cs="Arial"/>
          <w:sz w:val="20"/>
          <w:szCs w:val="20"/>
        </w:rPr>
        <w:t xml:space="preserve"> đường Phillips cho thấy, giá cả hàng hóa nhập khẩu ở mức thấp đóng góp tới 50% vào mục tiêu lạm phát tại các nước phát triển và phần lớn các nước mới nổi tại châu Á trong những năm gần đây. Hơn nữa, </w:t>
      </w:r>
      <w:r w:rsidR="00E069D2" w:rsidRPr="00ED5B2B">
        <w:rPr>
          <w:rFonts w:ascii="Arial" w:hAnsi="Arial" w:cs="Arial"/>
          <w:sz w:val="20"/>
          <w:szCs w:val="20"/>
        </w:rPr>
        <w:t xml:space="preserve">diễn biến kinh tế tại </w:t>
      </w:r>
      <w:r w:rsidRPr="00ED5B2B">
        <w:rPr>
          <w:rFonts w:ascii="Arial" w:hAnsi="Arial" w:cs="Arial"/>
          <w:sz w:val="20"/>
          <w:szCs w:val="20"/>
        </w:rPr>
        <w:t xml:space="preserve">Trung Quốc </w:t>
      </w:r>
      <w:r w:rsidR="00E069D2" w:rsidRPr="00ED5B2B">
        <w:rPr>
          <w:rFonts w:ascii="Arial" w:hAnsi="Arial" w:cs="Arial"/>
          <w:sz w:val="20"/>
          <w:szCs w:val="20"/>
        </w:rPr>
        <w:t>có tác động đáng kể đến x</w:t>
      </w:r>
      <w:r w:rsidRPr="00ED5B2B">
        <w:rPr>
          <w:rFonts w:ascii="Arial" w:hAnsi="Arial" w:cs="Arial"/>
          <w:sz w:val="20"/>
          <w:szCs w:val="20"/>
        </w:rPr>
        <w:t xml:space="preserve">u hướng lạm phát toàn cầu và khu vực. Nói tổng quát, kết quả phân tích về các yếu tố tạm thời và xu hướng lạm phát cho thấy, các cú sốc tạm thời gây tác động rất lớn đến xu hướng </w:t>
      </w:r>
      <w:r w:rsidR="00E069D2" w:rsidRPr="00ED5B2B">
        <w:rPr>
          <w:rFonts w:ascii="Arial" w:hAnsi="Arial" w:cs="Arial"/>
          <w:sz w:val="20"/>
          <w:szCs w:val="20"/>
        </w:rPr>
        <w:t>lạm phát tăng thấp</w:t>
      </w:r>
      <w:r w:rsidRPr="00ED5B2B">
        <w:rPr>
          <w:rFonts w:ascii="Arial" w:hAnsi="Arial" w:cs="Arial"/>
          <w:sz w:val="20"/>
          <w:szCs w:val="20"/>
        </w:rPr>
        <w:t xml:space="preserve"> tại châu Á trong thời gian qua.  </w:t>
      </w:r>
    </w:p>
    <w:p w:rsidR="0086307C" w:rsidRPr="00ED5B2B" w:rsidRDefault="0086307C" w:rsidP="00ED5B2B">
      <w:pPr>
        <w:spacing w:after="60" w:line="240" w:lineRule="auto"/>
        <w:jc w:val="both"/>
        <w:rPr>
          <w:rFonts w:ascii="Arial" w:hAnsi="Arial" w:cs="Arial"/>
          <w:sz w:val="20"/>
          <w:szCs w:val="20"/>
        </w:rPr>
      </w:pPr>
      <w:r w:rsidRPr="00ED5B2B">
        <w:rPr>
          <w:rFonts w:ascii="Arial" w:hAnsi="Arial" w:cs="Arial"/>
          <w:sz w:val="20"/>
          <w:szCs w:val="20"/>
        </w:rPr>
        <w:lastRenderedPageBreak/>
        <w:t>Tại châu Á, lạm phát thực tế có xu hướng giảm dần, trong khi lạm phát kỳ vọng tương đối ổn định, nhất là tại các nước phát triển và những nước áp dụ</w:t>
      </w:r>
      <w:r w:rsidR="00E069D2" w:rsidRPr="00ED5B2B">
        <w:rPr>
          <w:rFonts w:ascii="Arial" w:hAnsi="Arial" w:cs="Arial"/>
          <w:sz w:val="20"/>
          <w:szCs w:val="20"/>
        </w:rPr>
        <w:t>ng khung</w:t>
      </w:r>
      <w:r w:rsidRPr="00ED5B2B">
        <w:rPr>
          <w:rFonts w:ascii="Arial" w:hAnsi="Arial" w:cs="Arial"/>
          <w:sz w:val="20"/>
          <w:szCs w:val="20"/>
        </w:rPr>
        <w:t xml:space="preserve"> lạm phát mục tiêu. Trong những năm gần đây, lạm phát thực tế không diễn ra như kỳ vọng, đây là diễn biến khác thường so với trước đây. Vì thế, những cú sốc về lạm phát sẽ gây rủi ro rất lớn, thậm chí dẫn đến lạm phát cao trong thời gian kéo dài. </w:t>
      </w:r>
    </w:p>
    <w:p w:rsidR="0086307C" w:rsidRPr="00ED5B2B" w:rsidRDefault="0086307C" w:rsidP="00ED5B2B">
      <w:pPr>
        <w:spacing w:after="60" w:line="240" w:lineRule="auto"/>
        <w:jc w:val="both"/>
        <w:rPr>
          <w:rFonts w:ascii="Arial" w:hAnsi="Arial" w:cs="Arial"/>
          <w:sz w:val="20"/>
          <w:szCs w:val="20"/>
        </w:rPr>
      </w:pPr>
      <w:r w:rsidRPr="00ED5B2B">
        <w:rPr>
          <w:rFonts w:ascii="Arial" w:hAnsi="Arial" w:cs="Arial"/>
          <w:sz w:val="20"/>
          <w:szCs w:val="20"/>
        </w:rPr>
        <w:t>Trong tương lai, lạm phát tại châu Á được dự báo sẽ tăng dần, khi giá cả h</w:t>
      </w:r>
      <w:r w:rsidR="00E069D2" w:rsidRPr="00ED5B2B">
        <w:rPr>
          <w:rFonts w:ascii="Arial" w:hAnsi="Arial" w:cs="Arial"/>
          <w:sz w:val="20"/>
          <w:szCs w:val="20"/>
        </w:rPr>
        <w:t xml:space="preserve">àng hóa </w:t>
      </w:r>
      <w:r w:rsidRPr="00ED5B2B">
        <w:rPr>
          <w:rFonts w:ascii="Arial" w:hAnsi="Arial" w:cs="Arial"/>
          <w:sz w:val="20"/>
          <w:szCs w:val="20"/>
        </w:rPr>
        <w:t xml:space="preserve">và những yếu tố tạm thời </w:t>
      </w:r>
      <w:r w:rsidR="00E069D2" w:rsidRPr="00ED5B2B">
        <w:rPr>
          <w:rFonts w:ascii="Arial" w:hAnsi="Arial" w:cs="Arial"/>
          <w:sz w:val="20"/>
          <w:szCs w:val="20"/>
        </w:rPr>
        <w:t xml:space="preserve">sẽ </w:t>
      </w:r>
      <w:r w:rsidRPr="00ED5B2B">
        <w:rPr>
          <w:rFonts w:ascii="Arial" w:hAnsi="Arial" w:cs="Arial"/>
          <w:sz w:val="20"/>
          <w:szCs w:val="20"/>
        </w:rPr>
        <w:t xml:space="preserve">gây tác động đảo ngược. </w:t>
      </w:r>
      <w:r w:rsidR="00E069D2" w:rsidRPr="00ED5B2B">
        <w:rPr>
          <w:rFonts w:ascii="Arial" w:hAnsi="Arial" w:cs="Arial"/>
          <w:sz w:val="20"/>
          <w:szCs w:val="20"/>
        </w:rPr>
        <w:t>Trong đó, l</w:t>
      </w:r>
      <w:r w:rsidRPr="00ED5B2B">
        <w:rPr>
          <w:rFonts w:ascii="Arial" w:hAnsi="Arial" w:cs="Arial"/>
          <w:sz w:val="20"/>
          <w:szCs w:val="20"/>
        </w:rPr>
        <w:t>ạm phát tăng cao tạ</w:t>
      </w:r>
      <w:r w:rsidR="00E069D2" w:rsidRPr="00ED5B2B">
        <w:rPr>
          <w:rFonts w:ascii="Arial" w:hAnsi="Arial" w:cs="Arial"/>
          <w:sz w:val="20"/>
          <w:szCs w:val="20"/>
        </w:rPr>
        <w:t>i các</w:t>
      </w:r>
      <w:r w:rsidRPr="00ED5B2B">
        <w:rPr>
          <w:rFonts w:ascii="Arial" w:hAnsi="Arial" w:cs="Arial"/>
          <w:sz w:val="20"/>
          <w:szCs w:val="20"/>
        </w:rPr>
        <w:t xml:space="preserve"> nước và khu vực khác trên thế giới cũng như xu hướng mất giá bản tệ trong khu vực có thể khiến rủi ro lạm phát tăng cao. Nếu những rủi ro này trở thành hiện thực, thời kỳ lạm phát cao có thể kéo dài, chi phí chống lạm phát có thể tăng </w:t>
      </w:r>
      <w:r w:rsidR="00E069D2" w:rsidRPr="00ED5B2B">
        <w:rPr>
          <w:rFonts w:ascii="Arial" w:hAnsi="Arial" w:cs="Arial"/>
          <w:sz w:val="20"/>
          <w:szCs w:val="20"/>
        </w:rPr>
        <w:t xml:space="preserve">rất </w:t>
      </w:r>
      <w:r w:rsidRPr="00ED5B2B">
        <w:rPr>
          <w:rFonts w:ascii="Arial" w:hAnsi="Arial" w:cs="Arial"/>
          <w:sz w:val="20"/>
          <w:szCs w:val="20"/>
        </w:rPr>
        <w:t>cao.</w:t>
      </w:r>
    </w:p>
    <w:p w:rsidR="0086307C" w:rsidRPr="00ED5B2B" w:rsidRDefault="0086307C" w:rsidP="00ED5B2B">
      <w:pPr>
        <w:spacing w:after="60" w:line="240" w:lineRule="auto"/>
        <w:jc w:val="both"/>
        <w:rPr>
          <w:rFonts w:ascii="Arial" w:hAnsi="Arial" w:cs="Arial"/>
          <w:sz w:val="20"/>
          <w:szCs w:val="20"/>
        </w:rPr>
      </w:pPr>
      <w:r w:rsidRPr="00ED5B2B">
        <w:rPr>
          <w:rFonts w:ascii="Arial" w:hAnsi="Arial" w:cs="Arial"/>
          <w:sz w:val="20"/>
          <w:szCs w:val="20"/>
        </w:rPr>
        <w:t xml:space="preserve">Kết quả phân tích cho thấy, lạm phát thấp do giá hàng hóa nhập khẩu tăng chậm cũng có mối liên hệ với xu hướng trì trệ trong ngành chế tạo tại Trung Quốc, Nhật Bản, và Hoa Kỳ. So với dự báo tháng 10/2017, các chuyên gia IMF đã điều chỉnh nâng dự báo tăng trưởng GDP năm 2018-2019 tại Trung Quốc, và điều này sẽ gây áp lực tăng lạm phát tại châu Á. </w:t>
      </w:r>
      <w:r w:rsidR="004D578D" w:rsidRPr="00ED5B2B">
        <w:rPr>
          <w:rFonts w:ascii="Arial" w:hAnsi="Arial" w:cs="Arial"/>
          <w:sz w:val="20"/>
          <w:szCs w:val="20"/>
        </w:rPr>
        <w:t>Ngoài ra</w:t>
      </w:r>
      <w:r w:rsidRPr="00ED5B2B">
        <w:rPr>
          <w:rFonts w:ascii="Arial" w:hAnsi="Arial" w:cs="Arial"/>
          <w:sz w:val="20"/>
          <w:szCs w:val="20"/>
        </w:rPr>
        <w:t xml:space="preserve">, các nền kinh tế châu Á rất dễ bị tổn thương trước diễn biến của chu kỳ giá cả hàng hóa và xu hướng cạnh tranh toàn cầu, và lạm phát thấp trong thời gian qua chủ yếu là do xu hướng giảm thấp của giá cả các mặt hàng nhập khẩu. Nếu lạm phát tại Mỹ và giá cả hàng hóa tăng cao, lạm phát tại châu Á sẽ tăng rõ rệt, các nước châu Á sẽ phải cắt giảm nhu cầu chi tiêu trong nước nhằm kiềm chế và đưa lạm phát giảm về tỷ lệ mục tiêu đề ra.   </w:t>
      </w:r>
    </w:p>
    <w:p w:rsidR="0086307C" w:rsidRPr="00ED5B2B" w:rsidRDefault="0086307C" w:rsidP="00ED5B2B">
      <w:pPr>
        <w:spacing w:after="60" w:line="240" w:lineRule="auto"/>
        <w:jc w:val="both"/>
        <w:rPr>
          <w:rFonts w:ascii="Arial" w:hAnsi="Arial" w:cs="Arial"/>
          <w:sz w:val="20"/>
          <w:szCs w:val="20"/>
        </w:rPr>
      </w:pPr>
      <w:r w:rsidRPr="00ED5B2B">
        <w:rPr>
          <w:rFonts w:ascii="Arial" w:hAnsi="Arial" w:cs="Arial"/>
          <w:sz w:val="20"/>
          <w:szCs w:val="20"/>
        </w:rPr>
        <w:t xml:space="preserve">Các chuyên gia IMF khuyến nghị, các ngân hàng trung ương (NHTW) tại châu Á cần tỉnh táo và kịp thời phản ứng trước những tín hiệu về áp lực lạm phát, </w:t>
      </w:r>
      <w:r w:rsidR="004D578D" w:rsidRPr="00ED5B2B">
        <w:rPr>
          <w:rFonts w:ascii="Arial" w:hAnsi="Arial" w:cs="Arial"/>
          <w:sz w:val="20"/>
          <w:szCs w:val="20"/>
        </w:rPr>
        <w:t xml:space="preserve">trong đó </w:t>
      </w:r>
      <w:r w:rsidRPr="00ED5B2B">
        <w:rPr>
          <w:rFonts w:ascii="Arial" w:hAnsi="Arial" w:cs="Arial"/>
          <w:sz w:val="20"/>
          <w:szCs w:val="20"/>
        </w:rPr>
        <w:t>c</w:t>
      </w:r>
      <w:r w:rsidR="004D578D" w:rsidRPr="00ED5B2B">
        <w:rPr>
          <w:rFonts w:ascii="Arial" w:hAnsi="Arial" w:cs="Arial"/>
          <w:sz w:val="20"/>
          <w:szCs w:val="20"/>
        </w:rPr>
        <w:t>ó</w:t>
      </w:r>
      <w:r w:rsidRPr="00ED5B2B">
        <w:rPr>
          <w:rFonts w:ascii="Arial" w:hAnsi="Arial" w:cs="Arial"/>
          <w:sz w:val="20"/>
          <w:szCs w:val="20"/>
        </w:rPr>
        <w:t xml:space="preserve"> nh</w:t>
      </w:r>
      <w:r w:rsidR="004D578D" w:rsidRPr="00ED5B2B">
        <w:rPr>
          <w:rFonts w:ascii="Arial" w:hAnsi="Arial" w:cs="Arial"/>
          <w:sz w:val="20"/>
          <w:szCs w:val="20"/>
        </w:rPr>
        <w:t>iều</w:t>
      </w:r>
      <w:r w:rsidRPr="00ED5B2B">
        <w:rPr>
          <w:rFonts w:ascii="Arial" w:hAnsi="Arial" w:cs="Arial"/>
          <w:sz w:val="20"/>
          <w:szCs w:val="20"/>
        </w:rPr>
        <w:t xml:space="preserve"> yếu tố mang tính toàn cầu. Một khi lạm phát tăng đột ngột, thời kỳ lạm phát cao có thể kéo dài, và chi phí xử lý lạm phát sẻ rất lớ</w:t>
      </w:r>
      <w:r w:rsidR="004D578D" w:rsidRPr="00ED5B2B">
        <w:rPr>
          <w:rFonts w:ascii="Arial" w:hAnsi="Arial" w:cs="Arial"/>
          <w:sz w:val="20"/>
          <w:szCs w:val="20"/>
        </w:rPr>
        <w:t>n, nhất là trong trường hợp</w:t>
      </w:r>
      <w:r w:rsidRPr="00ED5B2B">
        <w:rPr>
          <w:rFonts w:ascii="Arial" w:hAnsi="Arial" w:cs="Arial"/>
          <w:sz w:val="20"/>
          <w:szCs w:val="20"/>
        </w:rPr>
        <w:t xml:space="preserve"> lạm phát không còn nhạy cảm với tình trạng thất nghiệp. Các NHTW cần củng cố khung khổ chính sách tiền tệ và tăng </w:t>
      </w:r>
      <w:r w:rsidR="004D578D" w:rsidRPr="00ED5B2B">
        <w:rPr>
          <w:rFonts w:ascii="Arial" w:hAnsi="Arial" w:cs="Arial"/>
          <w:sz w:val="20"/>
          <w:szCs w:val="20"/>
        </w:rPr>
        <w:t xml:space="preserve">cường </w:t>
      </w:r>
      <w:r w:rsidRPr="00ED5B2B">
        <w:rPr>
          <w:rFonts w:ascii="Arial" w:hAnsi="Arial" w:cs="Arial"/>
          <w:sz w:val="20"/>
          <w:szCs w:val="20"/>
        </w:rPr>
        <w:t xml:space="preserve">dự địa chính sách, đồng thời </w:t>
      </w:r>
      <w:r w:rsidR="004D578D" w:rsidRPr="00ED5B2B">
        <w:rPr>
          <w:rFonts w:ascii="Arial" w:hAnsi="Arial" w:cs="Arial"/>
          <w:sz w:val="20"/>
          <w:szCs w:val="20"/>
        </w:rPr>
        <w:t>đẩy mạnh</w:t>
      </w:r>
      <w:r w:rsidRPr="00ED5B2B">
        <w:rPr>
          <w:rFonts w:ascii="Arial" w:hAnsi="Arial" w:cs="Arial"/>
          <w:sz w:val="20"/>
          <w:szCs w:val="20"/>
        </w:rPr>
        <w:t xml:space="preserve"> các hoạt động truyền thông, qua đó sẽ</w:t>
      </w:r>
      <w:r w:rsidR="004D578D" w:rsidRPr="00ED5B2B">
        <w:rPr>
          <w:rFonts w:ascii="Arial" w:hAnsi="Arial" w:cs="Arial"/>
          <w:sz w:val="20"/>
          <w:szCs w:val="20"/>
        </w:rPr>
        <w:t xml:space="preserve"> nâ</w:t>
      </w:r>
      <w:r w:rsidRPr="00ED5B2B">
        <w:rPr>
          <w:rFonts w:ascii="Arial" w:hAnsi="Arial" w:cs="Arial"/>
          <w:sz w:val="20"/>
          <w:szCs w:val="20"/>
        </w:rPr>
        <w:t xml:space="preserve">ng </w:t>
      </w:r>
      <w:r w:rsidR="004D578D" w:rsidRPr="00ED5B2B">
        <w:rPr>
          <w:rFonts w:ascii="Arial" w:hAnsi="Arial" w:cs="Arial"/>
          <w:sz w:val="20"/>
          <w:szCs w:val="20"/>
        </w:rPr>
        <w:t xml:space="preserve">cao </w:t>
      </w:r>
      <w:r w:rsidRPr="00ED5B2B">
        <w:rPr>
          <w:rFonts w:ascii="Arial" w:hAnsi="Arial" w:cs="Arial"/>
          <w:sz w:val="20"/>
          <w:szCs w:val="20"/>
        </w:rPr>
        <w:t xml:space="preserve">vai trò của công tác dự báo trong việc dẫn dắt lạm phát và tăng dần mức độ </w:t>
      </w:r>
      <w:r w:rsidR="004D578D" w:rsidRPr="00ED5B2B">
        <w:rPr>
          <w:rFonts w:ascii="Arial" w:hAnsi="Arial" w:cs="Arial"/>
          <w:sz w:val="20"/>
          <w:szCs w:val="20"/>
        </w:rPr>
        <w:t xml:space="preserve">phù hợp giữa </w:t>
      </w:r>
      <w:r w:rsidRPr="00ED5B2B">
        <w:rPr>
          <w:rFonts w:ascii="Arial" w:hAnsi="Arial" w:cs="Arial"/>
          <w:sz w:val="20"/>
          <w:szCs w:val="20"/>
        </w:rPr>
        <w:t>các kỳ vọng lạ</w:t>
      </w:r>
      <w:r w:rsidR="004D578D" w:rsidRPr="00ED5B2B">
        <w:rPr>
          <w:rFonts w:ascii="Arial" w:hAnsi="Arial" w:cs="Arial"/>
          <w:sz w:val="20"/>
          <w:szCs w:val="20"/>
        </w:rPr>
        <w:t>m phát</w:t>
      </w:r>
      <w:r w:rsidRPr="00ED5B2B">
        <w:rPr>
          <w:rFonts w:ascii="Arial" w:hAnsi="Arial" w:cs="Arial"/>
          <w:sz w:val="20"/>
          <w:szCs w:val="20"/>
        </w:rPr>
        <w:t xml:space="preserve"> v</w:t>
      </w:r>
      <w:r w:rsidR="004D578D" w:rsidRPr="00ED5B2B">
        <w:rPr>
          <w:rFonts w:ascii="Arial" w:hAnsi="Arial" w:cs="Arial"/>
          <w:sz w:val="20"/>
          <w:szCs w:val="20"/>
        </w:rPr>
        <w:t>à</w:t>
      </w:r>
      <w:r w:rsidRPr="00ED5B2B">
        <w:rPr>
          <w:rFonts w:ascii="Arial" w:hAnsi="Arial" w:cs="Arial"/>
          <w:sz w:val="20"/>
          <w:szCs w:val="20"/>
        </w:rPr>
        <w:t xml:space="preserve"> mục tiêu </w:t>
      </w:r>
      <w:r w:rsidR="004D578D" w:rsidRPr="00ED5B2B">
        <w:rPr>
          <w:rFonts w:ascii="Arial" w:hAnsi="Arial" w:cs="Arial"/>
          <w:sz w:val="20"/>
          <w:szCs w:val="20"/>
        </w:rPr>
        <w:t xml:space="preserve">lạm phát </w:t>
      </w:r>
      <w:r w:rsidRPr="00ED5B2B">
        <w:rPr>
          <w:rFonts w:ascii="Arial" w:hAnsi="Arial" w:cs="Arial"/>
          <w:sz w:val="20"/>
          <w:szCs w:val="20"/>
        </w:rPr>
        <w:t>đề ra. Để hạn chế tác động của lạm phát nhập khẩu, tỷ giá được coi là công cụ điều chỉnh linh hoạt nhất. Điều này đòi hỏi các NHTW phải tăng cường tính linh hoạt của tỷ giá, qua đó sẽ tránh được tác động của lạm phát nhập khẩu đến thị trường trong nước.</w:t>
      </w:r>
      <w:r w:rsidR="006C56A6" w:rsidRPr="00ED5B2B">
        <w:rPr>
          <w:rFonts w:ascii="Arial" w:hAnsi="Arial" w:cs="Arial"/>
          <w:sz w:val="20"/>
          <w:szCs w:val="20"/>
        </w:rPr>
        <w:t xml:space="preserve"> </w:t>
      </w:r>
      <w:r w:rsidRPr="00ED5B2B">
        <w:rPr>
          <w:rFonts w:ascii="Arial" w:hAnsi="Arial" w:cs="Arial"/>
          <w:sz w:val="20"/>
          <w:szCs w:val="20"/>
        </w:rPr>
        <w:t>Trong những năm tới, chương trình cải cách thuế sẽ làm chi tiêu, lạm phát tại Mỹ được dự báo sẽ tăng cao do GDP tại Mỹ sẽ tăng trên tốc độ tăng trưởng tiềm năng. Trong bối cảnh đó, các nước châu Á cần tăng cường tính độc lập về chính sách tiền tệ nhằm kiềm chế áp lực lạm phát bắt nguồn từ Mỹ.</w:t>
      </w:r>
    </w:p>
    <w:p w:rsidR="00A53D4F" w:rsidRPr="00ED5B2B" w:rsidRDefault="00A53D4F" w:rsidP="00ED5B2B">
      <w:pPr>
        <w:spacing w:after="60" w:line="240" w:lineRule="auto"/>
        <w:jc w:val="both"/>
        <w:rPr>
          <w:rFonts w:ascii="Arial" w:hAnsi="Arial" w:cs="Arial"/>
          <w:b/>
          <w:i/>
          <w:sz w:val="20"/>
          <w:szCs w:val="20"/>
        </w:rPr>
      </w:pPr>
      <w:r w:rsidRPr="00ED5B2B">
        <w:rPr>
          <w:rFonts w:ascii="Arial" w:hAnsi="Arial" w:cs="Arial"/>
          <w:b/>
          <w:i/>
          <w:sz w:val="20"/>
          <w:szCs w:val="20"/>
        </w:rPr>
        <w:t>Hoàng Thế Thỏa</w:t>
      </w:r>
    </w:p>
    <w:p w:rsidR="00B42D96" w:rsidRPr="00ED5B2B" w:rsidRDefault="0086307C" w:rsidP="00ED5B2B">
      <w:pPr>
        <w:spacing w:after="60" w:line="240" w:lineRule="auto"/>
        <w:jc w:val="both"/>
        <w:rPr>
          <w:rFonts w:ascii="Arial" w:hAnsi="Arial" w:cs="Arial"/>
          <w:i/>
          <w:sz w:val="20"/>
          <w:szCs w:val="20"/>
        </w:rPr>
      </w:pPr>
      <w:r w:rsidRPr="00ED5B2B">
        <w:rPr>
          <w:rFonts w:ascii="Arial" w:hAnsi="Arial" w:cs="Arial"/>
          <w:i/>
          <w:sz w:val="20"/>
          <w:szCs w:val="20"/>
        </w:rPr>
        <w:t>Nguồn: IMF tháng 5/2018</w:t>
      </w:r>
    </w:p>
    <w:sectPr w:rsidR="00B42D96" w:rsidRPr="00ED5B2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9E" w:rsidRDefault="00A9029E" w:rsidP="00E069D2">
      <w:pPr>
        <w:spacing w:after="0" w:line="240" w:lineRule="auto"/>
      </w:pPr>
      <w:r>
        <w:separator/>
      </w:r>
    </w:p>
  </w:endnote>
  <w:endnote w:type="continuationSeparator" w:id="0">
    <w:p w:rsidR="00A9029E" w:rsidRDefault="00A9029E" w:rsidP="00E0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654536"/>
      <w:docPartObj>
        <w:docPartGallery w:val="Page Numbers (Bottom of Page)"/>
        <w:docPartUnique/>
      </w:docPartObj>
    </w:sdtPr>
    <w:sdtEndPr>
      <w:rPr>
        <w:noProof/>
      </w:rPr>
    </w:sdtEndPr>
    <w:sdtContent>
      <w:p w:rsidR="00E069D2" w:rsidRDefault="00E069D2">
        <w:pPr>
          <w:pStyle w:val="Footer"/>
          <w:jc w:val="right"/>
        </w:pPr>
        <w:r>
          <w:fldChar w:fldCharType="begin"/>
        </w:r>
        <w:r>
          <w:instrText xml:space="preserve"> PAGE   \* MERGEFORMAT </w:instrText>
        </w:r>
        <w:r>
          <w:fldChar w:fldCharType="separate"/>
        </w:r>
        <w:r w:rsidR="007731FF">
          <w:rPr>
            <w:noProof/>
          </w:rPr>
          <w:t>2</w:t>
        </w:r>
        <w:r>
          <w:rPr>
            <w:noProof/>
          </w:rPr>
          <w:fldChar w:fldCharType="end"/>
        </w:r>
      </w:p>
    </w:sdtContent>
  </w:sdt>
  <w:p w:rsidR="00E069D2" w:rsidRDefault="00E06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9E" w:rsidRDefault="00A9029E" w:rsidP="00E069D2">
      <w:pPr>
        <w:spacing w:after="0" w:line="240" w:lineRule="auto"/>
      </w:pPr>
      <w:r>
        <w:separator/>
      </w:r>
    </w:p>
  </w:footnote>
  <w:footnote w:type="continuationSeparator" w:id="0">
    <w:p w:rsidR="00A9029E" w:rsidRDefault="00A9029E" w:rsidP="00E06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7C"/>
    <w:rsid w:val="00057D6C"/>
    <w:rsid w:val="00477CE4"/>
    <w:rsid w:val="004D578D"/>
    <w:rsid w:val="006C56A6"/>
    <w:rsid w:val="007731FF"/>
    <w:rsid w:val="0086307C"/>
    <w:rsid w:val="00A53D4F"/>
    <w:rsid w:val="00A9029E"/>
    <w:rsid w:val="00B00E29"/>
    <w:rsid w:val="00B42D96"/>
    <w:rsid w:val="00BA13D9"/>
    <w:rsid w:val="00E069D2"/>
    <w:rsid w:val="00ED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01D51-CEE0-4DC5-A336-0B6AFBF8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9D2"/>
  </w:style>
  <w:style w:type="paragraph" w:styleId="Footer">
    <w:name w:val="footer"/>
    <w:basedOn w:val="Normal"/>
    <w:link w:val="FooterChar"/>
    <w:uiPriority w:val="99"/>
    <w:unhideWhenUsed/>
    <w:rsid w:val="00E0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2018-05-15T09:29:00Z</dcterms:created>
  <dcterms:modified xsi:type="dcterms:W3CDTF">2018-05-15T09:30:00Z</dcterms:modified>
</cp:coreProperties>
</file>