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13" w:rsidRPr="00C830FE" w:rsidRDefault="00134846" w:rsidP="00C830FE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C830FE">
        <w:rPr>
          <w:rFonts w:ascii="Arial" w:hAnsi="Arial" w:cs="Arial"/>
          <w:sz w:val="20"/>
          <w:szCs w:val="20"/>
        </w:rPr>
        <w:t>Cụ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thể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là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s</w:t>
      </w:r>
      <w:r w:rsidR="003C1F20" w:rsidRPr="00C830FE">
        <w:rPr>
          <w:rFonts w:ascii="Arial" w:hAnsi="Arial" w:cs="Arial"/>
          <w:sz w:val="20"/>
          <w:szCs w:val="20"/>
        </w:rPr>
        <w:t>au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khi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1,7%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tháng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5/2018, </w:t>
      </w:r>
      <w:proofErr w:type="spellStart"/>
      <w:r w:rsidR="00395059" w:rsidRPr="00C830FE">
        <w:rPr>
          <w:rFonts w:ascii="Arial" w:hAnsi="Arial" w:cs="Arial"/>
          <w:sz w:val="20"/>
          <w:szCs w:val="20"/>
        </w:rPr>
        <w:t>chỉ</w:t>
      </w:r>
      <w:proofErr w:type="spellEnd"/>
      <w:r w:rsidR="0039505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5059" w:rsidRPr="00C830FE">
        <w:rPr>
          <w:rFonts w:ascii="Arial" w:hAnsi="Arial" w:cs="Arial"/>
          <w:sz w:val="20"/>
          <w:szCs w:val="20"/>
        </w:rPr>
        <w:t>số</w:t>
      </w:r>
      <w:proofErr w:type="spellEnd"/>
      <w:r w:rsidR="00395059" w:rsidRPr="00C830FE">
        <w:rPr>
          <w:rFonts w:ascii="Arial" w:hAnsi="Arial" w:cs="Arial"/>
          <w:sz w:val="20"/>
          <w:szCs w:val="20"/>
        </w:rPr>
        <w:t xml:space="preserve"> USD index </w:t>
      </w:r>
      <w:proofErr w:type="spellStart"/>
      <w:r w:rsidR="00395059" w:rsidRPr="00C830FE">
        <w:rPr>
          <w:rFonts w:ascii="Arial" w:hAnsi="Arial" w:cs="Arial"/>
          <w:sz w:val="20"/>
          <w:szCs w:val="20"/>
        </w:rPr>
        <w:t>tại</w:t>
      </w:r>
      <w:proofErr w:type="spellEnd"/>
      <w:r w:rsidR="0039505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5059" w:rsidRPr="00C830FE">
        <w:rPr>
          <w:rFonts w:ascii="Arial" w:hAnsi="Arial" w:cs="Arial"/>
          <w:sz w:val="20"/>
          <w:szCs w:val="20"/>
        </w:rPr>
        <w:t>Phố</w:t>
      </w:r>
      <w:proofErr w:type="spellEnd"/>
      <w:r w:rsidR="00395059" w:rsidRPr="00C830FE">
        <w:rPr>
          <w:rFonts w:ascii="Arial" w:hAnsi="Arial" w:cs="Arial"/>
          <w:sz w:val="20"/>
          <w:szCs w:val="20"/>
        </w:rPr>
        <w:t xml:space="preserve"> Wall </w:t>
      </w:r>
      <w:proofErr w:type="spellStart"/>
      <w:r w:rsidR="00EF2813" w:rsidRPr="00C830FE">
        <w:rPr>
          <w:rFonts w:ascii="Arial" w:hAnsi="Arial" w:cs="Arial"/>
          <w:sz w:val="20"/>
          <w:szCs w:val="20"/>
        </w:rPr>
        <w:t>tiếp</w:t>
      </w:r>
      <w:proofErr w:type="spellEnd"/>
      <w:r w:rsidR="00EF2813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813" w:rsidRPr="00C830FE">
        <w:rPr>
          <w:rFonts w:ascii="Arial" w:hAnsi="Arial" w:cs="Arial"/>
          <w:sz w:val="20"/>
          <w:szCs w:val="20"/>
        </w:rPr>
        <w:t>tục</w:t>
      </w:r>
      <w:proofErr w:type="spellEnd"/>
      <w:r w:rsidR="00EF2813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0,3%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lên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87,26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điểm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phiên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giao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dịch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cuối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tuần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C1F20" w:rsidRPr="00C830FE">
        <w:rPr>
          <w:rFonts w:ascii="Arial" w:hAnsi="Arial" w:cs="Arial"/>
          <w:sz w:val="20"/>
          <w:szCs w:val="20"/>
        </w:rPr>
        <w:t>ngày</w:t>
      </w:r>
      <w:proofErr w:type="spellEnd"/>
      <w:r w:rsidR="003C1F20" w:rsidRPr="00C830FE">
        <w:rPr>
          <w:rFonts w:ascii="Arial" w:hAnsi="Arial" w:cs="Arial"/>
          <w:sz w:val="20"/>
          <w:szCs w:val="20"/>
        </w:rPr>
        <w:t xml:space="preserve"> 01/6/2018</w:t>
      </w:r>
      <w:r w:rsidR="00D71CCD" w:rsidRPr="00C830FE">
        <w:rPr>
          <w:rFonts w:ascii="Arial" w:hAnsi="Arial" w:cs="Arial"/>
          <w:sz w:val="20"/>
          <w:szCs w:val="20"/>
        </w:rPr>
        <w:t>)</w:t>
      </w:r>
      <w:r w:rsidR="00B030B7" w:rsidRPr="00C830F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Đây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là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mức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giá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cao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nhất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tháng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qua,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mặc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dù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thẳng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thương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mại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có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xu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hướng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cao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trên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toàn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cầu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ngay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cả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giữa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Mỹ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các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nước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đồng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tại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châu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Âu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và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Bắc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Mỹ</w:t>
      </w:r>
      <w:proofErr w:type="spellEnd"/>
      <w:r w:rsidRPr="00C830FE">
        <w:rPr>
          <w:rFonts w:ascii="Arial" w:hAnsi="Arial" w:cs="Arial"/>
          <w:sz w:val="20"/>
          <w:szCs w:val="20"/>
        </w:rPr>
        <w:t>.</w:t>
      </w:r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Tính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chung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CCD" w:rsidRPr="00C830FE">
        <w:rPr>
          <w:rFonts w:ascii="Arial" w:hAnsi="Arial" w:cs="Arial"/>
          <w:sz w:val="20"/>
          <w:szCs w:val="20"/>
        </w:rPr>
        <w:t>tháng</w:t>
      </w:r>
      <w:proofErr w:type="spellEnd"/>
      <w:r w:rsidR="00D71CCD" w:rsidRPr="00C830FE">
        <w:rPr>
          <w:rFonts w:ascii="Arial" w:hAnsi="Arial" w:cs="Arial"/>
          <w:sz w:val="20"/>
          <w:szCs w:val="20"/>
        </w:rPr>
        <w:t xml:space="preserve"> 5/2018</w:t>
      </w:r>
      <w:r w:rsidR="00335A7F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chỉ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số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USD index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1</w:t>
      </w:r>
      <w:proofErr w:type="gramStart"/>
      <w:r w:rsidR="007A7742" w:rsidRPr="00C830FE">
        <w:rPr>
          <w:rFonts w:ascii="Arial" w:hAnsi="Arial" w:cs="Arial"/>
          <w:sz w:val="20"/>
          <w:szCs w:val="20"/>
        </w:rPr>
        <w:t>,7</w:t>
      </w:r>
      <w:proofErr w:type="gramEnd"/>
      <w:r w:rsidR="007A7742" w:rsidRPr="00C830FE">
        <w:rPr>
          <w:rFonts w:ascii="Arial" w:hAnsi="Arial" w:cs="Arial"/>
          <w:sz w:val="20"/>
          <w:szCs w:val="20"/>
        </w:rPr>
        <w:t xml:space="preserve">%.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đó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5A7F" w:rsidRPr="00C830FE">
        <w:rPr>
          <w:rFonts w:ascii="Arial" w:hAnsi="Arial" w:cs="Arial"/>
          <w:sz w:val="20"/>
          <w:szCs w:val="20"/>
        </w:rPr>
        <w:t>đồng</w:t>
      </w:r>
      <w:proofErr w:type="spellEnd"/>
      <w:r w:rsidR="00335A7F" w:rsidRPr="00C830FE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="00335A7F" w:rsidRPr="00C830FE">
        <w:rPr>
          <w:rFonts w:ascii="Arial" w:hAnsi="Arial" w:cs="Arial"/>
          <w:sz w:val="20"/>
          <w:szCs w:val="20"/>
        </w:rPr>
        <w:t>giảm</w:t>
      </w:r>
      <w:proofErr w:type="spellEnd"/>
      <w:r w:rsidR="00335A7F" w:rsidRPr="00C830FE">
        <w:rPr>
          <w:rFonts w:ascii="Arial" w:hAnsi="Arial" w:cs="Arial"/>
          <w:sz w:val="20"/>
          <w:szCs w:val="20"/>
        </w:rPr>
        <w:t xml:space="preserve"> 3</w:t>
      </w:r>
      <w:proofErr w:type="gramStart"/>
      <w:r w:rsidR="007A7742" w:rsidRPr="00C830FE">
        <w:rPr>
          <w:rFonts w:ascii="Arial" w:hAnsi="Arial" w:cs="Arial"/>
          <w:sz w:val="20"/>
          <w:szCs w:val="20"/>
        </w:rPr>
        <w:t>,2</w:t>
      </w:r>
      <w:proofErr w:type="gramEnd"/>
      <w:r w:rsidR="00335A7F" w:rsidRPr="00C830FE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xuống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1,1694 USD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vào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cuối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ngày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31/5</w:t>
      </w:r>
      <w:r w:rsidR="00335A7F" w:rsidRPr="00C830FE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35A7F" w:rsidRPr="00C830FE">
        <w:rPr>
          <w:rFonts w:ascii="Arial" w:hAnsi="Arial" w:cs="Arial"/>
          <w:sz w:val="20"/>
          <w:szCs w:val="20"/>
        </w:rPr>
        <w:t>bảng</w:t>
      </w:r>
      <w:proofErr w:type="spellEnd"/>
      <w:r w:rsidR="00335A7F" w:rsidRPr="00C830FE">
        <w:rPr>
          <w:rFonts w:ascii="Arial" w:hAnsi="Arial" w:cs="Arial"/>
          <w:sz w:val="20"/>
          <w:szCs w:val="20"/>
        </w:rPr>
        <w:t xml:space="preserve"> Anh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giảm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3,4%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xuống</w:t>
      </w:r>
      <w:proofErr w:type="spellEnd"/>
      <w:r w:rsidR="00335A7F" w:rsidRPr="00C830FE">
        <w:rPr>
          <w:rFonts w:ascii="Arial" w:hAnsi="Arial" w:cs="Arial"/>
          <w:sz w:val="20"/>
          <w:szCs w:val="20"/>
        </w:rPr>
        <w:t xml:space="preserve"> </w:t>
      </w:r>
      <w:r w:rsidRPr="00C830FE">
        <w:rPr>
          <w:rFonts w:ascii="Arial" w:hAnsi="Arial" w:cs="Arial"/>
          <w:sz w:val="20"/>
          <w:szCs w:val="20"/>
        </w:rPr>
        <w:t>1,3295 USD</w:t>
      </w:r>
      <w:r w:rsidR="007A7742" w:rsidRPr="00C830FE">
        <w:rPr>
          <w:rFonts w:ascii="Arial" w:hAnsi="Arial" w:cs="Arial"/>
          <w:sz w:val="20"/>
          <w:szCs w:val="20"/>
        </w:rPr>
        <w:t xml:space="preserve">; </w:t>
      </w:r>
      <w:r w:rsidRPr="00C830FE">
        <w:rPr>
          <w:rFonts w:ascii="Arial" w:hAnsi="Arial" w:cs="Arial"/>
          <w:sz w:val="20"/>
          <w:szCs w:val="20"/>
        </w:rPr>
        <w:t xml:space="preserve">USD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nhẹ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r w:rsidR="00EF2813" w:rsidRPr="00C830FE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EF2813" w:rsidRPr="00C830FE">
        <w:rPr>
          <w:rFonts w:ascii="Arial" w:hAnsi="Arial" w:cs="Arial"/>
          <w:sz w:val="20"/>
          <w:szCs w:val="20"/>
        </w:rPr>
        <w:t>v</w:t>
      </w:r>
      <w:r w:rsidRPr="00C830FE">
        <w:rPr>
          <w:rFonts w:ascii="Arial" w:hAnsi="Arial" w:cs="Arial"/>
          <w:sz w:val="20"/>
          <w:szCs w:val="20"/>
        </w:rPr>
        <w:t>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dollar Canada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lên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1,2959 CAD</w:t>
      </w:r>
      <w:r w:rsidR="00EF2813" w:rsidRPr="00C830FE">
        <w:rPr>
          <w:rFonts w:ascii="Arial" w:hAnsi="Arial" w:cs="Arial"/>
          <w:sz w:val="20"/>
          <w:szCs w:val="20"/>
        </w:rPr>
        <w:t xml:space="preserve"> (0,53%)</w:t>
      </w:r>
      <w:r w:rsidR="007A7742" w:rsidRPr="00C830FE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mạnh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r w:rsidR="00EF2813" w:rsidRPr="00C830FE">
        <w:rPr>
          <w:rFonts w:ascii="Arial" w:hAnsi="Arial" w:cs="Arial"/>
          <w:sz w:val="20"/>
          <w:szCs w:val="20"/>
        </w:rPr>
        <w:t xml:space="preserve">2,4% </w:t>
      </w:r>
      <w:r w:rsidR="007A7742" w:rsidRPr="00C830FE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với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peso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Mêhicô</w:t>
      </w:r>
      <w:proofErr w:type="spellEnd"/>
      <w:r w:rsidR="007A7742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742" w:rsidRPr="00C830FE">
        <w:rPr>
          <w:rFonts w:ascii="Arial" w:hAnsi="Arial" w:cs="Arial"/>
          <w:sz w:val="20"/>
          <w:szCs w:val="20"/>
        </w:rPr>
        <w:t>lên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19,</w:t>
      </w:r>
      <w:r w:rsidR="00EF2813" w:rsidRPr="00C830FE">
        <w:rPr>
          <w:rFonts w:ascii="Arial" w:hAnsi="Arial" w:cs="Arial"/>
          <w:sz w:val="20"/>
          <w:szCs w:val="20"/>
        </w:rPr>
        <w:t>9089</w:t>
      </w:r>
      <w:r w:rsidR="00A25F49" w:rsidRPr="00C830FE">
        <w:rPr>
          <w:rFonts w:ascii="Arial" w:hAnsi="Arial" w:cs="Arial"/>
          <w:sz w:val="20"/>
          <w:szCs w:val="20"/>
        </w:rPr>
        <w:t xml:space="preserve"> MXN</w:t>
      </w:r>
      <w:r w:rsidR="00EF2813" w:rsidRPr="00C830FE">
        <w:rPr>
          <w:rFonts w:ascii="Arial" w:hAnsi="Arial" w:cs="Arial"/>
          <w:sz w:val="20"/>
          <w:szCs w:val="20"/>
        </w:rPr>
        <w:t>.</w:t>
      </w:r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Tuy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nhiên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, USD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giảm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0</w:t>
      </w:r>
      <w:proofErr w:type="gramStart"/>
      <w:r w:rsidR="00B030B7" w:rsidRPr="00C830FE">
        <w:rPr>
          <w:rFonts w:ascii="Arial" w:hAnsi="Arial" w:cs="Arial"/>
          <w:sz w:val="20"/>
          <w:szCs w:val="20"/>
        </w:rPr>
        <w:t>,5</w:t>
      </w:r>
      <w:proofErr w:type="gramEnd"/>
      <w:r w:rsidR="00B030B7" w:rsidRPr="00C830FE">
        <w:rPr>
          <w:rFonts w:ascii="Arial" w:hAnsi="Arial" w:cs="Arial"/>
          <w:sz w:val="20"/>
          <w:szCs w:val="20"/>
        </w:rPr>
        <w:t xml:space="preserve">% so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với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yên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Nhật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xuống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108,80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yên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>.</w:t>
      </w:r>
    </w:p>
    <w:p w:rsidR="00A25F49" w:rsidRPr="00C830FE" w:rsidRDefault="00A25F49" w:rsidP="00C830FE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USD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giá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còn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bắt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nguồn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từ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bất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ổn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Italia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đồn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đoán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gia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này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trở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thành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phiên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bản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thứ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hai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Hy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Lạp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tình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hình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trầm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Thủ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tướng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Tây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Ban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Nha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bị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phế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truất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34846" w:rsidRPr="00C830FE" w:rsidRDefault="00A25F49" w:rsidP="00C830FE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830FE">
        <w:rPr>
          <w:rFonts w:ascii="Arial" w:hAnsi="Arial" w:cs="Arial"/>
          <w:sz w:val="20"/>
          <w:szCs w:val="20"/>
        </w:rPr>
        <w:t>Tuy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nhiên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n</w:t>
      </w:r>
      <w:r w:rsidR="00134846" w:rsidRPr="00C830FE">
        <w:rPr>
          <w:rFonts w:ascii="Arial" w:hAnsi="Arial" w:cs="Arial"/>
          <w:sz w:val="20"/>
          <w:szCs w:val="20"/>
        </w:rPr>
        <w:t>guyên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nhân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cơ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bản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khiến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giá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bắt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nguồn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từ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dữ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liệu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lạc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quan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về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tình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hình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kinh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tế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Mỹ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hiện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và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tương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lai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nhất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là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về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GDP,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lạm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phát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tỷ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lệ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thất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nghiệp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và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các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động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thái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chính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sách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của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Cục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Dự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trữ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liên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Mỹ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(Fed).</w:t>
      </w:r>
    </w:p>
    <w:p w:rsidR="00A25F49" w:rsidRPr="00C830FE" w:rsidRDefault="00B030B7" w:rsidP="00C830FE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830FE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C830FE">
        <w:rPr>
          <w:rFonts w:ascii="Arial" w:hAnsi="Arial" w:cs="Arial"/>
          <w:sz w:val="20"/>
          <w:szCs w:val="20"/>
        </w:rPr>
        <w:t>nhận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định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846" w:rsidRPr="00C830FE">
        <w:rPr>
          <w:rFonts w:ascii="Arial" w:hAnsi="Arial" w:cs="Arial"/>
          <w:sz w:val="20"/>
          <w:szCs w:val="20"/>
        </w:rPr>
        <w:t>của</w:t>
      </w:r>
      <w:proofErr w:type="spellEnd"/>
      <w:r w:rsidR="00134846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các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quan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chức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Fed</w:t>
      </w:r>
      <w:r w:rsidR="00CF7A45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kinh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tế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Mỹ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sẽ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2,2%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năm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và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tiếp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tục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cao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những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năm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sau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là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nền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tảng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vững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chắc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để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khuyến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khích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các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hoạt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động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đầu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tư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góp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phần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củng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cố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niềm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và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thúc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đẩy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tiêu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dùng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bối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cảnh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giá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năng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lượng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dần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các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doanh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nghiệp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Mỹ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đã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mở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rộng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quy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mô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khai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thác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dầu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và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nhiều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hoạt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động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</w:rPr>
        <w:t>đầu</w:t>
      </w:r>
      <w:proofErr w:type="spellEnd"/>
      <w:r w:rsidR="00A25F4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</w:rPr>
        <w:t>tư</w:t>
      </w:r>
      <w:proofErr w:type="spellEnd"/>
      <w:r w:rsidR="00A25F4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</w:rPr>
        <w:t>kinh</w:t>
      </w:r>
      <w:proofErr w:type="spellEnd"/>
      <w:r w:rsidR="00A25F4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</w:rPr>
        <w:t>doanh</w:t>
      </w:r>
      <w:proofErr w:type="spellEnd"/>
      <w:r w:rsidR="00A25F4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k</w:t>
      </w:r>
      <w:r w:rsidR="00A25F49" w:rsidRPr="00C830FE">
        <w:rPr>
          <w:rFonts w:ascii="Arial" w:hAnsi="Arial" w:cs="Arial"/>
          <w:sz w:val="20"/>
          <w:szCs w:val="20"/>
        </w:rPr>
        <w:t>h</w:t>
      </w:r>
      <w:r w:rsidR="00EF2A01" w:rsidRPr="00C830FE">
        <w:rPr>
          <w:rFonts w:ascii="Arial" w:hAnsi="Arial" w:cs="Arial"/>
          <w:sz w:val="20"/>
          <w:szCs w:val="20"/>
        </w:rPr>
        <w:t>ác</w:t>
      </w:r>
      <w:proofErr w:type="spellEnd"/>
      <w:r w:rsidR="00D15F1C" w:rsidRPr="00C830FE">
        <w:rPr>
          <w:rFonts w:ascii="Arial" w:hAnsi="Arial" w:cs="Arial"/>
          <w:sz w:val="20"/>
          <w:szCs w:val="20"/>
        </w:rPr>
        <w:t>.</w:t>
      </w:r>
      <w:r w:rsidR="00A25F49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quý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I/2018,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chỉ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số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đầu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tư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vào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tài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sản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cố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định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9%,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vượt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xa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kết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quả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năm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2017.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cũng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nhiều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đồn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đoán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sau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báo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cáo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Bộ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Lao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cho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thấy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lương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vững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tháng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5/2018,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tỷ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lệ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thất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nghiệp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tiếp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tục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giảm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xuống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3</w:t>
      </w:r>
      <w:proofErr w:type="gramStart"/>
      <w:r w:rsidR="00CF7A45" w:rsidRPr="00C830FE">
        <w:rPr>
          <w:rFonts w:ascii="Arial" w:hAnsi="Arial" w:cs="Arial"/>
          <w:sz w:val="20"/>
          <w:szCs w:val="20"/>
        </w:rPr>
        <w:t>,8</w:t>
      </w:r>
      <w:proofErr w:type="gramEnd"/>
      <w:r w:rsidR="00CF7A45" w:rsidRPr="00C830FE">
        <w:rPr>
          <w:rFonts w:ascii="Arial" w:hAnsi="Arial" w:cs="Arial"/>
          <w:sz w:val="20"/>
          <w:szCs w:val="20"/>
        </w:rPr>
        <w:t xml:space="preserve">%,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mức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thấp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nhất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18 </w:t>
      </w:r>
      <w:proofErr w:type="spellStart"/>
      <w:r w:rsidR="00CF7A45" w:rsidRPr="00C830FE">
        <w:rPr>
          <w:rFonts w:ascii="Arial" w:hAnsi="Arial" w:cs="Arial"/>
          <w:sz w:val="20"/>
          <w:szCs w:val="20"/>
        </w:rPr>
        <w:t>năm</w:t>
      </w:r>
      <w:proofErr w:type="spellEnd"/>
      <w:r w:rsidR="00CF7A45" w:rsidRPr="00C830FE">
        <w:rPr>
          <w:rFonts w:ascii="Arial" w:hAnsi="Arial" w:cs="Arial"/>
          <w:sz w:val="20"/>
          <w:szCs w:val="20"/>
        </w:rPr>
        <w:t xml:space="preserve"> qua</w:t>
      </w:r>
      <w:r w:rsidR="00D15F1C" w:rsidRPr="00C830FE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D15F1C" w:rsidRPr="00C830FE">
        <w:rPr>
          <w:rFonts w:ascii="Arial" w:hAnsi="Arial" w:cs="Arial"/>
          <w:sz w:val="20"/>
          <w:szCs w:val="20"/>
        </w:rPr>
        <w:t>t</w:t>
      </w:r>
      <w:r w:rsidR="00D15F1C" w:rsidRPr="00C830FE">
        <w:rPr>
          <w:rFonts w:ascii="Arial" w:eastAsia="Times New Roman" w:hAnsi="Arial" w:cs="Arial"/>
          <w:sz w:val="20"/>
          <w:szCs w:val="20"/>
        </w:rPr>
        <w:t>hu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nhập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giờ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lao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2,7% so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cùng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2,6%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15F1C" w:rsidRPr="00C830FE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="00D15F1C" w:rsidRPr="00C830FE">
        <w:rPr>
          <w:rFonts w:ascii="Arial" w:eastAsia="Times New Roman" w:hAnsi="Arial" w:cs="Arial"/>
          <w:sz w:val="20"/>
          <w:szCs w:val="20"/>
        </w:rPr>
        <w:t>.</w:t>
      </w:r>
    </w:p>
    <w:p w:rsidR="00CF7A45" w:rsidRPr="00C830FE" w:rsidRDefault="00EF2A01" w:rsidP="00C830FE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Bên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cạnh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tác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tích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cực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iễ</w:t>
      </w:r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biến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trên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lao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cũng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thể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dẫ</w:t>
      </w:r>
      <w:r w:rsidRPr="00C830FE">
        <w:rPr>
          <w:rFonts w:ascii="Arial" w:hAnsi="Arial" w:cs="Arial"/>
          <w:sz w:val="20"/>
          <w:szCs w:val="20"/>
          <w:shd w:val="clear" w:color="auto" w:fill="FFFFFF"/>
        </w:rPr>
        <w:t>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đến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lo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ngại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về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lạm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củng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cố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về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khả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Fed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ngay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cuộc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họp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diễn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ra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vào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ngày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12-13/6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sắp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tới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sau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đó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tiến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hành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thêm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hai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đợt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nay.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Mục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ngăn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ngừa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rủi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ro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nếu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nền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kinh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quá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>nóng</w:t>
      </w:r>
      <w:proofErr w:type="spellEnd"/>
      <w:r w:rsidR="00CF7A45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134846" w:rsidRPr="00C830FE" w:rsidRDefault="00CF7A45" w:rsidP="00C830FE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C830FE">
        <w:rPr>
          <w:rFonts w:ascii="Arial" w:hAnsi="Arial" w:cs="Arial"/>
          <w:sz w:val="20"/>
          <w:szCs w:val="20"/>
        </w:rPr>
        <w:t>Ngoài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ra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chương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trình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cắt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giảm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thuế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1,5 </w:t>
      </w:r>
      <w:proofErr w:type="spellStart"/>
      <w:r w:rsidRPr="00C830FE">
        <w:rPr>
          <w:rFonts w:ascii="Arial" w:hAnsi="Arial" w:cs="Arial"/>
          <w:sz w:val="20"/>
          <w:szCs w:val="20"/>
        </w:rPr>
        <w:t>nghìn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tỷ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</w:rPr>
        <w:t>và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C830FE">
        <w:rPr>
          <w:rFonts w:ascii="Arial" w:hAnsi="Arial" w:cs="Arial"/>
          <w:sz w:val="20"/>
          <w:szCs w:val="20"/>
        </w:rPr>
        <w:t>tiêu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liên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Pr="00C830FE">
        <w:rPr>
          <w:rFonts w:ascii="Arial" w:hAnsi="Arial" w:cs="Arial"/>
          <w:sz w:val="20"/>
          <w:szCs w:val="20"/>
        </w:rPr>
        <w:t>tới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300 </w:t>
      </w:r>
      <w:proofErr w:type="spellStart"/>
      <w:r w:rsidRPr="00C830FE">
        <w:rPr>
          <w:rFonts w:ascii="Arial" w:hAnsi="Arial" w:cs="Arial"/>
          <w:sz w:val="20"/>
          <w:szCs w:val="20"/>
        </w:rPr>
        <w:t>tỷ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</w:rPr>
        <w:t>được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kỳ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vọng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sẽ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hỗ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trợ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trưởng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kinh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tế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¾% </w:t>
      </w:r>
      <w:proofErr w:type="spellStart"/>
      <w:r w:rsidRPr="00C830FE">
        <w:rPr>
          <w:rFonts w:ascii="Arial" w:hAnsi="Arial" w:cs="Arial"/>
          <w:sz w:val="20"/>
          <w:szCs w:val="20"/>
        </w:rPr>
        <w:t>trong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năm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C830FE">
        <w:rPr>
          <w:rFonts w:ascii="Arial" w:hAnsi="Arial" w:cs="Arial"/>
          <w:sz w:val="20"/>
          <w:szCs w:val="20"/>
        </w:rPr>
        <w:t>và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những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năm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sau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830FE">
        <w:rPr>
          <w:rFonts w:ascii="Arial" w:hAnsi="Arial" w:cs="Arial"/>
          <w:sz w:val="20"/>
          <w:szCs w:val="20"/>
        </w:rPr>
        <w:t>Để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kiềm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chế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nguy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cơ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trưởng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nóng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Fed </w:t>
      </w:r>
      <w:proofErr w:type="spellStart"/>
      <w:r w:rsidRPr="00C830FE">
        <w:rPr>
          <w:rFonts w:ascii="Arial" w:hAnsi="Arial" w:cs="Arial"/>
          <w:sz w:val="20"/>
          <w:szCs w:val="20"/>
        </w:rPr>
        <w:t>có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thể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sẽ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phải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rút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ngắn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lộ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trình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lãi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suất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. Theo </w:t>
      </w:r>
      <w:proofErr w:type="spellStart"/>
      <w:r w:rsidRPr="00C830FE">
        <w:rPr>
          <w:rFonts w:ascii="Arial" w:hAnsi="Arial" w:cs="Arial"/>
          <w:sz w:val="20"/>
          <w:szCs w:val="20"/>
        </w:rPr>
        <w:t>dự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báo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đưa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ra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hồi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tháng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3/2018, </w:t>
      </w:r>
      <w:proofErr w:type="spellStart"/>
      <w:r w:rsidRPr="00C830FE">
        <w:rPr>
          <w:rFonts w:ascii="Arial" w:hAnsi="Arial" w:cs="Arial"/>
          <w:sz w:val="20"/>
          <w:szCs w:val="20"/>
        </w:rPr>
        <w:t>lãi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suất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chính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sách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sẽ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lên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C830FE">
        <w:rPr>
          <w:rFonts w:ascii="Arial" w:hAnsi="Arial" w:cs="Arial"/>
          <w:sz w:val="20"/>
          <w:szCs w:val="20"/>
        </w:rPr>
        <w:t>,4</w:t>
      </w:r>
      <w:proofErr w:type="gramEnd"/>
      <w:r w:rsidRPr="00C830FE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C830FE">
        <w:rPr>
          <w:rFonts w:ascii="Arial" w:hAnsi="Arial" w:cs="Arial"/>
          <w:sz w:val="20"/>
          <w:szCs w:val="20"/>
        </w:rPr>
        <w:t>vào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năm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C830FE">
        <w:rPr>
          <w:rFonts w:ascii="Arial" w:hAnsi="Arial" w:cs="Arial"/>
          <w:sz w:val="20"/>
          <w:szCs w:val="20"/>
        </w:rPr>
        <w:t>cao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hơn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dự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báo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trung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bình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dài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hạn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0B7" w:rsidRPr="00C830FE">
        <w:rPr>
          <w:rFonts w:ascii="Arial" w:hAnsi="Arial" w:cs="Arial"/>
          <w:sz w:val="20"/>
          <w:szCs w:val="20"/>
        </w:rPr>
        <w:t>là</w:t>
      </w:r>
      <w:proofErr w:type="spellEnd"/>
      <w:r w:rsidR="00B030B7" w:rsidRPr="00C830FE">
        <w:rPr>
          <w:rFonts w:ascii="Arial" w:hAnsi="Arial" w:cs="Arial"/>
          <w:sz w:val="20"/>
          <w:szCs w:val="20"/>
        </w:rPr>
        <w:t xml:space="preserve"> 2,9%.</w:t>
      </w:r>
    </w:p>
    <w:p w:rsidR="00B030B7" w:rsidRPr="00C830FE" w:rsidRDefault="00B030B7" w:rsidP="00C830FE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830FE">
        <w:rPr>
          <w:rFonts w:ascii="Arial" w:hAnsi="Arial" w:cs="Arial"/>
          <w:sz w:val="20"/>
          <w:szCs w:val="20"/>
        </w:rPr>
        <w:t>Đối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các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nước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trên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thế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giới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xu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hướng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giá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của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</w:rPr>
        <w:t>có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thể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trầm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trọng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</w:rPr>
        <w:t>thêm</w:t>
      </w:r>
      <w:proofErr w:type="spellEnd"/>
      <w:r w:rsidR="00EF2A01"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gánh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nặng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nợ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nần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nhất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là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đối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những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khoản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vay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C830FE">
        <w:rPr>
          <w:rFonts w:ascii="Arial" w:hAnsi="Arial" w:cs="Arial"/>
          <w:sz w:val="20"/>
          <w:szCs w:val="20"/>
        </w:rPr>
        <w:t>khi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các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chính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phủ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cường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phát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hành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trái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phiếu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quốc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tế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với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</w:rPr>
        <w:t>chiếm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tỷ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trọng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C830FE">
        <w:rPr>
          <w:rFonts w:ascii="Arial" w:hAnsi="Arial" w:cs="Arial"/>
          <w:sz w:val="20"/>
          <w:szCs w:val="20"/>
        </w:rPr>
        <w:t>phối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830FE">
        <w:rPr>
          <w:rFonts w:ascii="Arial" w:hAnsi="Arial" w:cs="Arial"/>
          <w:sz w:val="20"/>
          <w:szCs w:val="20"/>
        </w:rPr>
        <w:t>Trái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lại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USD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giá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phần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nào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đã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hỗ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trợ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thị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trường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chứng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khoán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Mỹ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giá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cổ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phiếu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tiếp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tục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cao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</w:rPr>
        <w:t>bất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chấp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những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đợt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điều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chỉnh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giảm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</w:rPr>
        <w:t>sâu</w:t>
      </w:r>
      <w:proofErr w:type="spellEnd"/>
      <w:r w:rsidRPr="00C830FE">
        <w:rPr>
          <w:rFonts w:ascii="Arial" w:hAnsi="Arial" w:cs="Arial"/>
          <w:sz w:val="20"/>
          <w:szCs w:val="20"/>
        </w:rPr>
        <w:t xml:space="preserve">. </w:t>
      </w:r>
    </w:p>
    <w:p w:rsidR="00A25F49" w:rsidRPr="00C830FE" w:rsidRDefault="00EF2A01" w:rsidP="00C830FE">
      <w:pPr>
        <w:shd w:val="clear" w:color="auto" w:fill="FFFFFF"/>
        <w:spacing w:after="60" w:line="240" w:lineRule="auto"/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Theo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ghi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nhận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kết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quả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nghiên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cứu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thức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USD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kinh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càng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thu</w:t>
      </w:r>
      <w:proofErr w:type="spellEnd"/>
      <w:proofErr w:type="gram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hút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sự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quan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tâm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nhà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tư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khoản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vay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bên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ngoài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xu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hướng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Điều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này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trái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nỗ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lực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một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việc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vị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thế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cơ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cấu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trữ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ngoại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hối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nâng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đồng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khác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như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uro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gần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đây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nhân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dân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(CNY).</w:t>
      </w:r>
    </w:p>
    <w:p w:rsidR="00A25F49" w:rsidRPr="00C830FE" w:rsidRDefault="00B030B7" w:rsidP="00C830FE">
      <w:pPr>
        <w:shd w:val="clear" w:color="auto" w:fill="FFFFFF"/>
        <w:spacing w:after="60" w:line="240" w:lineRule="auto"/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Kể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ừ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ngày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01/10/2016, </w:t>
      </w:r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CNY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thức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Quỹ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đưa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vào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nhóm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trữ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. Sau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ba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tháng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CNY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đã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chiếm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1</w:t>
      </w:r>
      <w:proofErr w:type="gram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,08</w:t>
      </w:r>
      <w:proofErr w:type="gram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%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cơ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cấu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trữ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ngoạ</w:t>
      </w:r>
      <w:r w:rsidR="00EF2A01" w:rsidRPr="00C830FE">
        <w:rPr>
          <w:rFonts w:ascii="Arial" w:hAnsi="Arial" w:cs="Arial"/>
          <w:sz w:val="20"/>
          <w:szCs w:val="20"/>
          <w:shd w:val="clear" w:color="auto" w:fill="FFFFFF"/>
        </w:rPr>
        <w:t>i</w:t>
      </w:r>
      <w:proofErr w:type="spellEnd"/>
      <w:r w:rsidR="00EF2A01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A01" w:rsidRPr="00C830FE">
        <w:rPr>
          <w:rFonts w:ascii="Arial" w:hAnsi="Arial" w:cs="Arial"/>
          <w:sz w:val="20"/>
          <w:szCs w:val="20"/>
          <w:shd w:val="clear" w:color="auto" w:fill="FFFFFF"/>
        </w:rPr>
        <w:t>hối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Đến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cuối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2017,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trọ</w:t>
      </w:r>
      <w:r w:rsidRPr="00C830FE">
        <w:rPr>
          <w:rFonts w:ascii="Arial" w:hAnsi="Arial" w:cs="Arial"/>
          <w:sz w:val="20"/>
          <w:szCs w:val="20"/>
          <w:shd w:val="clear" w:color="auto" w:fill="FFFFFF"/>
        </w:rPr>
        <w:t>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CNY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cùng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nh</w:t>
      </w:r>
      <w:r w:rsidRPr="00C830FE">
        <w:rPr>
          <w:rFonts w:ascii="Arial" w:hAnsi="Arial" w:cs="Arial"/>
          <w:sz w:val="20"/>
          <w:szCs w:val="20"/>
          <w:shd w:val="clear" w:color="auto" w:fill="FFFFFF"/>
        </w:rPr>
        <w:t>iều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đồng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khác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cơ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cấu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trữ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ngoại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xem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bảng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dưới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>đây</w:t>
      </w:r>
      <w:proofErr w:type="spellEnd"/>
      <w:r w:rsidR="00A25F49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).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Đáng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chú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ý,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Euro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yên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Nhật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quý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4/2017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gần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1</w:t>
      </w:r>
      <w:proofErr w:type="gram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,0</w:t>
      </w:r>
      <w:proofErr w:type="gram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% so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cùng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trước</w:t>
      </w:r>
      <w:proofErr w:type="spellEnd"/>
      <w:r w:rsidR="00D15F1C" w:rsidRPr="00C830F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A25F49" w:rsidRPr="00C830FE" w:rsidRDefault="00D15F1C" w:rsidP="00C830FE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C830FE">
        <w:rPr>
          <w:rFonts w:ascii="Arial" w:eastAsia="Times New Roman" w:hAnsi="Arial" w:cs="Arial"/>
          <w:b/>
          <w:i/>
          <w:sz w:val="20"/>
          <w:szCs w:val="20"/>
        </w:rPr>
        <w:t>Cơ</w:t>
      </w:r>
      <w:proofErr w:type="spellEnd"/>
      <w:r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30FE">
        <w:rPr>
          <w:rFonts w:ascii="Arial" w:eastAsia="Times New Roman" w:hAnsi="Arial" w:cs="Arial"/>
          <w:b/>
          <w:i/>
          <w:sz w:val="20"/>
          <w:szCs w:val="20"/>
        </w:rPr>
        <w:t>cấu</w:t>
      </w:r>
      <w:proofErr w:type="spellEnd"/>
      <w:r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30FE">
        <w:rPr>
          <w:rFonts w:ascii="Arial" w:eastAsia="Times New Roman" w:hAnsi="Arial" w:cs="Arial"/>
          <w:b/>
          <w:i/>
          <w:sz w:val="20"/>
          <w:szCs w:val="20"/>
        </w:rPr>
        <w:t>dữ</w:t>
      </w:r>
      <w:proofErr w:type="spellEnd"/>
      <w:r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30FE">
        <w:rPr>
          <w:rFonts w:ascii="Arial" w:eastAsia="Times New Roman" w:hAnsi="Arial" w:cs="Arial"/>
          <w:b/>
          <w:i/>
          <w:sz w:val="20"/>
          <w:szCs w:val="20"/>
        </w:rPr>
        <w:t>trữ</w:t>
      </w:r>
      <w:proofErr w:type="spellEnd"/>
      <w:r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30FE">
        <w:rPr>
          <w:rFonts w:ascii="Arial" w:eastAsia="Times New Roman" w:hAnsi="Arial" w:cs="Arial"/>
          <w:b/>
          <w:i/>
          <w:sz w:val="20"/>
          <w:szCs w:val="20"/>
        </w:rPr>
        <w:t>ngoại</w:t>
      </w:r>
      <w:proofErr w:type="spellEnd"/>
      <w:r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C830FE">
        <w:rPr>
          <w:rFonts w:ascii="Arial" w:eastAsia="Times New Roman" w:hAnsi="Arial" w:cs="Arial"/>
          <w:b/>
          <w:i/>
          <w:sz w:val="20"/>
          <w:szCs w:val="20"/>
        </w:rPr>
        <w:t>tệ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quốc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tế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phân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theo</w:t>
      </w:r>
      <w:proofErr w:type="spellEnd"/>
      <w:proofErr w:type="gram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loại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đồng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tiền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chủ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chốt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(</w:t>
      </w:r>
      <w:proofErr w:type="spellStart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>tỷ</w:t>
      </w:r>
      <w:proofErr w:type="spellEnd"/>
      <w:r w:rsidR="00A25F49" w:rsidRPr="00C830FE">
        <w:rPr>
          <w:rFonts w:ascii="Arial" w:eastAsia="Times New Roman" w:hAnsi="Arial" w:cs="Arial"/>
          <w:b/>
          <w:i/>
          <w:sz w:val="20"/>
          <w:szCs w:val="20"/>
        </w:rPr>
        <w:t xml:space="preserve"> USD)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1440"/>
        <w:gridCol w:w="1530"/>
        <w:gridCol w:w="1530"/>
        <w:gridCol w:w="1530"/>
      </w:tblGrid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A25F49" w:rsidRPr="00C830FE" w:rsidRDefault="00A25F49" w:rsidP="00C830FE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IV/2016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>Tỷ</w:t>
            </w:r>
            <w:proofErr w:type="spellEnd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>trọng</w:t>
            </w:r>
            <w:proofErr w:type="spellEnd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IV/2017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>Tỷ</w:t>
            </w:r>
            <w:proofErr w:type="spellEnd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>trọng</w:t>
            </w:r>
            <w:proofErr w:type="spellEnd"/>
            <w:r w:rsidRPr="00C830F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(%)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D15F1C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Tổng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ngoại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tệ</w:t>
            </w:r>
            <w:proofErr w:type="spellEnd"/>
            <w:r w:rsidR="00A25F49"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25F49" w:rsidRPr="00C830FE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proofErr w:type="spellEnd"/>
            <w:r w:rsidR="00A25F49"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25F49" w:rsidRPr="00C830FE">
              <w:rPr>
                <w:rFonts w:ascii="Arial" w:eastAsia="Times New Roman" w:hAnsi="Arial" w:cs="Arial"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1440" w:type="dxa"/>
          </w:tcPr>
          <w:p w:rsidR="00A25F49" w:rsidRPr="00C830FE" w:rsidRDefault="00F167FB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10.714,</w:t>
            </w:r>
            <w:r w:rsidR="00A25F49" w:rsidRPr="00C830F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11.424,95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đã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phân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bổ</w:t>
            </w:r>
            <w:proofErr w:type="spellEnd"/>
          </w:p>
        </w:tc>
        <w:tc>
          <w:tcPr>
            <w:tcW w:w="144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8.421,07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78,59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10.018,61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87,69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  <w:tc>
          <w:tcPr>
            <w:tcW w:w="144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5.501,98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65,34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6.281,54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62,70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Euro</w:t>
            </w:r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1.610,87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19,23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2.018,54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20,15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Bảng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Anh</w:t>
            </w:r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365,85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4,34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454,55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4,54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Yên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Nhật</w:t>
            </w:r>
            <w:proofErr w:type="spellEnd"/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332,93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3,95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490,14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4,89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Dollar Canada (CAD)</w:t>
            </w:r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163,14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1,94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202,82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2,02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Dollar Australia (AUD)</w:t>
            </w:r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142,30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1,69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tệ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(CNY)</w:t>
            </w:r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90,78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1,08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122,80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1,23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Frank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Thụy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Sỹ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(CHF)</w:t>
            </w:r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13,69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0,16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18,15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0,18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Những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đồng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tiền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199,51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2,37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250,08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</w:tr>
      <w:tr w:rsidR="00A25F49" w:rsidRPr="00C830FE" w:rsidTr="00C830FE">
        <w:trPr>
          <w:jc w:val="center"/>
        </w:trPr>
        <w:tc>
          <w:tcPr>
            <w:tcW w:w="3150" w:type="dxa"/>
          </w:tcPr>
          <w:p w:rsidR="00A25F49" w:rsidRPr="00C830FE" w:rsidRDefault="00A25F49" w:rsidP="00C830FE">
            <w:pPr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chưa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phân</w:t>
            </w:r>
            <w:proofErr w:type="spellEnd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830FE">
              <w:rPr>
                <w:rFonts w:ascii="Arial" w:eastAsia="Times New Roman" w:hAnsi="Arial" w:cs="Arial"/>
                <w:sz w:val="20"/>
                <w:szCs w:val="20"/>
              </w:rPr>
              <w:t>bổ</w:t>
            </w:r>
            <w:proofErr w:type="spellEnd"/>
          </w:p>
        </w:tc>
        <w:tc>
          <w:tcPr>
            <w:tcW w:w="1440" w:type="dxa"/>
            <w:vAlign w:val="center"/>
          </w:tcPr>
          <w:p w:rsidR="00A25F49" w:rsidRPr="00C830FE" w:rsidRDefault="00A25F49" w:rsidP="00C830F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2.293,61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spacing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21,41</w:t>
            </w:r>
          </w:p>
        </w:tc>
        <w:tc>
          <w:tcPr>
            <w:tcW w:w="1530" w:type="dxa"/>
            <w:vAlign w:val="center"/>
          </w:tcPr>
          <w:p w:rsidR="00A25F49" w:rsidRPr="00C830FE" w:rsidRDefault="00A25F49" w:rsidP="00C830F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0FE">
              <w:rPr>
                <w:rFonts w:ascii="Arial" w:hAnsi="Arial" w:cs="Arial"/>
                <w:sz w:val="20"/>
                <w:szCs w:val="20"/>
              </w:rPr>
              <w:t>1.406,34</w:t>
            </w:r>
          </w:p>
        </w:tc>
        <w:tc>
          <w:tcPr>
            <w:tcW w:w="1530" w:type="dxa"/>
          </w:tcPr>
          <w:p w:rsidR="00A25F49" w:rsidRPr="00C830FE" w:rsidRDefault="00A25F49" w:rsidP="00C830FE">
            <w:pPr>
              <w:spacing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30FE">
              <w:rPr>
                <w:rFonts w:ascii="Arial" w:eastAsia="Times New Roman" w:hAnsi="Arial" w:cs="Arial"/>
                <w:sz w:val="20"/>
                <w:szCs w:val="20"/>
              </w:rPr>
              <w:t>12,31</w:t>
            </w:r>
          </w:p>
        </w:tc>
      </w:tr>
    </w:tbl>
    <w:p w:rsidR="00A25F49" w:rsidRPr="00C830FE" w:rsidRDefault="00FF48A1" w:rsidP="00C830F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proofErr w:type="spellStart"/>
      <w:r w:rsidRPr="00C830FE">
        <w:rPr>
          <w:rFonts w:ascii="Arial" w:eastAsia="Times New Roman" w:hAnsi="Arial" w:cs="Arial"/>
          <w:i/>
          <w:sz w:val="16"/>
          <w:szCs w:val="16"/>
        </w:rPr>
        <w:lastRenderedPageBreak/>
        <w:t>Nguồn</w:t>
      </w:r>
      <w:proofErr w:type="spellEnd"/>
      <w:r w:rsidRPr="00C830FE">
        <w:rPr>
          <w:rFonts w:ascii="Arial" w:eastAsia="Times New Roman" w:hAnsi="Arial" w:cs="Arial"/>
          <w:i/>
          <w:sz w:val="16"/>
          <w:szCs w:val="16"/>
        </w:rPr>
        <w:t xml:space="preserve">: Wikipedia </w:t>
      </w:r>
      <w:r w:rsidR="00A25F49" w:rsidRPr="00C830FE">
        <w:rPr>
          <w:rFonts w:ascii="Arial" w:eastAsia="Times New Roman" w:hAnsi="Arial" w:cs="Arial"/>
          <w:i/>
          <w:sz w:val="16"/>
          <w:szCs w:val="16"/>
        </w:rPr>
        <w:t>2018</w:t>
      </w:r>
    </w:p>
    <w:p w:rsidR="00B030B7" w:rsidRPr="00C830FE" w:rsidRDefault="00B030B7" w:rsidP="00C830FE">
      <w:pPr>
        <w:shd w:val="clear" w:color="auto" w:fill="FFFFFF"/>
        <w:spacing w:after="60" w:line="240" w:lineRule="auto"/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Tuy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nhiên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quý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4/2017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bắt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nguồn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chủ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yếu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từ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sự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mất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giá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đồng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bạc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xanh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mất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giá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tới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10%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2017.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Mặc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dù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chưa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liệu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thức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nhưng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xu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hướng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phục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hồi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củng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cố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vị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thế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trọng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cơ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cấu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trữ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ngoại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trở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nhất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khoản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vay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dưới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dạ</w:t>
      </w:r>
      <w:r w:rsidR="00EF2A01" w:rsidRPr="00C830FE">
        <w:rPr>
          <w:rFonts w:ascii="Arial" w:hAnsi="Arial" w:cs="Arial"/>
          <w:sz w:val="20"/>
          <w:szCs w:val="20"/>
          <w:shd w:val="clear" w:color="auto" w:fill="FFFFFF"/>
        </w:rPr>
        <w:t>ng</w:t>
      </w:r>
      <w:proofErr w:type="spellEnd"/>
      <w:r w:rsidR="00EF2A01"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USD </w:t>
      </w:r>
      <w:proofErr w:type="spellStart"/>
      <w:r w:rsidR="00EF2A01" w:rsidRPr="00C830FE">
        <w:rPr>
          <w:rFonts w:ascii="Arial" w:hAnsi="Arial" w:cs="Arial"/>
          <w:sz w:val="20"/>
          <w:szCs w:val="20"/>
          <w:shd w:val="clear" w:color="auto" w:fill="FFFFFF"/>
        </w:rPr>
        <w:t>bê</w:t>
      </w:r>
      <w:r w:rsidRPr="00C830FE">
        <w:rPr>
          <w:rFonts w:ascii="Arial" w:hAnsi="Arial" w:cs="Arial"/>
          <w:sz w:val="20"/>
          <w:szCs w:val="20"/>
          <w:shd w:val="clear" w:color="auto" w:fill="FFFFFF"/>
        </w:rPr>
        <w:t>n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ngoài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ngày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càng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C830FE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6E3241" w:rsidRPr="00C830FE" w:rsidRDefault="00E91517" w:rsidP="00C830FE">
      <w:pPr>
        <w:shd w:val="clear" w:color="auto" w:fill="FFFFFF"/>
        <w:spacing w:after="60" w:line="240" w:lineRule="auto"/>
        <w:jc w:val="both"/>
        <w:outlineLvl w:val="0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proofErr w:type="spellStart"/>
      <w:r w:rsidRPr="00C830FE">
        <w:rPr>
          <w:rFonts w:ascii="Arial" w:hAnsi="Arial" w:cs="Arial"/>
          <w:b/>
          <w:i/>
          <w:sz w:val="20"/>
          <w:szCs w:val="20"/>
          <w:shd w:val="clear" w:color="auto" w:fill="FFFFFF"/>
        </w:rPr>
        <w:t>Hoàng</w:t>
      </w:r>
      <w:proofErr w:type="spellEnd"/>
      <w:r w:rsidRPr="00C830FE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b/>
          <w:i/>
          <w:sz w:val="20"/>
          <w:szCs w:val="20"/>
          <w:shd w:val="clear" w:color="auto" w:fill="FFFFFF"/>
        </w:rPr>
        <w:t>Thế</w:t>
      </w:r>
      <w:proofErr w:type="spellEnd"/>
      <w:r w:rsidRPr="00C830FE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C830FE">
        <w:rPr>
          <w:rFonts w:ascii="Arial" w:hAnsi="Arial" w:cs="Arial"/>
          <w:b/>
          <w:i/>
          <w:sz w:val="20"/>
          <w:szCs w:val="20"/>
          <w:shd w:val="clear" w:color="auto" w:fill="FFFFFF"/>
        </w:rPr>
        <w:t>Thỏa</w:t>
      </w:r>
      <w:proofErr w:type="spellEnd"/>
    </w:p>
    <w:p w:rsidR="00A25F49" w:rsidRPr="00C830FE" w:rsidRDefault="00B030B7" w:rsidP="00C830FE">
      <w:pPr>
        <w:shd w:val="clear" w:color="auto" w:fill="FFFFFF"/>
        <w:spacing w:after="60" w:line="240" w:lineRule="auto"/>
        <w:jc w:val="both"/>
        <w:outlineLvl w:val="0"/>
        <w:rPr>
          <w:rFonts w:ascii="Arial" w:hAnsi="Arial" w:cs="Arial"/>
          <w:i/>
          <w:sz w:val="20"/>
          <w:szCs w:val="20"/>
          <w:shd w:val="clear" w:color="auto" w:fill="FFFFFF"/>
        </w:rPr>
      </w:pPr>
      <w:proofErr w:type="spellStart"/>
      <w:r w:rsidRPr="00C830FE">
        <w:rPr>
          <w:rFonts w:ascii="Arial" w:hAnsi="Arial" w:cs="Arial"/>
          <w:i/>
          <w:sz w:val="20"/>
          <w:szCs w:val="20"/>
          <w:shd w:val="clear" w:color="auto" w:fill="FFFFFF"/>
        </w:rPr>
        <w:t>Nguồn</w:t>
      </w:r>
      <w:proofErr w:type="spellEnd"/>
      <w:r w:rsidRPr="00C830FE">
        <w:rPr>
          <w:rFonts w:ascii="Arial" w:hAnsi="Arial" w:cs="Arial"/>
          <w:i/>
          <w:sz w:val="20"/>
          <w:szCs w:val="20"/>
          <w:shd w:val="clear" w:color="auto" w:fill="FFFFFF"/>
        </w:rPr>
        <w:t xml:space="preserve">: </w:t>
      </w:r>
      <w:proofErr w:type="spellStart"/>
      <w:r w:rsidRPr="00C830FE">
        <w:rPr>
          <w:rFonts w:ascii="Arial" w:hAnsi="Arial" w:cs="Arial"/>
          <w:i/>
          <w:sz w:val="20"/>
          <w:szCs w:val="20"/>
          <w:shd w:val="clear" w:color="auto" w:fill="FFFFFF"/>
        </w:rPr>
        <w:t>Marketwatch</w:t>
      </w:r>
      <w:proofErr w:type="spellEnd"/>
      <w:r w:rsidRPr="00C830FE">
        <w:rPr>
          <w:rFonts w:ascii="Arial" w:hAnsi="Arial" w:cs="Arial"/>
          <w:i/>
          <w:sz w:val="20"/>
          <w:szCs w:val="20"/>
          <w:shd w:val="clear" w:color="auto" w:fill="FFFFFF"/>
        </w:rPr>
        <w:t>, Wikipedia</w:t>
      </w:r>
    </w:p>
    <w:sectPr w:rsidR="00A25F49" w:rsidRPr="00C830FE" w:rsidSect="001F43AD">
      <w:footerReference w:type="default" r:id="rId7"/>
      <w:pgSz w:w="12240" w:h="15840"/>
      <w:pgMar w:top="864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B0" w:rsidRDefault="00AB03B0" w:rsidP="00B030B7">
      <w:pPr>
        <w:spacing w:after="0" w:line="240" w:lineRule="auto"/>
      </w:pPr>
      <w:r>
        <w:separator/>
      </w:r>
    </w:p>
  </w:endnote>
  <w:endnote w:type="continuationSeparator" w:id="0">
    <w:p w:rsidR="00AB03B0" w:rsidRDefault="00AB03B0" w:rsidP="00B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428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0B7" w:rsidRDefault="00B030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9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30B7" w:rsidRDefault="00B03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B0" w:rsidRDefault="00AB03B0" w:rsidP="00B030B7">
      <w:pPr>
        <w:spacing w:after="0" w:line="240" w:lineRule="auto"/>
      </w:pPr>
      <w:r>
        <w:separator/>
      </w:r>
    </w:p>
  </w:footnote>
  <w:footnote w:type="continuationSeparator" w:id="0">
    <w:p w:rsidR="00AB03B0" w:rsidRDefault="00AB03B0" w:rsidP="00B03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669D7"/>
    <w:multiLevelType w:val="hybridMultilevel"/>
    <w:tmpl w:val="73B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11699"/>
    <w:multiLevelType w:val="multilevel"/>
    <w:tmpl w:val="624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36"/>
    <w:rsid w:val="000E11FC"/>
    <w:rsid w:val="00134846"/>
    <w:rsid w:val="001F43AD"/>
    <w:rsid w:val="002953D7"/>
    <w:rsid w:val="002E39ED"/>
    <w:rsid w:val="002E3B9D"/>
    <w:rsid w:val="00300102"/>
    <w:rsid w:val="00335A7F"/>
    <w:rsid w:val="00395059"/>
    <w:rsid w:val="003C1F20"/>
    <w:rsid w:val="004A3E50"/>
    <w:rsid w:val="004E0F7C"/>
    <w:rsid w:val="0059687D"/>
    <w:rsid w:val="0069474D"/>
    <w:rsid w:val="006B23EB"/>
    <w:rsid w:val="006E3241"/>
    <w:rsid w:val="007675CD"/>
    <w:rsid w:val="007A7742"/>
    <w:rsid w:val="008446E2"/>
    <w:rsid w:val="00A25F49"/>
    <w:rsid w:val="00A612F3"/>
    <w:rsid w:val="00A71460"/>
    <w:rsid w:val="00AB03B0"/>
    <w:rsid w:val="00AB7A23"/>
    <w:rsid w:val="00B030B7"/>
    <w:rsid w:val="00B344FD"/>
    <w:rsid w:val="00B469BE"/>
    <w:rsid w:val="00B91036"/>
    <w:rsid w:val="00BB360B"/>
    <w:rsid w:val="00BE4E24"/>
    <w:rsid w:val="00BF359B"/>
    <w:rsid w:val="00C00047"/>
    <w:rsid w:val="00C830FE"/>
    <w:rsid w:val="00CA2ABB"/>
    <w:rsid w:val="00CF7A45"/>
    <w:rsid w:val="00D15F1C"/>
    <w:rsid w:val="00D71CCD"/>
    <w:rsid w:val="00D81869"/>
    <w:rsid w:val="00DA58A7"/>
    <w:rsid w:val="00E91517"/>
    <w:rsid w:val="00EE4B0E"/>
    <w:rsid w:val="00EF2813"/>
    <w:rsid w:val="00EF2A01"/>
    <w:rsid w:val="00F167FB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41BDE-FDDB-499D-84A4-79CD2A97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1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0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9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-source">
    <w:name w:val="image-source"/>
    <w:basedOn w:val="DefaultParagraphFont"/>
    <w:rsid w:val="002953D7"/>
  </w:style>
  <w:style w:type="paragraph" w:styleId="BalloonText">
    <w:name w:val="Balloon Text"/>
    <w:basedOn w:val="Normal"/>
    <w:link w:val="BalloonTextChar"/>
    <w:uiPriority w:val="99"/>
    <w:semiHidden/>
    <w:unhideWhenUsed/>
    <w:rsid w:val="0029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953D7"/>
    <w:rPr>
      <w:color w:val="0000FF"/>
      <w:u w:val="single"/>
    </w:rPr>
  </w:style>
  <w:style w:type="character" w:customStyle="1" w:styleId="Quote1">
    <w:name w:val="Quote1"/>
    <w:basedOn w:val="DefaultParagraphFont"/>
    <w:rsid w:val="002953D7"/>
  </w:style>
  <w:style w:type="character" w:customStyle="1" w:styleId="bgpercentchange">
    <w:name w:val="bgpercentchange"/>
    <w:basedOn w:val="DefaultParagraphFont"/>
    <w:rsid w:val="002953D7"/>
  </w:style>
  <w:style w:type="character" w:styleId="Strong">
    <w:name w:val="Strong"/>
    <w:basedOn w:val="DefaultParagraphFont"/>
    <w:uiPriority w:val="22"/>
    <w:qFormat/>
    <w:rsid w:val="002953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9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ify">
    <w:name w:val="justify"/>
    <w:basedOn w:val="Normal"/>
    <w:rsid w:val="00B3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Quote2">
    <w:name w:val="Quote2"/>
    <w:basedOn w:val="DefaultParagraphFont"/>
    <w:rsid w:val="00B344FD"/>
  </w:style>
  <w:style w:type="character" w:customStyle="1" w:styleId="flagicon">
    <w:name w:val="flagicon"/>
    <w:basedOn w:val="DefaultParagraphFont"/>
    <w:rsid w:val="00395059"/>
  </w:style>
  <w:style w:type="character" w:styleId="FollowedHyperlink">
    <w:name w:val="FollowedHyperlink"/>
    <w:basedOn w:val="DefaultParagraphFont"/>
    <w:uiPriority w:val="99"/>
    <w:semiHidden/>
    <w:unhideWhenUsed/>
    <w:rsid w:val="00EF2813"/>
    <w:rPr>
      <w:color w:val="800080" w:themeColor="followedHyperlink"/>
      <w:u w:val="single"/>
    </w:rPr>
  </w:style>
  <w:style w:type="character" w:customStyle="1" w:styleId="article-template">
    <w:name w:val="article-template"/>
    <w:basedOn w:val="DefaultParagraphFont"/>
    <w:rsid w:val="00EF2813"/>
  </w:style>
  <w:style w:type="table" w:styleId="TableGrid">
    <w:name w:val="Table Grid"/>
    <w:basedOn w:val="TableNormal"/>
    <w:uiPriority w:val="59"/>
    <w:rsid w:val="000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B7"/>
  </w:style>
  <w:style w:type="paragraph" w:styleId="Footer">
    <w:name w:val="footer"/>
    <w:basedOn w:val="Normal"/>
    <w:link w:val="FooterChar"/>
    <w:uiPriority w:val="99"/>
    <w:unhideWhenUsed/>
    <w:rsid w:val="00B0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6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2018-06-06T05:30:00Z</dcterms:created>
  <dcterms:modified xsi:type="dcterms:W3CDTF">2018-06-06T05:31:00Z</dcterms:modified>
</cp:coreProperties>
</file>