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0D" w:rsidRPr="00E900BB" w:rsidRDefault="00C71D62" w:rsidP="00E900BB">
      <w:pPr>
        <w:shd w:val="clear" w:color="auto" w:fill="FFFFFF"/>
        <w:spacing w:after="60" w:line="240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P</w:t>
      </w:r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hần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lớn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các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thị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trường</w:t>
      </w:r>
      <w:bookmarkStart w:id="0" w:name="_GoBack"/>
      <w:bookmarkEnd w:id="0"/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chứng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khoán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toàn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cầu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đóng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cửa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phiên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giao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dịch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cuối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tuần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(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ngày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29/6/2018) ở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mức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điểm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thấp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hơn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so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với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cuối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năm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2017,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chỉ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lác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đác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một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vài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thị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trường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tiếp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tục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tăng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điểm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nhưng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tốc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độ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tăng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trưởng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khá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khiêm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tốn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(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xem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bảng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dưới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>đây</w:t>
      </w:r>
      <w:proofErr w:type="spellEnd"/>
      <w:r w:rsidR="00016F1E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). </w:t>
      </w:r>
    </w:p>
    <w:p w:rsidR="00016F1E" w:rsidRPr="00E900BB" w:rsidRDefault="00016F1E" w:rsidP="00E900BB">
      <w:pPr>
        <w:spacing w:after="6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proofErr w:type="spellStart"/>
      <w:r w:rsidRPr="00E900BB">
        <w:rPr>
          <w:rFonts w:ascii="Arial" w:hAnsi="Arial" w:cs="Arial"/>
          <w:b/>
          <w:i/>
          <w:sz w:val="20"/>
          <w:szCs w:val="20"/>
        </w:rPr>
        <w:t>Chỉ</w:t>
      </w:r>
      <w:proofErr w:type="spellEnd"/>
      <w:r w:rsidRPr="00E900B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b/>
          <w:i/>
          <w:sz w:val="20"/>
          <w:szCs w:val="20"/>
        </w:rPr>
        <w:t>số</w:t>
      </w:r>
      <w:proofErr w:type="spellEnd"/>
      <w:r w:rsidRPr="00E900B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b/>
          <w:i/>
          <w:sz w:val="20"/>
          <w:szCs w:val="20"/>
        </w:rPr>
        <w:t>chứng</w:t>
      </w:r>
      <w:proofErr w:type="spellEnd"/>
      <w:r w:rsidRPr="00E900B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b/>
          <w:i/>
          <w:sz w:val="20"/>
          <w:szCs w:val="20"/>
        </w:rPr>
        <w:t>khoán</w:t>
      </w:r>
      <w:proofErr w:type="spellEnd"/>
      <w:r w:rsidRPr="00E900B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b/>
          <w:i/>
          <w:sz w:val="20"/>
          <w:szCs w:val="20"/>
        </w:rPr>
        <w:t>chủ</w:t>
      </w:r>
      <w:proofErr w:type="spellEnd"/>
      <w:r w:rsidRPr="00E900B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b/>
          <w:i/>
          <w:sz w:val="20"/>
          <w:szCs w:val="20"/>
        </w:rPr>
        <w:t>chốt</w:t>
      </w:r>
      <w:proofErr w:type="spellEnd"/>
      <w:r w:rsidRPr="00E900B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b/>
          <w:i/>
          <w:sz w:val="20"/>
          <w:szCs w:val="20"/>
        </w:rPr>
        <w:t>trên</w:t>
      </w:r>
      <w:proofErr w:type="spellEnd"/>
      <w:r w:rsidRPr="00E900B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b/>
          <w:i/>
          <w:sz w:val="20"/>
          <w:szCs w:val="20"/>
        </w:rPr>
        <w:t>thế</w:t>
      </w:r>
      <w:proofErr w:type="spellEnd"/>
      <w:r w:rsidRPr="00E900B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b/>
          <w:i/>
          <w:sz w:val="20"/>
          <w:szCs w:val="20"/>
        </w:rPr>
        <w:t>giới</w:t>
      </w:r>
      <w:proofErr w:type="spellEnd"/>
      <w:r w:rsidRPr="00E900B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b/>
          <w:i/>
          <w:sz w:val="20"/>
          <w:szCs w:val="20"/>
        </w:rPr>
        <w:t>cuối</w:t>
      </w:r>
      <w:proofErr w:type="spellEnd"/>
      <w:r w:rsidRPr="00E900B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b/>
          <w:i/>
          <w:sz w:val="20"/>
          <w:szCs w:val="20"/>
        </w:rPr>
        <w:t>tháng</w:t>
      </w:r>
      <w:proofErr w:type="spellEnd"/>
      <w:r w:rsidRPr="00E900BB">
        <w:rPr>
          <w:rFonts w:ascii="Arial" w:hAnsi="Arial" w:cs="Arial"/>
          <w:b/>
          <w:i/>
          <w:sz w:val="20"/>
          <w:szCs w:val="20"/>
        </w:rPr>
        <w:t xml:space="preserve"> 6/2018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36"/>
        <w:gridCol w:w="2603"/>
        <w:gridCol w:w="2603"/>
      </w:tblGrid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900BB">
              <w:rPr>
                <w:rFonts w:ascii="Arial" w:hAnsi="Arial" w:cs="Arial"/>
                <w:b/>
                <w:sz w:val="20"/>
                <w:szCs w:val="20"/>
              </w:rPr>
              <w:t>Chỉ</w:t>
            </w:r>
            <w:proofErr w:type="spellEnd"/>
            <w:r w:rsidRPr="00E900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900BB">
              <w:rPr>
                <w:rFonts w:ascii="Arial" w:hAnsi="Arial" w:cs="Arial"/>
                <w:b/>
                <w:sz w:val="20"/>
                <w:szCs w:val="20"/>
              </w:rPr>
              <w:t>số</w:t>
            </w:r>
            <w:proofErr w:type="spellEnd"/>
            <w:r w:rsidRPr="00E900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900BB">
              <w:rPr>
                <w:rFonts w:ascii="Arial" w:hAnsi="Arial" w:cs="Arial"/>
                <w:b/>
                <w:sz w:val="20"/>
                <w:szCs w:val="20"/>
              </w:rPr>
              <w:t>chứng</w:t>
            </w:r>
            <w:proofErr w:type="spellEnd"/>
            <w:r w:rsidRPr="00E900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900BB">
              <w:rPr>
                <w:rFonts w:ascii="Arial" w:hAnsi="Arial" w:cs="Arial"/>
                <w:b/>
                <w:sz w:val="20"/>
                <w:szCs w:val="20"/>
              </w:rPr>
              <w:t>khoán</w:t>
            </w:r>
            <w:proofErr w:type="spellEnd"/>
          </w:p>
        </w:tc>
        <w:tc>
          <w:tcPr>
            <w:tcW w:w="2610" w:type="dxa"/>
          </w:tcPr>
          <w:p w:rsidR="00016F1E" w:rsidRPr="00E900BB" w:rsidRDefault="00016F1E" w:rsidP="00425BF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900BB">
              <w:rPr>
                <w:rFonts w:ascii="Arial" w:hAnsi="Arial" w:cs="Arial"/>
                <w:b/>
                <w:sz w:val="20"/>
                <w:szCs w:val="20"/>
              </w:rPr>
              <w:t>Đóng</w:t>
            </w:r>
            <w:proofErr w:type="spellEnd"/>
            <w:r w:rsidRPr="00E900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900BB">
              <w:rPr>
                <w:rFonts w:ascii="Arial" w:hAnsi="Arial" w:cs="Arial"/>
                <w:b/>
                <w:sz w:val="20"/>
                <w:szCs w:val="20"/>
              </w:rPr>
              <w:t>cửa</w:t>
            </w:r>
            <w:proofErr w:type="spellEnd"/>
            <w:r w:rsidRPr="00E900BB">
              <w:rPr>
                <w:rFonts w:ascii="Arial" w:hAnsi="Arial" w:cs="Arial"/>
                <w:b/>
                <w:sz w:val="20"/>
                <w:szCs w:val="20"/>
              </w:rPr>
              <w:t xml:space="preserve"> 29/6/2018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900BB">
              <w:rPr>
                <w:rFonts w:ascii="Arial" w:hAnsi="Arial" w:cs="Arial"/>
                <w:b/>
                <w:sz w:val="20"/>
                <w:szCs w:val="20"/>
              </w:rPr>
              <w:t>Đóng</w:t>
            </w:r>
            <w:proofErr w:type="spellEnd"/>
            <w:r w:rsidRPr="00E900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900BB">
              <w:rPr>
                <w:rFonts w:ascii="Arial" w:hAnsi="Arial" w:cs="Arial"/>
                <w:b/>
                <w:sz w:val="20"/>
                <w:szCs w:val="20"/>
              </w:rPr>
              <w:t>cửa</w:t>
            </w:r>
            <w:proofErr w:type="spellEnd"/>
            <w:r w:rsidRPr="00E900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DA3263" w:rsidRPr="00E900BB">
              <w:rPr>
                <w:rFonts w:ascii="Arial" w:hAnsi="Arial" w:cs="Arial"/>
                <w:b/>
                <w:sz w:val="20"/>
                <w:szCs w:val="20"/>
              </w:rPr>
              <w:t>năm</w:t>
            </w:r>
            <w:proofErr w:type="spellEnd"/>
            <w:r w:rsidR="00DA3263" w:rsidRPr="00E900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900B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Global Dow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2.979,52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3.085,41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Dow Jones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24.271,41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24.719,22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Nasdaq composite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7.510,30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6.903,39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S&amp;P 500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2.718,37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2.673,61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Russell 2000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1.643,07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1.535,51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NYSE composite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12.504,25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12.808,84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Canada S&amp;P/TSE composite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16.277,73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16.209,13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 xml:space="preserve">Brazil </w:t>
            </w:r>
            <w:proofErr w:type="spellStart"/>
            <w:r w:rsidRPr="00E900BB">
              <w:rPr>
                <w:rFonts w:ascii="Arial" w:hAnsi="Arial" w:cs="Arial"/>
                <w:sz w:val="20"/>
                <w:szCs w:val="20"/>
              </w:rPr>
              <w:t>Bovespa</w:t>
            </w:r>
            <w:proofErr w:type="spellEnd"/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72.762,52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76.402,08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0BB">
              <w:rPr>
                <w:rFonts w:ascii="Arial" w:hAnsi="Arial" w:cs="Arial"/>
                <w:sz w:val="20"/>
                <w:szCs w:val="20"/>
              </w:rPr>
              <w:t>Merval</w:t>
            </w:r>
            <w:proofErr w:type="spellEnd"/>
            <w:r w:rsidRPr="00E900BB">
              <w:rPr>
                <w:rFonts w:ascii="Arial" w:hAnsi="Arial" w:cs="Arial"/>
                <w:sz w:val="20"/>
                <w:szCs w:val="20"/>
              </w:rPr>
              <w:t xml:space="preserve"> Argentina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26.037,01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30.065,61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0BB">
              <w:rPr>
                <w:rFonts w:ascii="Arial" w:hAnsi="Arial" w:cs="Arial"/>
                <w:sz w:val="20"/>
                <w:szCs w:val="20"/>
              </w:rPr>
              <w:t>Mêhicô</w:t>
            </w:r>
            <w:proofErr w:type="spellEnd"/>
            <w:r w:rsidRPr="00E900BB">
              <w:rPr>
                <w:rFonts w:ascii="Arial" w:hAnsi="Arial" w:cs="Arial"/>
                <w:sz w:val="20"/>
                <w:szCs w:val="20"/>
              </w:rPr>
              <w:t>: IPC All-share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47.663,20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49.354,42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 xml:space="preserve">Euro </w:t>
            </w:r>
            <w:proofErr w:type="spellStart"/>
            <w:r w:rsidRPr="00E900BB">
              <w:rPr>
                <w:rFonts w:ascii="Arial" w:hAnsi="Arial" w:cs="Arial"/>
                <w:sz w:val="20"/>
                <w:szCs w:val="20"/>
              </w:rPr>
              <w:t>Stoxx</w:t>
            </w:r>
            <w:proofErr w:type="spellEnd"/>
            <w:r w:rsidRPr="00E900BB">
              <w:rPr>
                <w:rFonts w:ascii="Arial" w:hAnsi="Arial" w:cs="Arial"/>
                <w:sz w:val="20"/>
                <w:szCs w:val="20"/>
              </w:rPr>
              <w:t xml:space="preserve"> 50 (Euro zone)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3.395,60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3.503,96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0BB">
              <w:rPr>
                <w:rFonts w:ascii="Arial" w:hAnsi="Arial" w:cs="Arial"/>
                <w:sz w:val="20"/>
                <w:szCs w:val="20"/>
              </w:rPr>
              <w:t>Stoxx</w:t>
            </w:r>
            <w:proofErr w:type="spellEnd"/>
            <w:r w:rsidRPr="00E900BB">
              <w:rPr>
                <w:rFonts w:ascii="Arial" w:hAnsi="Arial" w:cs="Arial"/>
                <w:sz w:val="20"/>
                <w:szCs w:val="20"/>
              </w:rPr>
              <w:t xml:space="preserve"> Europe 50 (Europe)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3.042,96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3.177,84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Europe Dow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1.737,44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1.917,42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 xml:space="preserve">FTSE 100 </w:t>
            </w:r>
            <w:proofErr w:type="spellStart"/>
            <w:r w:rsidRPr="00E900BB">
              <w:rPr>
                <w:rFonts w:ascii="Arial" w:hAnsi="Arial" w:cs="Arial"/>
                <w:sz w:val="20"/>
                <w:szCs w:val="20"/>
              </w:rPr>
              <w:t>Luân</w:t>
            </w:r>
            <w:proofErr w:type="spellEnd"/>
            <w:r w:rsidRPr="00E900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900BB">
              <w:rPr>
                <w:rFonts w:ascii="Arial" w:hAnsi="Arial" w:cs="Arial"/>
                <w:sz w:val="20"/>
                <w:szCs w:val="20"/>
              </w:rPr>
              <w:t>Đôn</w:t>
            </w:r>
            <w:proofErr w:type="spellEnd"/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7.636,93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7.687,77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CAC 40 Paris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5.323,53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5.312,56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DAX Frankfurt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12.306,00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12.917,64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Italy FTSE MIB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21.626,27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21.853,34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Spain IBEX 35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9.622,70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10.043,9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0BB">
              <w:rPr>
                <w:rFonts w:ascii="Arial" w:hAnsi="Arial" w:cs="Arial"/>
                <w:sz w:val="20"/>
                <w:szCs w:val="20"/>
              </w:rPr>
              <w:t>Bồ</w:t>
            </w:r>
            <w:proofErr w:type="spellEnd"/>
            <w:r w:rsidRPr="00E900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900BB">
              <w:rPr>
                <w:rFonts w:ascii="Arial" w:hAnsi="Arial" w:cs="Arial"/>
                <w:sz w:val="20"/>
                <w:szCs w:val="20"/>
              </w:rPr>
              <w:t>Đào</w:t>
            </w:r>
            <w:proofErr w:type="spellEnd"/>
            <w:r w:rsidRPr="00E900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900BB">
              <w:rPr>
                <w:rFonts w:ascii="Arial" w:hAnsi="Arial" w:cs="Arial"/>
                <w:sz w:val="20"/>
                <w:szCs w:val="20"/>
              </w:rPr>
              <w:t>Nha</w:t>
            </w:r>
            <w:proofErr w:type="spellEnd"/>
            <w:r w:rsidRPr="00E900BB">
              <w:rPr>
                <w:rFonts w:ascii="Arial" w:hAnsi="Arial" w:cs="Arial"/>
                <w:sz w:val="20"/>
                <w:szCs w:val="20"/>
              </w:rPr>
              <w:t xml:space="preserve"> PSI 20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3.719,86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5.388,33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Russia RTS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1.154,16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1.154,43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Asia Dow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3.411,53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3.676,49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Australia All ordinaries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6.289,70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6.167,30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Australia S&amp;P/ASX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6.194,60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6.065,1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Nikkei 225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22.304,51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22.764,94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Japan TOPIX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1.730,89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1.817,56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0BB">
              <w:rPr>
                <w:rFonts w:ascii="Arial" w:hAnsi="Arial" w:cs="Arial"/>
                <w:sz w:val="20"/>
                <w:szCs w:val="20"/>
              </w:rPr>
              <w:t>Hongkong</w:t>
            </w:r>
            <w:proofErr w:type="spellEnd"/>
            <w:r w:rsidRPr="00E900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900BB">
              <w:rPr>
                <w:rFonts w:ascii="Arial" w:hAnsi="Arial" w:cs="Arial"/>
                <w:sz w:val="20"/>
                <w:szCs w:val="20"/>
              </w:rPr>
              <w:t>Hangseng</w:t>
            </w:r>
            <w:proofErr w:type="spellEnd"/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28.955,11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29.919,15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Shanghai composite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2.847,42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3.307,17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0BB">
              <w:rPr>
                <w:rFonts w:ascii="Arial" w:hAnsi="Arial" w:cs="Arial"/>
                <w:sz w:val="20"/>
                <w:szCs w:val="20"/>
              </w:rPr>
              <w:t>Thâm</w:t>
            </w:r>
            <w:proofErr w:type="spellEnd"/>
            <w:r w:rsidRPr="00E900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900BB">
              <w:rPr>
                <w:rFonts w:ascii="Arial" w:hAnsi="Arial" w:cs="Arial"/>
                <w:sz w:val="20"/>
                <w:szCs w:val="20"/>
              </w:rPr>
              <w:t>Quyến</w:t>
            </w:r>
            <w:proofErr w:type="spellEnd"/>
            <w:r w:rsidRPr="00E900BB">
              <w:rPr>
                <w:rFonts w:ascii="Arial" w:hAnsi="Arial" w:cs="Arial"/>
                <w:sz w:val="20"/>
                <w:szCs w:val="20"/>
              </w:rPr>
              <w:t xml:space="preserve"> composite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1.607,62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1.899,34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0BB">
              <w:rPr>
                <w:rFonts w:ascii="Arial" w:hAnsi="Arial" w:cs="Arial"/>
                <w:sz w:val="20"/>
                <w:szCs w:val="20"/>
              </w:rPr>
              <w:t>Ấn</w:t>
            </w:r>
            <w:proofErr w:type="spellEnd"/>
            <w:r w:rsidRPr="00E900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900BB">
              <w:rPr>
                <w:rFonts w:ascii="Arial" w:hAnsi="Arial" w:cs="Arial"/>
                <w:sz w:val="20"/>
                <w:szCs w:val="20"/>
              </w:rPr>
              <w:t>Độ</w:t>
            </w:r>
            <w:proofErr w:type="spellEnd"/>
            <w:r w:rsidRPr="00E900BB">
              <w:rPr>
                <w:rFonts w:ascii="Arial" w:hAnsi="Arial" w:cs="Arial"/>
                <w:sz w:val="20"/>
                <w:szCs w:val="20"/>
              </w:rPr>
              <w:t xml:space="preserve"> BSE Sensex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35.423,48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34.056,83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Indonesia JSX Index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5.799,24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6.355,65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0BB">
              <w:rPr>
                <w:rFonts w:ascii="Arial" w:hAnsi="Arial" w:cs="Arial"/>
                <w:sz w:val="20"/>
                <w:szCs w:val="20"/>
              </w:rPr>
              <w:t>Kopsi</w:t>
            </w:r>
            <w:proofErr w:type="spellEnd"/>
            <w:r w:rsidRPr="00E900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900BB">
              <w:rPr>
                <w:rFonts w:ascii="Arial" w:hAnsi="Arial" w:cs="Arial"/>
                <w:sz w:val="20"/>
                <w:szCs w:val="20"/>
              </w:rPr>
              <w:t>Hàn</w:t>
            </w:r>
            <w:proofErr w:type="spellEnd"/>
            <w:r w:rsidRPr="00E900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900BB">
              <w:rPr>
                <w:rFonts w:ascii="Arial" w:hAnsi="Arial" w:cs="Arial"/>
                <w:sz w:val="20"/>
                <w:szCs w:val="20"/>
              </w:rPr>
              <w:t>Quốc</w:t>
            </w:r>
            <w:proofErr w:type="spellEnd"/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2.326,13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2.467,49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Singapore Straits Times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3.268,70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3.402,92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Philippines PSE Composite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7.193,68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8.558,42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0BB">
              <w:rPr>
                <w:rFonts w:ascii="Arial" w:hAnsi="Arial" w:cs="Arial"/>
                <w:sz w:val="20"/>
                <w:szCs w:val="20"/>
              </w:rPr>
              <w:t>Thái</w:t>
            </w:r>
            <w:proofErr w:type="spellEnd"/>
            <w:r w:rsidRPr="00E900BB">
              <w:rPr>
                <w:rFonts w:ascii="Arial" w:hAnsi="Arial" w:cs="Arial"/>
                <w:sz w:val="20"/>
                <w:szCs w:val="20"/>
              </w:rPr>
              <w:t xml:space="preserve"> Lan SET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1.595,58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1.753,71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CH Nam Phi FTSE/JSE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57.610,98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59.504,67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00BB">
              <w:rPr>
                <w:rFonts w:ascii="Arial" w:hAnsi="Arial" w:cs="Arial"/>
                <w:sz w:val="20"/>
                <w:szCs w:val="20"/>
              </w:rPr>
              <w:t>Vn</w:t>
            </w:r>
            <w:proofErr w:type="spellEnd"/>
            <w:r w:rsidRPr="00E900BB">
              <w:rPr>
                <w:rFonts w:ascii="Arial" w:hAnsi="Arial" w:cs="Arial"/>
                <w:sz w:val="20"/>
                <w:szCs w:val="20"/>
              </w:rPr>
              <w:t xml:space="preserve"> Index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960,78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984,24</w:t>
            </w:r>
          </w:p>
        </w:tc>
      </w:tr>
      <w:tr w:rsidR="005A7740" w:rsidRPr="00E900BB" w:rsidTr="00425BF9">
        <w:tc>
          <w:tcPr>
            <w:tcW w:w="4050" w:type="dxa"/>
          </w:tcPr>
          <w:p w:rsidR="00016F1E" w:rsidRPr="00E900BB" w:rsidRDefault="00016F1E" w:rsidP="00425BF9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HNX Index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</w:rPr>
              <w:t>106,17</w:t>
            </w:r>
          </w:p>
        </w:tc>
        <w:tc>
          <w:tcPr>
            <w:tcW w:w="2610" w:type="dxa"/>
          </w:tcPr>
          <w:p w:rsidR="00016F1E" w:rsidRPr="00E900BB" w:rsidRDefault="00016F1E" w:rsidP="00425BF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0B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116,86</w:t>
            </w:r>
          </w:p>
        </w:tc>
      </w:tr>
    </w:tbl>
    <w:p w:rsidR="00016F1E" w:rsidRPr="00E900BB" w:rsidRDefault="00016F1E" w:rsidP="00016F1E">
      <w:pPr>
        <w:pStyle w:val="ListParagraph"/>
        <w:spacing w:after="60" w:line="240" w:lineRule="auto"/>
        <w:ind w:left="36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E900BB">
        <w:rPr>
          <w:rFonts w:ascii="Arial" w:eastAsia="Times New Roman" w:hAnsi="Arial" w:cs="Arial"/>
          <w:sz w:val="16"/>
          <w:szCs w:val="16"/>
        </w:rPr>
        <w:t>Nguồn</w:t>
      </w:r>
      <w:proofErr w:type="spellEnd"/>
      <w:r w:rsidRPr="00E900BB">
        <w:rPr>
          <w:rFonts w:ascii="Arial" w:eastAsia="Times New Roman" w:hAnsi="Arial" w:cs="Arial"/>
          <w:sz w:val="16"/>
          <w:szCs w:val="16"/>
        </w:rPr>
        <w:t>: WS. Journal</w:t>
      </w:r>
    </w:p>
    <w:p w:rsidR="00702937" w:rsidRPr="00E900BB" w:rsidRDefault="00D1020D" w:rsidP="00E900BB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Nguyên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nhân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cơ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bản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của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xu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hướng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giảm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điểm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trên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các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thị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trường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chứ</w:t>
      </w:r>
      <w:r w:rsidR="00257256" w:rsidRPr="00E900BB">
        <w:rPr>
          <w:rFonts w:ascii="Arial" w:hAnsi="Arial" w:cs="Arial"/>
          <w:sz w:val="20"/>
          <w:szCs w:val="20"/>
          <w:bdr w:val="none" w:sz="0" w:space="0" w:color="auto" w:frame="1"/>
        </w:rPr>
        <w:t>ng</w:t>
      </w:r>
      <w:proofErr w:type="spellEnd"/>
      <w:r w:rsidR="00257256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257256" w:rsidRPr="00E900BB">
        <w:rPr>
          <w:rFonts w:ascii="Arial" w:hAnsi="Arial" w:cs="Arial"/>
          <w:sz w:val="20"/>
          <w:szCs w:val="20"/>
          <w:bdr w:val="none" w:sz="0" w:space="0" w:color="auto" w:frame="1"/>
        </w:rPr>
        <w:t>khoán</w:t>
      </w:r>
      <w:proofErr w:type="spellEnd"/>
      <w:r w:rsidR="00257256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257256" w:rsidRPr="00E900BB">
        <w:rPr>
          <w:rFonts w:ascii="Arial" w:hAnsi="Arial" w:cs="Arial"/>
          <w:sz w:val="20"/>
          <w:szCs w:val="20"/>
          <w:bdr w:val="none" w:sz="0" w:space="0" w:color="auto" w:frame="1"/>
        </w:rPr>
        <w:t>thế</w:t>
      </w:r>
      <w:proofErr w:type="spellEnd"/>
      <w:r w:rsidR="00257256"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257256" w:rsidRPr="00E900BB">
        <w:rPr>
          <w:rFonts w:ascii="Arial" w:hAnsi="Arial" w:cs="Arial"/>
          <w:sz w:val="20"/>
          <w:szCs w:val="20"/>
          <w:bdr w:val="none" w:sz="0" w:space="0" w:color="auto" w:frame="1"/>
        </w:rPr>
        <w:t>giới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là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do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tăng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trưởng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kinh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tế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sau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năm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2018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được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dự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báo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sẽ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chậm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dần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điều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này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khiến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các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nhà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đầu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tư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phải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thận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trọng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và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tìm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cách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rút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vốn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khỏi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các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sàn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giao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dịch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để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bảo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toàn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tài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sản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Quyết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định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chốt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lời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cũng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xảy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ra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đối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với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các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loại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tiền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ảo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chủ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chốt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được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xếp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vào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nhóm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những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cổ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phiếu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đặc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biệt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do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mức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tăng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trưởng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ngoạn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mục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trong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thời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gian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vừa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qua. </w:t>
      </w:r>
      <w:proofErr w:type="spellStart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>Ngày</w:t>
      </w:r>
      <w:proofErr w:type="spellEnd"/>
      <w:r w:rsidRPr="00E900BB">
        <w:rPr>
          <w:rFonts w:ascii="Arial" w:hAnsi="Arial" w:cs="Arial"/>
          <w:sz w:val="20"/>
          <w:szCs w:val="20"/>
          <w:bdr w:val="none" w:sz="0" w:space="0" w:color="auto" w:frame="1"/>
        </w:rPr>
        <w:t xml:space="preserve"> 29/6/2018, </w:t>
      </w:r>
      <w:proofErr w:type="spellStart"/>
      <w:r w:rsidRPr="00E900BB">
        <w:rPr>
          <w:rFonts w:ascii="Arial" w:hAnsi="Arial" w:cs="Arial"/>
          <w:sz w:val="20"/>
          <w:szCs w:val="20"/>
        </w:rPr>
        <w:t>giá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Bitcoin </w:t>
      </w:r>
      <w:proofErr w:type="spellStart"/>
      <w:r w:rsidRPr="00E900BB">
        <w:rPr>
          <w:rFonts w:ascii="Arial" w:hAnsi="Arial" w:cs="Arial"/>
          <w:sz w:val="20"/>
          <w:szCs w:val="20"/>
        </w:rPr>
        <w:t>trên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sàn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Coindesk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có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lúc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giảm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xuống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dưới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5.800 USD, </w:t>
      </w:r>
      <w:proofErr w:type="spellStart"/>
      <w:r w:rsidRPr="00E900BB">
        <w:rPr>
          <w:rFonts w:ascii="Arial" w:hAnsi="Arial" w:cs="Arial"/>
          <w:sz w:val="20"/>
          <w:szCs w:val="20"/>
        </w:rPr>
        <w:t>mức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giá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thấp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nhất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kể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từ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giữa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tháng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11/2017. </w:t>
      </w:r>
      <w:proofErr w:type="spellStart"/>
      <w:r w:rsidRPr="00E900BB">
        <w:rPr>
          <w:rFonts w:ascii="Arial" w:hAnsi="Arial" w:cs="Arial"/>
          <w:sz w:val="20"/>
          <w:szCs w:val="20"/>
        </w:rPr>
        <w:t>Với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mức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giá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này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00BB">
        <w:rPr>
          <w:rFonts w:ascii="Arial" w:hAnsi="Arial" w:cs="Arial"/>
          <w:sz w:val="20"/>
          <w:szCs w:val="20"/>
        </w:rPr>
        <w:t>tiền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ảo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Bitcoin </w:t>
      </w:r>
      <w:proofErr w:type="spellStart"/>
      <w:r w:rsidRPr="00E900BB">
        <w:rPr>
          <w:rFonts w:ascii="Arial" w:hAnsi="Arial" w:cs="Arial"/>
          <w:sz w:val="20"/>
          <w:szCs w:val="20"/>
        </w:rPr>
        <w:t>đã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giảm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gần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60% so </w:t>
      </w:r>
      <w:proofErr w:type="spellStart"/>
      <w:r w:rsidRPr="00E900BB">
        <w:rPr>
          <w:rFonts w:ascii="Arial" w:hAnsi="Arial" w:cs="Arial"/>
          <w:sz w:val="20"/>
          <w:szCs w:val="20"/>
        </w:rPr>
        <w:t>với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đầu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năm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00BB">
        <w:rPr>
          <w:rFonts w:ascii="Arial" w:hAnsi="Arial" w:cs="Arial"/>
          <w:sz w:val="20"/>
          <w:szCs w:val="20"/>
        </w:rPr>
        <w:t>sau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khi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tăng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1.300% </w:t>
      </w:r>
      <w:proofErr w:type="spellStart"/>
      <w:r w:rsidRPr="00E900BB">
        <w:rPr>
          <w:rFonts w:ascii="Arial" w:hAnsi="Arial" w:cs="Arial"/>
          <w:sz w:val="20"/>
          <w:szCs w:val="20"/>
        </w:rPr>
        <w:t>trong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năm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2017.</w:t>
      </w:r>
      <w:r w:rsidR="0070293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Đà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sụt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giảm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Bitcoin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kéo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="00702937" w:rsidRPr="00E900BB">
        <w:rPr>
          <w:rFonts w:ascii="Arial" w:eastAsia="Times New Roman" w:hAnsi="Arial" w:cs="Arial"/>
          <w:sz w:val="20"/>
          <w:szCs w:val="20"/>
        </w:rPr>
        <w:t>theo</w:t>
      </w:r>
      <w:proofErr w:type="spellEnd"/>
      <w:proofErr w:type="gram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toàn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thị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trường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ảo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nói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chung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k</w:t>
      </w:r>
      <w:r w:rsidR="00257256" w:rsidRPr="00E900BB">
        <w:rPr>
          <w:rFonts w:ascii="Arial" w:eastAsia="Times New Roman" w:hAnsi="Arial" w:cs="Arial"/>
          <w:sz w:val="20"/>
          <w:szCs w:val="20"/>
        </w:rPr>
        <w:t>hiến</w:t>
      </w:r>
      <w:proofErr w:type="spellEnd"/>
      <w:r w:rsidR="00257256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57256" w:rsidRPr="00E900BB">
        <w:rPr>
          <w:rFonts w:ascii="Arial" w:eastAsia="Times New Roman" w:hAnsi="Arial" w:cs="Arial"/>
          <w:sz w:val="20"/>
          <w:szCs w:val="20"/>
        </w:rPr>
        <w:t>hàng</w:t>
      </w:r>
      <w:proofErr w:type="spellEnd"/>
      <w:r w:rsidR="00257256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57256" w:rsidRPr="00E900BB">
        <w:rPr>
          <w:rFonts w:ascii="Arial" w:eastAsia="Times New Roman" w:hAnsi="Arial" w:cs="Arial"/>
          <w:sz w:val="20"/>
          <w:szCs w:val="20"/>
        </w:rPr>
        <w:t>loạt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loại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ảo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khác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bỗng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chốc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trở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nên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vô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giá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trị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tương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tự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như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phận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những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vụ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phát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hành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cổ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phiếu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lần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(IPO)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bùng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nổ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thời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kỳ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bong </w:t>
      </w:r>
      <w:proofErr w:type="spellStart"/>
      <w:r w:rsidR="00702937" w:rsidRPr="00E900BB">
        <w:rPr>
          <w:rFonts w:ascii="Arial" w:eastAsia="Times New Roman" w:hAnsi="Arial" w:cs="Arial"/>
          <w:sz w:val="20"/>
          <w:szCs w:val="20"/>
        </w:rPr>
        <w:t>bóng</w:t>
      </w:r>
      <w:proofErr w:type="spellEnd"/>
      <w:r w:rsidR="00702937" w:rsidRPr="00E900BB">
        <w:rPr>
          <w:rFonts w:ascii="Arial" w:eastAsia="Times New Roman" w:hAnsi="Arial" w:cs="Arial"/>
          <w:sz w:val="20"/>
          <w:szCs w:val="20"/>
        </w:rPr>
        <w:t xml:space="preserve"> dotcom.</w:t>
      </w:r>
    </w:p>
    <w:p w:rsidR="00663411" w:rsidRPr="00E900BB" w:rsidRDefault="00663411" w:rsidP="00E900BB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900BB">
        <w:rPr>
          <w:rFonts w:ascii="Arial" w:eastAsia="Times New Roman" w:hAnsi="Arial" w:cs="Arial"/>
          <w:sz w:val="20"/>
          <w:szCs w:val="20"/>
        </w:rPr>
        <w:lastRenderedPageBreak/>
        <w:t>Nguyên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nhân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tiếp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do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biện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pháp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bảo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hộ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thương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mại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sách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hướng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nội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Mỹ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dưới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thời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Tổng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thống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Donald Trump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đã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cản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trở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thương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mại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toàn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cầu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nhất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những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thặng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dư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thương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mại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Mỹ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ở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mức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cao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từ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Trung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Quốc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Nhật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Bản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, CHLB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Đức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đến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Hàn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Quốc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900BB">
        <w:rPr>
          <w:rFonts w:ascii="Arial" w:eastAsia="Times New Roman" w:hAnsi="Arial" w:cs="Arial"/>
          <w:sz w:val="20"/>
          <w:szCs w:val="20"/>
        </w:rPr>
        <w:t>Mêhicô</w:t>
      </w:r>
      <w:proofErr w:type="spellEnd"/>
      <w:r w:rsidRPr="00E900BB">
        <w:rPr>
          <w:rFonts w:ascii="Arial" w:eastAsia="Times New Roman" w:hAnsi="Arial" w:cs="Arial"/>
          <w:sz w:val="20"/>
          <w:szCs w:val="20"/>
        </w:rPr>
        <w:t xml:space="preserve">, v.v.  </w:t>
      </w:r>
    </w:p>
    <w:p w:rsidR="00257256" w:rsidRPr="00E900BB" w:rsidRDefault="00702937" w:rsidP="00E900BB">
      <w:pPr>
        <w:shd w:val="clear" w:color="auto" w:fill="FFFFFF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900BB">
        <w:rPr>
          <w:rFonts w:ascii="Arial" w:hAnsi="Arial" w:cs="Arial"/>
          <w:sz w:val="20"/>
          <w:szCs w:val="20"/>
        </w:rPr>
        <w:t>Tuy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nhiên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00BB">
        <w:rPr>
          <w:rFonts w:ascii="Arial" w:hAnsi="Arial" w:cs="Arial"/>
          <w:sz w:val="20"/>
          <w:szCs w:val="20"/>
        </w:rPr>
        <w:t>một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nguyên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nhân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quan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trọng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khác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Pr="00E900BB">
        <w:rPr>
          <w:rFonts w:ascii="Arial" w:hAnsi="Arial" w:cs="Arial"/>
          <w:sz w:val="20"/>
          <w:szCs w:val="20"/>
        </w:rPr>
        <w:t>phối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diễn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biến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trên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các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thị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trường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chứng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khoán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là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do USD </w:t>
      </w:r>
      <w:proofErr w:type="spellStart"/>
      <w:r w:rsidRPr="00E900BB">
        <w:rPr>
          <w:rFonts w:ascii="Arial" w:hAnsi="Arial" w:cs="Arial"/>
          <w:sz w:val="20"/>
          <w:szCs w:val="20"/>
        </w:rPr>
        <w:t>tăng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giá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trở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lại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và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Cục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Dự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trữ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liên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bang </w:t>
      </w:r>
      <w:proofErr w:type="spellStart"/>
      <w:r w:rsidRPr="00E900BB">
        <w:rPr>
          <w:rFonts w:ascii="Arial" w:hAnsi="Arial" w:cs="Arial"/>
          <w:sz w:val="20"/>
          <w:szCs w:val="20"/>
        </w:rPr>
        <w:t>Mỹ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tăng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cường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tần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suấ</w:t>
      </w:r>
      <w:r w:rsidR="00257256" w:rsidRPr="00E900BB">
        <w:rPr>
          <w:rFonts w:ascii="Arial" w:hAnsi="Arial" w:cs="Arial"/>
          <w:sz w:val="20"/>
          <w:szCs w:val="20"/>
        </w:rPr>
        <w:t>t</w:t>
      </w:r>
      <w:proofErr w:type="spellEnd"/>
      <w:r w:rsidR="00257256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7256" w:rsidRPr="00E900BB">
        <w:rPr>
          <w:rFonts w:ascii="Arial" w:hAnsi="Arial" w:cs="Arial"/>
          <w:sz w:val="20"/>
          <w:szCs w:val="20"/>
        </w:rPr>
        <w:t>cũng</w:t>
      </w:r>
      <w:proofErr w:type="spellEnd"/>
      <w:r w:rsidR="00257256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7256" w:rsidRPr="00E900BB">
        <w:rPr>
          <w:rFonts w:ascii="Arial" w:hAnsi="Arial" w:cs="Arial"/>
          <w:sz w:val="20"/>
          <w:szCs w:val="20"/>
        </w:rPr>
        <w:t>như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quy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mô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các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đợt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tăng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lãi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suấ</w:t>
      </w:r>
      <w:r w:rsidR="00257256" w:rsidRPr="00E900BB">
        <w:rPr>
          <w:rFonts w:ascii="Arial" w:hAnsi="Arial" w:cs="Arial"/>
          <w:sz w:val="20"/>
          <w:szCs w:val="20"/>
        </w:rPr>
        <w:t>t</w:t>
      </w:r>
      <w:proofErr w:type="spellEnd"/>
      <w:r w:rsidRPr="00E900BB">
        <w:rPr>
          <w:rFonts w:ascii="Arial" w:hAnsi="Arial" w:cs="Arial"/>
          <w:sz w:val="20"/>
          <w:szCs w:val="20"/>
        </w:rPr>
        <w:t>.</w:t>
      </w:r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Cùng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với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chương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trình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cắt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giảm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thuế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và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tiêu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công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quy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mô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lớn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các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động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thái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chính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sách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tại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Mỹ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cũng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góp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phần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tăng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tính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hấp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dẫn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của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và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trái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phiếu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kho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bạc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Mỹ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Tại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Phố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Wall,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chỉ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số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dollar index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đóng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cửa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phiên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giao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dịch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ngày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29/6/2018 ở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mức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88,03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điểm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cao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hơn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hẳn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với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khoảng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82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điểm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vào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cuối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năm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2017;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lợi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suất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trái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phiếu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kho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bạc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Mỹ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kỳ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hạn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10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năm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chốt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mức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r w:rsidR="00F73BA7" w:rsidRPr="00E900BB">
        <w:rPr>
          <w:rFonts w:ascii="Arial" w:hAnsi="Arial" w:cs="Arial"/>
          <w:sz w:val="20"/>
          <w:szCs w:val="20"/>
        </w:rPr>
        <w:t xml:space="preserve">2,86%,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cao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hơn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hẳn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r w:rsidR="00257256" w:rsidRPr="00E900BB">
        <w:rPr>
          <w:rFonts w:ascii="Arial" w:hAnsi="Arial" w:cs="Arial"/>
          <w:sz w:val="20"/>
          <w:szCs w:val="20"/>
        </w:rPr>
        <w:t xml:space="preserve">so </w:t>
      </w:r>
      <w:proofErr w:type="spellStart"/>
      <w:r w:rsidR="00257256" w:rsidRPr="00E900BB">
        <w:rPr>
          <w:rFonts w:ascii="Arial" w:hAnsi="Arial" w:cs="Arial"/>
          <w:sz w:val="20"/>
          <w:szCs w:val="20"/>
        </w:rPr>
        <w:t>với</w:t>
      </w:r>
      <w:proofErr w:type="spellEnd"/>
      <w:r w:rsidR="00257256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7256" w:rsidRPr="00E900BB">
        <w:rPr>
          <w:rFonts w:ascii="Arial" w:hAnsi="Arial" w:cs="Arial"/>
          <w:sz w:val="20"/>
          <w:szCs w:val="20"/>
        </w:rPr>
        <w:t>lợi</w:t>
      </w:r>
      <w:proofErr w:type="spellEnd"/>
      <w:r w:rsidR="00257256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7256" w:rsidRPr="00E900BB">
        <w:rPr>
          <w:rFonts w:ascii="Arial" w:hAnsi="Arial" w:cs="Arial"/>
          <w:sz w:val="20"/>
          <w:szCs w:val="20"/>
        </w:rPr>
        <w:t>suất</w:t>
      </w:r>
      <w:proofErr w:type="spellEnd"/>
      <w:r w:rsidR="00257256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trái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phiếu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cùng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loại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tại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CHLB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Đức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(0,304%),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Nhật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Bản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(0,032%), VQ Anh (1,279%). </w:t>
      </w:r>
      <w:r w:rsidR="00663411" w:rsidRPr="00E900BB">
        <w:rPr>
          <w:rFonts w:ascii="Arial" w:hAnsi="Arial" w:cs="Arial"/>
          <w:sz w:val="20"/>
          <w:szCs w:val="20"/>
        </w:rPr>
        <w:t xml:space="preserve">Hai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yếu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tố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này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đã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tác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động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trực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tiếp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đến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các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nước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mới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nổi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khi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nhiều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doanh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nghiệp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7740" w:rsidRPr="00E900BB">
        <w:rPr>
          <w:rFonts w:ascii="Arial" w:hAnsi="Arial" w:cs="Arial"/>
          <w:sz w:val="20"/>
          <w:szCs w:val="20"/>
        </w:rPr>
        <w:t>tìm</w:t>
      </w:r>
      <w:proofErr w:type="spellEnd"/>
      <w:r w:rsidR="005A7740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7740" w:rsidRPr="00E900BB">
        <w:rPr>
          <w:rFonts w:ascii="Arial" w:hAnsi="Arial" w:cs="Arial"/>
          <w:sz w:val="20"/>
          <w:szCs w:val="20"/>
        </w:rPr>
        <w:t>cách</w:t>
      </w:r>
      <w:proofErr w:type="spellEnd"/>
      <w:r w:rsidR="005A7740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7740" w:rsidRPr="00E900BB">
        <w:rPr>
          <w:rFonts w:ascii="Arial" w:hAnsi="Arial" w:cs="Arial"/>
          <w:sz w:val="20"/>
          <w:szCs w:val="20"/>
        </w:rPr>
        <w:t>tháo</w:t>
      </w:r>
      <w:proofErr w:type="spellEnd"/>
      <w:r w:rsidR="005A7740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7740" w:rsidRPr="00E900BB">
        <w:rPr>
          <w:rFonts w:ascii="Arial" w:hAnsi="Arial" w:cs="Arial"/>
          <w:sz w:val="20"/>
          <w:szCs w:val="20"/>
        </w:rPr>
        <w:t>chạy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khỏi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7740" w:rsidRPr="00E900BB">
        <w:rPr>
          <w:rFonts w:ascii="Arial" w:hAnsi="Arial" w:cs="Arial"/>
          <w:sz w:val="20"/>
          <w:szCs w:val="20"/>
        </w:rPr>
        <w:t>vàng</w:t>
      </w:r>
      <w:proofErr w:type="spellEnd"/>
      <w:r w:rsidR="005A7740" w:rsidRPr="00E900B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A7740" w:rsidRPr="00E900BB">
        <w:rPr>
          <w:rFonts w:ascii="Arial" w:hAnsi="Arial" w:cs="Arial"/>
          <w:sz w:val="20"/>
          <w:szCs w:val="20"/>
        </w:rPr>
        <w:t>tiền</w:t>
      </w:r>
      <w:proofErr w:type="spellEnd"/>
      <w:r w:rsidR="005A7740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7740" w:rsidRPr="00E900BB">
        <w:rPr>
          <w:rFonts w:ascii="Arial" w:hAnsi="Arial" w:cs="Arial"/>
          <w:sz w:val="20"/>
          <w:szCs w:val="20"/>
        </w:rPr>
        <w:t>ảo</w:t>
      </w:r>
      <w:proofErr w:type="spellEnd"/>
      <w:r w:rsidR="005A7740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7740" w:rsidRPr="00E900BB">
        <w:rPr>
          <w:rFonts w:ascii="Arial" w:hAnsi="Arial" w:cs="Arial"/>
          <w:sz w:val="20"/>
          <w:szCs w:val="20"/>
        </w:rPr>
        <w:t>và</w:t>
      </w:r>
      <w:proofErr w:type="spellEnd"/>
      <w:r w:rsidR="005A7740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những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hoạt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động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đầu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tư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rủi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ro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tại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các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nước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đang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phát</w:t>
      </w:r>
      <w:proofErr w:type="spellEnd"/>
      <w:r w:rsidR="00663411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411" w:rsidRPr="00E900BB">
        <w:rPr>
          <w:rFonts w:ascii="Arial" w:hAnsi="Arial" w:cs="Arial"/>
          <w:sz w:val="20"/>
          <w:szCs w:val="20"/>
        </w:rPr>
        <w:t>triển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A7740" w:rsidRPr="00E900BB">
        <w:rPr>
          <w:rFonts w:ascii="Arial" w:hAnsi="Arial" w:cs="Arial"/>
          <w:sz w:val="20"/>
          <w:szCs w:val="20"/>
        </w:rPr>
        <w:t>sau</w:t>
      </w:r>
      <w:proofErr w:type="spellEnd"/>
      <w:r w:rsidR="005A7740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7740" w:rsidRPr="00E900BB">
        <w:rPr>
          <w:rFonts w:ascii="Arial" w:hAnsi="Arial" w:cs="Arial"/>
          <w:sz w:val="20"/>
          <w:szCs w:val="20"/>
        </w:rPr>
        <w:t>đó</w:t>
      </w:r>
      <w:proofErr w:type="spellEnd"/>
      <w:r w:rsidR="005A7740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chuyển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vào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Mỹ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và</w:t>
      </w:r>
      <w:proofErr w:type="spellEnd"/>
      <w:r w:rsidR="00257256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7256" w:rsidRPr="00E900BB">
        <w:rPr>
          <w:rFonts w:ascii="Arial" w:hAnsi="Arial" w:cs="Arial"/>
          <w:sz w:val="20"/>
          <w:szCs w:val="20"/>
        </w:rPr>
        <w:t>một</w:t>
      </w:r>
      <w:proofErr w:type="spellEnd"/>
      <w:r w:rsidR="00257256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7256" w:rsidRPr="00E900BB">
        <w:rPr>
          <w:rFonts w:ascii="Arial" w:hAnsi="Arial" w:cs="Arial"/>
          <w:sz w:val="20"/>
          <w:szCs w:val="20"/>
        </w:rPr>
        <w:t>số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nước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phát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triển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khác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Trong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số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này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các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thị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trường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chứng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khoán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tại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Trung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Quốc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lục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địa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ghi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nhận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mức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giảm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điểm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khá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sâu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sau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khi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suy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giảm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trong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5565" w:rsidRPr="00E900BB">
        <w:rPr>
          <w:rFonts w:ascii="Arial" w:hAnsi="Arial" w:cs="Arial"/>
          <w:sz w:val="20"/>
          <w:szCs w:val="20"/>
        </w:rPr>
        <w:t>năm</w:t>
      </w:r>
      <w:proofErr w:type="spellEnd"/>
      <w:r w:rsidR="00A95565" w:rsidRPr="00E900BB">
        <w:rPr>
          <w:rFonts w:ascii="Arial" w:hAnsi="Arial" w:cs="Arial"/>
          <w:sz w:val="20"/>
          <w:szCs w:val="20"/>
        </w:rPr>
        <w:t xml:space="preserve"> 2017. </w:t>
      </w:r>
    </w:p>
    <w:p w:rsidR="00F73BA7" w:rsidRPr="00E900BB" w:rsidRDefault="00A95565" w:rsidP="00E900BB">
      <w:pPr>
        <w:shd w:val="clear" w:color="auto" w:fill="FFFFFF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900BB">
        <w:rPr>
          <w:rFonts w:ascii="Arial" w:hAnsi="Arial" w:cs="Arial"/>
          <w:sz w:val="20"/>
          <w:szCs w:val="20"/>
        </w:rPr>
        <w:t>Trong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thời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gian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qua, </w:t>
      </w:r>
      <w:proofErr w:type="spellStart"/>
      <w:r w:rsidRPr="00E900BB">
        <w:rPr>
          <w:rFonts w:ascii="Arial" w:hAnsi="Arial" w:cs="Arial"/>
          <w:sz w:val="20"/>
          <w:szCs w:val="20"/>
        </w:rPr>
        <w:t>cuộc</w:t>
      </w:r>
      <w:proofErr w:type="spellEnd"/>
      <w:r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sz w:val="20"/>
          <w:szCs w:val="20"/>
        </w:rPr>
        <w:t>chiến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thương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mại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Mỹ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Trung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đã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gây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sức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ép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lên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giá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cổ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phiếu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và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nhân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dân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tệ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(CNY), do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Trung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Q</w:t>
      </w:r>
      <w:r w:rsidR="00F73BA7" w:rsidRPr="00E900BB">
        <w:rPr>
          <w:rFonts w:ascii="Arial" w:hAnsi="Arial" w:cs="Arial"/>
          <w:sz w:val="20"/>
          <w:szCs w:val="20"/>
        </w:rPr>
        <w:t>uố</w:t>
      </w:r>
      <w:r w:rsidR="00FB1443" w:rsidRPr="00E900BB">
        <w:rPr>
          <w:rFonts w:ascii="Arial" w:hAnsi="Arial" w:cs="Arial"/>
          <w:sz w:val="20"/>
          <w:szCs w:val="20"/>
        </w:rPr>
        <w:t>c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vẫn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phụ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thuộc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đáng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kể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vào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hoạt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động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xuất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khẩu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mặc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dù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đang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nỗ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lực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chuyển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sang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mô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hình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tăng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trưởng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hiệu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quả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hơn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Đáng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chú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ý,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các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động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thái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bơm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thêm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nguồn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vốn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hệ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thống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ngân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hàng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và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hạ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giá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CNY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nhằm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duy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trì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tăng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trưởng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GDP </w:t>
      </w:r>
      <w:proofErr w:type="spellStart"/>
      <w:r w:rsidR="00257256" w:rsidRPr="00E900BB">
        <w:rPr>
          <w:rFonts w:ascii="Arial" w:hAnsi="Arial" w:cs="Arial"/>
          <w:sz w:val="20"/>
          <w:szCs w:val="20"/>
        </w:rPr>
        <w:t>cao</w:t>
      </w:r>
      <w:proofErr w:type="spellEnd"/>
      <w:r w:rsidR="00257256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257256" w:rsidRPr="00E900BB">
        <w:rPr>
          <w:rFonts w:ascii="Arial" w:hAnsi="Arial" w:cs="Arial"/>
          <w:sz w:val="20"/>
          <w:szCs w:val="20"/>
        </w:rPr>
        <w:t>theo</w:t>
      </w:r>
      <w:proofErr w:type="spellEnd"/>
      <w:proofErr w:type="gramEnd"/>
      <w:r w:rsidR="00257256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7256" w:rsidRPr="00E900BB">
        <w:rPr>
          <w:rFonts w:ascii="Arial" w:hAnsi="Arial" w:cs="Arial"/>
          <w:sz w:val="20"/>
          <w:szCs w:val="20"/>
        </w:rPr>
        <w:t>kế</w:t>
      </w:r>
      <w:proofErr w:type="spellEnd"/>
      <w:r w:rsidR="00257256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7256" w:rsidRPr="00E900BB">
        <w:rPr>
          <w:rFonts w:ascii="Arial" w:hAnsi="Arial" w:cs="Arial"/>
          <w:sz w:val="20"/>
          <w:szCs w:val="20"/>
        </w:rPr>
        <w:t>hoạch</w:t>
      </w:r>
      <w:proofErr w:type="spellEnd"/>
      <w:r w:rsidR="00257256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7256" w:rsidRPr="00E900BB">
        <w:rPr>
          <w:rFonts w:ascii="Arial" w:hAnsi="Arial" w:cs="Arial"/>
          <w:sz w:val="20"/>
          <w:szCs w:val="20"/>
        </w:rPr>
        <w:t>đề</w:t>
      </w:r>
      <w:proofErr w:type="spellEnd"/>
      <w:r w:rsidR="00257256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7256" w:rsidRPr="00E900BB">
        <w:rPr>
          <w:rFonts w:ascii="Arial" w:hAnsi="Arial" w:cs="Arial"/>
          <w:sz w:val="20"/>
          <w:szCs w:val="20"/>
        </w:rPr>
        <w:t>ra</w:t>
      </w:r>
      <w:proofErr w:type="spellEnd"/>
      <w:r w:rsidR="00257256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được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cho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là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đang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trầm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trọng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thêm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tình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trạng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nợ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nần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kể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cả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nợ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công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và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nợ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doanh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nghiệp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Cùng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với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diễn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biến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ảm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đạm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trên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thị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trường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chứng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khoán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trong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thời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gian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qua</w:t>
      </w:r>
      <w:r w:rsidR="00F73BA7" w:rsidRPr="00E900B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các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vụ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vỡ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nợ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trái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phiếu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doanh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3BA7" w:rsidRPr="00E900BB">
        <w:rPr>
          <w:rFonts w:ascii="Arial" w:hAnsi="Arial" w:cs="Arial"/>
          <w:sz w:val="20"/>
          <w:szCs w:val="20"/>
        </w:rPr>
        <w:t>nghiệp</w:t>
      </w:r>
      <w:proofErr w:type="spellEnd"/>
      <w:r w:rsidR="00F73BA7" w:rsidRPr="00E900B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tình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trạng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thiếu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thanh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khoản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sự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mất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giá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của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CNY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đang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phát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tín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hiệu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về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những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nguy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cơ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tiềm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tàng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tại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nền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kinh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tế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này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trong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bối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cảnh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lãi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suất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tại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Mỹ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tăng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cao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và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căng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thẳng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thương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mại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Mỹ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Trung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tiếp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tục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443" w:rsidRPr="00E900BB">
        <w:rPr>
          <w:rFonts w:ascii="Arial" w:hAnsi="Arial" w:cs="Arial"/>
          <w:sz w:val="20"/>
          <w:szCs w:val="20"/>
        </w:rPr>
        <w:t>leo</w:t>
      </w:r>
      <w:proofErr w:type="spellEnd"/>
      <w:r w:rsidR="00FB1443" w:rsidRPr="00E900BB">
        <w:rPr>
          <w:rFonts w:ascii="Arial" w:hAnsi="Arial" w:cs="Arial"/>
          <w:sz w:val="20"/>
          <w:szCs w:val="20"/>
        </w:rPr>
        <w:t xml:space="preserve"> thang.  </w:t>
      </w:r>
    </w:p>
    <w:p w:rsidR="00C71D62" w:rsidRPr="00E900BB" w:rsidRDefault="00C71D62" w:rsidP="00E900BB">
      <w:pPr>
        <w:shd w:val="clear" w:color="auto" w:fill="FFFFFF"/>
        <w:spacing w:after="6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proofErr w:type="spellStart"/>
      <w:r w:rsidRPr="00E900BB">
        <w:rPr>
          <w:rFonts w:ascii="Arial" w:hAnsi="Arial" w:cs="Arial"/>
          <w:b/>
          <w:i/>
          <w:sz w:val="20"/>
          <w:szCs w:val="20"/>
        </w:rPr>
        <w:t>Hoàng</w:t>
      </w:r>
      <w:proofErr w:type="spellEnd"/>
      <w:r w:rsidRPr="00E900B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b/>
          <w:i/>
          <w:sz w:val="20"/>
          <w:szCs w:val="20"/>
        </w:rPr>
        <w:t>Thế</w:t>
      </w:r>
      <w:proofErr w:type="spellEnd"/>
      <w:r w:rsidRPr="00E900B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900BB">
        <w:rPr>
          <w:rFonts w:ascii="Arial" w:hAnsi="Arial" w:cs="Arial"/>
          <w:b/>
          <w:i/>
          <w:sz w:val="20"/>
          <w:szCs w:val="20"/>
        </w:rPr>
        <w:t>Thỏa</w:t>
      </w:r>
      <w:proofErr w:type="spellEnd"/>
    </w:p>
    <w:p w:rsidR="00FB1443" w:rsidRPr="00E900BB" w:rsidRDefault="00FB1443" w:rsidP="00E900BB">
      <w:pPr>
        <w:shd w:val="clear" w:color="auto" w:fill="FFFFFF"/>
        <w:spacing w:after="6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E900BB">
        <w:rPr>
          <w:rFonts w:ascii="Arial" w:hAnsi="Arial" w:cs="Arial"/>
          <w:i/>
          <w:sz w:val="20"/>
          <w:szCs w:val="20"/>
        </w:rPr>
        <w:t>Nguồn</w:t>
      </w:r>
      <w:proofErr w:type="spellEnd"/>
      <w:r w:rsidRPr="00E900BB">
        <w:rPr>
          <w:rFonts w:ascii="Arial" w:hAnsi="Arial" w:cs="Arial"/>
          <w:i/>
          <w:sz w:val="20"/>
          <w:szCs w:val="20"/>
        </w:rPr>
        <w:t xml:space="preserve">: </w:t>
      </w:r>
      <w:r w:rsidR="00E900BB">
        <w:rPr>
          <w:rFonts w:ascii="Arial" w:hAnsi="Arial" w:cs="Arial"/>
          <w:i/>
          <w:sz w:val="20"/>
          <w:szCs w:val="20"/>
        </w:rPr>
        <w:t xml:space="preserve">Bloomberg, </w:t>
      </w:r>
      <w:r w:rsidRPr="00E900BB">
        <w:rPr>
          <w:rFonts w:ascii="Arial" w:hAnsi="Arial" w:cs="Arial"/>
          <w:i/>
          <w:sz w:val="20"/>
          <w:szCs w:val="20"/>
        </w:rPr>
        <w:t>CNBC, WS. Journal</w:t>
      </w:r>
    </w:p>
    <w:sectPr w:rsidR="00FB1443" w:rsidRPr="00E900B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BFD" w:rsidRDefault="00184BFD" w:rsidP="00DA3263">
      <w:pPr>
        <w:spacing w:after="0" w:line="240" w:lineRule="auto"/>
      </w:pPr>
      <w:r>
        <w:separator/>
      </w:r>
    </w:p>
  </w:endnote>
  <w:endnote w:type="continuationSeparator" w:id="0">
    <w:p w:rsidR="00184BFD" w:rsidRDefault="00184BFD" w:rsidP="00DA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5814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3263" w:rsidRDefault="00DA32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F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3263" w:rsidRDefault="00DA3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BFD" w:rsidRDefault="00184BFD" w:rsidP="00DA3263">
      <w:pPr>
        <w:spacing w:after="0" w:line="240" w:lineRule="auto"/>
      </w:pPr>
      <w:r>
        <w:separator/>
      </w:r>
    </w:p>
  </w:footnote>
  <w:footnote w:type="continuationSeparator" w:id="0">
    <w:p w:rsidR="00184BFD" w:rsidRDefault="00184BFD" w:rsidP="00DA3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821B0"/>
    <w:multiLevelType w:val="hybridMultilevel"/>
    <w:tmpl w:val="3998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726C3"/>
    <w:multiLevelType w:val="hybridMultilevel"/>
    <w:tmpl w:val="667A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A4"/>
    <w:rsid w:val="0001335A"/>
    <w:rsid w:val="00016F1E"/>
    <w:rsid w:val="000F7A11"/>
    <w:rsid w:val="00184BFD"/>
    <w:rsid w:val="001C051C"/>
    <w:rsid w:val="001D087B"/>
    <w:rsid w:val="001D1A5D"/>
    <w:rsid w:val="00243F4E"/>
    <w:rsid w:val="00257256"/>
    <w:rsid w:val="00377C4C"/>
    <w:rsid w:val="003C0156"/>
    <w:rsid w:val="004305BF"/>
    <w:rsid w:val="004522A4"/>
    <w:rsid w:val="00483740"/>
    <w:rsid w:val="004956EA"/>
    <w:rsid w:val="004A5AD0"/>
    <w:rsid w:val="00512552"/>
    <w:rsid w:val="00587F4B"/>
    <w:rsid w:val="005A7740"/>
    <w:rsid w:val="005B46A0"/>
    <w:rsid w:val="006234F9"/>
    <w:rsid w:val="00663411"/>
    <w:rsid w:val="006F0260"/>
    <w:rsid w:val="00702937"/>
    <w:rsid w:val="00764EE6"/>
    <w:rsid w:val="007B0938"/>
    <w:rsid w:val="00801A35"/>
    <w:rsid w:val="009851BA"/>
    <w:rsid w:val="00A5308A"/>
    <w:rsid w:val="00A95565"/>
    <w:rsid w:val="00C71D62"/>
    <w:rsid w:val="00CF10DC"/>
    <w:rsid w:val="00D1020D"/>
    <w:rsid w:val="00D64E5A"/>
    <w:rsid w:val="00DA3263"/>
    <w:rsid w:val="00E900BB"/>
    <w:rsid w:val="00EC28AE"/>
    <w:rsid w:val="00F05EFD"/>
    <w:rsid w:val="00F72D1B"/>
    <w:rsid w:val="00F73BA7"/>
    <w:rsid w:val="00FB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99B9AE-0A1A-4B57-8B29-9D6C63E3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2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22A4"/>
    <w:rPr>
      <w:b/>
      <w:bCs/>
    </w:rPr>
  </w:style>
  <w:style w:type="paragraph" w:styleId="ListParagraph">
    <w:name w:val="List Paragraph"/>
    <w:basedOn w:val="Normal"/>
    <w:uiPriority w:val="34"/>
    <w:qFormat/>
    <w:rsid w:val="009851BA"/>
    <w:pPr>
      <w:ind w:left="720"/>
      <w:contextualSpacing/>
    </w:pPr>
  </w:style>
  <w:style w:type="table" w:styleId="TableGrid">
    <w:name w:val="Table Grid"/>
    <w:basedOn w:val="TableNormal"/>
    <w:uiPriority w:val="59"/>
    <w:rsid w:val="0098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C01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5EF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263"/>
  </w:style>
  <w:style w:type="paragraph" w:styleId="Footer">
    <w:name w:val="footer"/>
    <w:basedOn w:val="Normal"/>
    <w:link w:val="FooterChar"/>
    <w:uiPriority w:val="99"/>
    <w:unhideWhenUsed/>
    <w:rsid w:val="00DA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DELL-TRAN ANH</dc:creator>
  <cp:lastModifiedBy>Hewlett-Packard Company</cp:lastModifiedBy>
  <cp:revision>3</cp:revision>
  <dcterms:created xsi:type="dcterms:W3CDTF">2018-07-03T09:23:00Z</dcterms:created>
  <dcterms:modified xsi:type="dcterms:W3CDTF">2018-07-03T09:25:00Z</dcterms:modified>
</cp:coreProperties>
</file>