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422B" w:rsidRPr="000C6D4B" w:rsidRDefault="003D422B" w:rsidP="000C6D4B">
      <w:pPr>
        <w:shd w:val="clear" w:color="auto" w:fill="FFFFFF"/>
        <w:spacing w:after="60" w:line="240" w:lineRule="auto"/>
        <w:jc w:val="both"/>
        <w:rPr>
          <w:rFonts w:ascii="Arial" w:eastAsia="Times New Roman" w:hAnsi="Arial" w:cs="Arial"/>
          <w:sz w:val="20"/>
          <w:szCs w:val="20"/>
        </w:rPr>
      </w:pPr>
      <w:bookmarkStart w:id="0" w:name="_GoBack"/>
      <w:bookmarkEnd w:id="0"/>
      <w:r w:rsidRPr="000C6D4B">
        <w:rPr>
          <w:rFonts w:ascii="Arial" w:eastAsia="Times New Roman" w:hAnsi="Arial" w:cs="Arial"/>
          <w:sz w:val="20"/>
          <w:szCs w:val="20"/>
        </w:rPr>
        <w:t xml:space="preserve">Tại báo cáo này, IMF giữ nguyên dự báo kinh tế toàn cầu, nhưng điều chỉnh tốc độ tăng trưởng tại nhiều nước, kể cả tại các nước đang phát triển và mới nổi (EMDEs). Tại các nước phát triển, xu hướng phân kỳ về tăng trưởng kinh tế ngày càng tăng, nhất là giữa Mỹ với Nhật Bản và châu Âu. Cụ thể là, GDP tại một số nước phát triển hàng đầu có dấu hiệu giảm nhẹ so với dự báo cách đây ba tháng, ngoại trừ Mỹ, Canada, Tây Ban Nha và một số nước phát triển khác. </w:t>
      </w:r>
      <w:r w:rsidRPr="000C6D4B">
        <w:rPr>
          <w:rFonts w:ascii="Arial" w:eastAsia="Times New Roman" w:hAnsi="Arial" w:cs="Arial"/>
          <w:iCs/>
          <w:sz w:val="20"/>
          <w:szCs w:val="20"/>
        </w:rPr>
        <w:t xml:space="preserve">Trong nhóm các EMDE, </w:t>
      </w:r>
      <w:r w:rsidRPr="000C6D4B">
        <w:rPr>
          <w:rFonts w:ascii="Arial" w:eastAsia="Times New Roman" w:hAnsi="Arial" w:cs="Arial"/>
          <w:sz w:val="20"/>
          <w:szCs w:val="20"/>
        </w:rPr>
        <w:t>tăng trưởng kinh tế cũng có dấu hiệu khác biệt rõ rệt hơn. N</w:t>
      </w:r>
      <w:r w:rsidRPr="000C6D4B">
        <w:rPr>
          <w:rFonts w:ascii="Arial" w:eastAsia="Times New Roman" w:hAnsi="Arial" w:cs="Arial"/>
          <w:iCs/>
          <w:sz w:val="20"/>
          <w:szCs w:val="20"/>
        </w:rPr>
        <w:t>guyên nhân là do giá dầu thế giới tăng cao và căng thẳng thương mại gia tăng, động thái thắt chặt tiền tệ tại Mỹ đã hỗ trợ tăng lợi suất trái phiếu tại Mỹ và USD phục hồi tới 5% trong vòng 5 tháng qua, nhiều đồng tiền mới nổi mất giá mạnh, ảnh hưởng tiêu cực đến các hoạt động kinh tế trong nước.</w:t>
      </w:r>
      <w:r w:rsidRPr="000C6D4B">
        <w:rPr>
          <w:rFonts w:ascii="Arial" w:eastAsia="Times New Roman" w:hAnsi="Arial" w:cs="Arial"/>
          <w:sz w:val="20"/>
          <w:szCs w:val="20"/>
        </w:rPr>
        <w:t xml:space="preserve"> </w:t>
      </w:r>
    </w:p>
    <w:p w:rsidR="003D422B" w:rsidRPr="000C6D4B" w:rsidRDefault="003D422B" w:rsidP="000C6D4B">
      <w:pPr>
        <w:spacing w:after="60" w:line="240" w:lineRule="auto"/>
        <w:jc w:val="center"/>
        <w:outlineLvl w:val="1"/>
        <w:rPr>
          <w:rFonts w:ascii="Arial" w:hAnsi="Arial" w:cs="Arial"/>
          <w:b/>
          <w:i/>
          <w:sz w:val="20"/>
          <w:szCs w:val="20"/>
          <w:shd w:val="clear" w:color="auto" w:fill="FFFFFF"/>
        </w:rPr>
      </w:pPr>
      <w:r w:rsidRPr="000C6D4B">
        <w:rPr>
          <w:rFonts w:ascii="Arial" w:hAnsi="Arial" w:cs="Arial"/>
          <w:b/>
          <w:i/>
          <w:sz w:val="20"/>
          <w:szCs w:val="20"/>
          <w:shd w:val="clear" w:color="auto" w:fill="FFFFFF"/>
        </w:rPr>
        <w:t>Thực tế và dự báo kinh tế toàn cầu (% so với năm trước)</w:t>
      </w:r>
    </w:p>
    <w:tbl>
      <w:tblPr>
        <w:tblStyle w:val="TableGrid"/>
        <w:tblW w:w="9360" w:type="dxa"/>
        <w:jc w:val="center"/>
        <w:tblLayout w:type="fixed"/>
        <w:tblLook w:val="04A0" w:firstRow="1" w:lastRow="0" w:firstColumn="1" w:lastColumn="0" w:noHBand="0" w:noVBand="1"/>
      </w:tblPr>
      <w:tblGrid>
        <w:gridCol w:w="3420"/>
        <w:gridCol w:w="990"/>
        <w:gridCol w:w="990"/>
        <w:gridCol w:w="990"/>
        <w:gridCol w:w="990"/>
        <w:gridCol w:w="990"/>
        <w:gridCol w:w="990"/>
      </w:tblGrid>
      <w:tr w:rsidR="003D422B" w:rsidRPr="000C6D4B" w:rsidTr="000C6D4B">
        <w:trPr>
          <w:jc w:val="center"/>
        </w:trPr>
        <w:tc>
          <w:tcPr>
            <w:tcW w:w="3420" w:type="dxa"/>
            <w:tcBorders>
              <w:top w:val="single" w:sz="4" w:space="0" w:color="auto"/>
              <w:bottom w:val="single" w:sz="4" w:space="0" w:color="auto"/>
            </w:tcBorders>
          </w:tcPr>
          <w:p w:rsidR="003D422B" w:rsidRPr="000C6D4B" w:rsidRDefault="003D422B" w:rsidP="000C6D4B">
            <w:pPr>
              <w:spacing w:after="60"/>
              <w:jc w:val="center"/>
              <w:outlineLvl w:val="1"/>
              <w:rPr>
                <w:rFonts w:ascii="Arial" w:hAnsi="Arial" w:cs="Arial"/>
                <w:sz w:val="20"/>
                <w:szCs w:val="20"/>
                <w:shd w:val="clear" w:color="auto" w:fill="FFFFFF"/>
              </w:rPr>
            </w:pPr>
          </w:p>
        </w:tc>
        <w:tc>
          <w:tcPr>
            <w:tcW w:w="3960" w:type="dxa"/>
            <w:gridSpan w:val="4"/>
            <w:tcBorders>
              <w:top w:val="single" w:sz="4" w:space="0" w:color="auto"/>
              <w:bottom w:val="single" w:sz="4" w:space="0" w:color="auto"/>
            </w:tcBorders>
          </w:tcPr>
          <w:p w:rsidR="003D422B" w:rsidRPr="000C6D4B" w:rsidRDefault="003D422B" w:rsidP="000C6D4B">
            <w:pPr>
              <w:spacing w:after="60"/>
              <w:jc w:val="center"/>
              <w:outlineLvl w:val="1"/>
              <w:rPr>
                <w:rFonts w:ascii="Arial" w:hAnsi="Arial" w:cs="Arial"/>
                <w:b/>
                <w:sz w:val="20"/>
                <w:szCs w:val="20"/>
                <w:shd w:val="clear" w:color="auto" w:fill="FFFFFF"/>
              </w:rPr>
            </w:pPr>
            <w:r w:rsidRPr="000C6D4B">
              <w:rPr>
                <w:rFonts w:ascii="Arial" w:hAnsi="Arial" w:cs="Arial"/>
                <w:b/>
                <w:sz w:val="20"/>
                <w:szCs w:val="20"/>
                <w:shd w:val="clear" w:color="auto" w:fill="FFFFFF"/>
              </w:rPr>
              <w:t>Kết quả và dự báo</w:t>
            </w:r>
          </w:p>
        </w:tc>
        <w:tc>
          <w:tcPr>
            <w:tcW w:w="1980" w:type="dxa"/>
            <w:gridSpan w:val="2"/>
          </w:tcPr>
          <w:p w:rsidR="003D422B" w:rsidRPr="000C6D4B" w:rsidRDefault="003D422B" w:rsidP="000C6D4B">
            <w:pPr>
              <w:spacing w:after="60"/>
              <w:jc w:val="center"/>
              <w:outlineLvl w:val="1"/>
              <w:rPr>
                <w:rFonts w:ascii="Arial" w:hAnsi="Arial" w:cs="Arial"/>
                <w:b/>
                <w:sz w:val="20"/>
                <w:szCs w:val="20"/>
                <w:shd w:val="clear" w:color="auto" w:fill="FFFFFF"/>
              </w:rPr>
            </w:pPr>
            <w:r w:rsidRPr="000C6D4B">
              <w:rPr>
                <w:rFonts w:ascii="Arial" w:hAnsi="Arial" w:cs="Arial"/>
                <w:b/>
                <w:sz w:val="20"/>
                <w:szCs w:val="20"/>
                <w:shd w:val="clear" w:color="auto" w:fill="FFFFFF"/>
              </w:rPr>
              <w:t xml:space="preserve">Thay đổi </w:t>
            </w:r>
            <w:r w:rsidRPr="000C6D4B">
              <w:rPr>
                <w:rFonts w:ascii="Arial" w:hAnsi="Arial" w:cs="Arial"/>
                <w:b/>
                <w:sz w:val="20"/>
                <w:szCs w:val="20"/>
                <w:shd w:val="clear" w:color="auto" w:fill="FFFFFF"/>
                <w:vertAlign w:val="superscript"/>
              </w:rPr>
              <w:t>(1)</w:t>
            </w:r>
          </w:p>
        </w:tc>
      </w:tr>
      <w:tr w:rsidR="003D422B" w:rsidRPr="000C6D4B" w:rsidTr="000C6D4B">
        <w:trPr>
          <w:jc w:val="center"/>
        </w:trPr>
        <w:tc>
          <w:tcPr>
            <w:tcW w:w="3420" w:type="dxa"/>
            <w:tcBorders>
              <w:top w:val="single" w:sz="4" w:space="0" w:color="auto"/>
              <w:bottom w:val="single" w:sz="4" w:space="0" w:color="auto"/>
            </w:tcBorders>
          </w:tcPr>
          <w:p w:rsidR="003D422B" w:rsidRPr="000C6D4B" w:rsidRDefault="003D422B" w:rsidP="000C6D4B">
            <w:pPr>
              <w:spacing w:after="60"/>
              <w:jc w:val="center"/>
              <w:outlineLvl w:val="1"/>
              <w:rPr>
                <w:rFonts w:ascii="Arial" w:hAnsi="Arial" w:cs="Arial"/>
                <w:sz w:val="20"/>
                <w:szCs w:val="20"/>
                <w:shd w:val="clear" w:color="auto" w:fill="FFFFFF"/>
              </w:rPr>
            </w:pPr>
          </w:p>
        </w:tc>
        <w:tc>
          <w:tcPr>
            <w:tcW w:w="990" w:type="dxa"/>
            <w:tcBorders>
              <w:top w:val="single" w:sz="4" w:space="0" w:color="auto"/>
              <w:bottom w:val="single" w:sz="4" w:space="0" w:color="auto"/>
            </w:tcBorders>
          </w:tcPr>
          <w:p w:rsidR="003D422B" w:rsidRPr="000C6D4B" w:rsidRDefault="003D422B" w:rsidP="000C6D4B">
            <w:pPr>
              <w:spacing w:after="60"/>
              <w:jc w:val="center"/>
              <w:outlineLvl w:val="1"/>
              <w:rPr>
                <w:rFonts w:ascii="Arial" w:hAnsi="Arial" w:cs="Arial"/>
                <w:b/>
                <w:sz w:val="20"/>
                <w:szCs w:val="20"/>
                <w:shd w:val="clear" w:color="auto" w:fill="FFFFFF"/>
              </w:rPr>
            </w:pPr>
            <w:r w:rsidRPr="000C6D4B">
              <w:rPr>
                <w:rFonts w:ascii="Arial" w:hAnsi="Arial" w:cs="Arial"/>
                <w:b/>
                <w:sz w:val="20"/>
                <w:szCs w:val="20"/>
                <w:shd w:val="clear" w:color="auto" w:fill="FFFFFF"/>
              </w:rPr>
              <w:t>2016</w:t>
            </w:r>
          </w:p>
        </w:tc>
        <w:tc>
          <w:tcPr>
            <w:tcW w:w="990" w:type="dxa"/>
            <w:tcBorders>
              <w:top w:val="single" w:sz="4" w:space="0" w:color="auto"/>
              <w:bottom w:val="single" w:sz="4" w:space="0" w:color="auto"/>
            </w:tcBorders>
          </w:tcPr>
          <w:p w:rsidR="003D422B" w:rsidRPr="000C6D4B" w:rsidRDefault="003D422B" w:rsidP="000C6D4B">
            <w:pPr>
              <w:spacing w:after="60"/>
              <w:jc w:val="center"/>
              <w:outlineLvl w:val="1"/>
              <w:rPr>
                <w:rFonts w:ascii="Arial" w:hAnsi="Arial" w:cs="Arial"/>
                <w:b/>
                <w:sz w:val="20"/>
                <w:szCs w:val="20"/>
                <w:shd w:val="clear" w:color="auto" w:fill="FFFFFF"/>
              </w:rPr>
            </w:pPr>
            <w:r w:rsidRPr="000C6D4B">
              <w:rPr>
                <w:rFonts w:ascii="Arial" w:hAnsi="Arial" w:cs="Arial"/>
                <w:b/>
                <w:sz w:val="20"/>
                <w:szCs w:val="20"/>
                <w:shd w:val="clear" w:color="auto" w:fill="FFFFFF"/>
              </w:rPr>
              <w:t>2017</w:t>
            </w:r>
          </w:p>
        </w:tc>
        <w:tc>
          <w:tcPr>
            <w:tcW w:w="990" w:type="dxa"/>
            <w:tcBorders>
              <w:top w:val="single" w:sz="4" w:space="0" w:color="auto"/>
              <w:bottom w:val="single" w:sz="4" w:space="0" w:color="auto"/>
            </w:tcBorders>
          </w:tcPr>
          <w:p w:rsidR="003D422B" w:rsidRPr="000C6D4B" w:rsidRDefault="003D422B" w:rsidP="000C6D4B">
            <w:pPr>
              <w:spacing w:after="60"/>
              <w:jc w:val="center"/>
              <w:outlineLvl w:val="1"/>
              <w:rPr>
                <w:rFonts w:ascii="Arial" w:hAnsi="Arial" w:cs="Arial"/>
                <w:b/>
                <w:sz w:val="20"/>
                <w:szCs w:val="20"/>
                <w:shd w:val="clear" w:color="auto" w:fill="FFFFFF"/>
              </w:rPr>
            </w:pPr>
            <w:r w:rsidRPr="000C6D4B">
              <w:rPr>
                <w:rFonts w:ascii="Arial" w:hAnsi="Arial" w:cs="Arial"/>
                <w:b/>
                <w:sz w:val="20"/>
                <w:szCs w:val="20"/>
                <w:shd w:val="clear" w:color="auto" w:fill="FFFFFF"/>
              </w:rPr>
              <w:t>2018</w:t>
            </w:r>
          </w:p>
        </w:tc>
        <w:tc>
          <w:tcPr>
            <w:tcW w:w="990" w:type="dxa"/>
          </w:tcPr>
          <w:p w:rsidR="003D422B" w:rsidRPr="000C6D4B" w:rsidRDefault="003D422B" w:rsidP="000C6D4B">
            <w:pPr>
              <w:spacing w:after="60"/>
              <w:jc w:val="center"/>
              <w:outlineLvl w:val="1"/>
              <w:rPr>
                <w:rFonts w:ascii="Arial" w:hAnsi="Arial" w:cs="Arial"/>
                <w:b/>
                <w:sz w:val="20"/>
                <w:szCs w:val="20"/>
                <w:shd w:val="clear" w:color="auto" w:fill="FFFFFF"/>
              </w:rPr>
            </w:pPr>
            <w:r w:rsidRPr="000C6D4B">
              <w:rPr>
                <w:rFonts w:ascii="Arial" w:hAnsi="Arial" w:cs="Arial"/>
                <w:b/>
                <w:sz w:val="20"/>
                <w:szCs w:val="20"/>
                <w:shd w:val="clear" w:color="auto" w:fill="FFFFFF"/>
              </w:rPr>
              <w:t>2019</w:t>
            </w:r>
          </w:p>
        </w:tc>
        <w:tc>
          <w:tcPr>
            <w:tcW w:w="990" w:type="dxa"/>
          </w:tcPr>
          <w:p w:rsidR="003D422B" w:rsidRPr="000C6D4B" w:rsidRDefault="003D422B" w:rsidP="000C6D4B">
            <w:pPr>
              <w:spacing w:after="60"/>
              <w:jc w:val="center"/>
              <w:outlineLvl w:val="1"/>
              <w:rPr>
                <w:rFonts w:ascii="Arial" w:hAnsi="Arial" w:cs="Arial"/>
                <w:b/>
                <w:sz w:val="20"/>
                <w:szCs w:val="20"/>
                <w:shd w:val="clear" w:color="auto" w:fill="FFFFFF"/>
              </w:rPr>
            </w:pPr>
            <w:r w:rsidRPr="000C6D4B">
              <w:rPr>
                <w:rFonts w:ascii="Arial" w:hAnsi="Arial" w:cs="Arial"/>
                <w:b/>
                <w:sz w:val="20"/>
                <w:szCs w:val="20"/>
                <w:shd w:val="clear" w:color="auto" w:fill="FFFFFF"/>
              </w:rPr>
              <w:t>2018</w:t>
            </w:r>
          </w:p>
        </w:tc>
        <w:tc>
          <w:tcPr>
            <w:tcW w:w="990" w:type="dxa"/>
          </w:tcPr>
          <w:p w:rsidR="003D422B" w:rsidRPr="000C6D4B" w:rsidRDefault="003D422B" w:rsidP="000C6D4B">
            <w:pPr>
              <w:spacing w:after="60"/>
              <w:jc w:val="center"/>
              <w:outlineLvl w:val="1"/>
              <w:rPr>
                <w:rFonts w:ascii="Arial" w:hAnsi="Arial" w:cs="Arial"/>
                <w:b/>
                <w:sz w:val="20"/>
                <w:szCs w:val="20"/>
                <w:shd w:val="clear" w:color="auto" w:fill="FFFFFF"/>
              </w:rPr>
            </w:pPr>
            <w:r w:rsidRPr="000C6D4B">
              <w:rPr>
                <w:rFonts w:ascii="Arial" w:hAnsi="Arial" w:cs="Arial"/>
                <w:b/>
                <w:sz w:val="20"/>
                <w:szCs w:val="20"/>
                <w:shd w:val="clear" w:color="auto" w:fill="FFFFFF"/>
              </w:rPr>
              <w:t>2019</w:t>
            </w:r>
          </w:p>
        </w:tc>
      </w:tr>
      <w:tr w:rsidR="003D422B" w:rsidRPr="000C6D4B" w:rsidTr="000C6D4B">
        <w:trPr>
          <w:jc w:val="center"/>
        </w:trPr>
        <w:tc>
          <w:tcPr>
            <w:tcW w:w="3420" w:type="dxa"/>
            <w:tcBorders>
              <w:top w:val="single" w:sz="4" w:space="0" w:color="auto"/>
            </w:tcBorders>
          </w:tcPr>
          <w:p w:rsidR="003D422B" w:rsidRPr="000C6D4B" w:rsidRDefault="003D422B" w:rsidP="000C6D4B">
            <w:pPr>
              <w:outlineLvl w:val="1"/>
              <w:rPr>
                <w:rFonts w:ascii="Arial" w:hAnsi="Arial" w:cs="Arial"/>
                <w:sz w:val="20"/>
                <w:szCs w:val="20"/>
                <w:shd w:val="clear" w:color="auto" w:fill="FFFFFF"/>
              </w:rPr>
            </w:pPr>
            <w:r w:rsidRPr="000C6D4B">
              <w:rPr>
                <w:rFonts w:ascii="Arial" w:hAnsi="Arial" w:cs="Arial"/>
                <w:sz w:val="20"/>
                <w:szCs w:val="20"/>
                <w:shd w:val="clear" w:color="auto" w:fill="FFFFFF"/>
              </w:rPr>
              <w:t>GDP toàn cầu</w:t>
            </w:r>
          </w:p>
        </w:tc>
        <w:tc>
          <w:tcPr>
            <w:tcW w:w="990" w:type="dxa"/>
            <w:tcBorders>
              <w:top w:val="single" w:sz="4" w:space="0" w:color="auto"/>
            </w:tcBorders>
          </w:tcPr>
          <w:p w:rsidR="003D422B" w:rsidRPr="000C6D4B" w:rsidRDefault="003D422B" w:rsidP="000C6D4B">
            <w:pPr>
              <w:jc w:val="center"/>
              <w:outlineLvl w:val="1"/>
              <w:rPr>
                <w:rFonts w:ascii="Arial" w:hAnsi="Arial" w:cs="Arial"/>
                <w:sz w:val="20"/>
                <w:szCs w:val="20"/>
                <w:shd w:val="clear" w:color="auto" w:fill="FFFFFF"/>
              </w:rPr>
            </w:pPr>
            <w:r w:rsidRPr="000C6D4B">
              <w:rPr>
                <w:rFonts w:ascii="Arial" w:hAnsi="Arial" w:cs="Arial"/>
                <w:sz w:val="20"/>
                <w:szCs w:val="20"/>
                <w:shd w:val="clear" w:color="auto" w:fill="FFFFFF"/>
              </w:rPr>
              <w:t>3,2</w:t>
            </w:r>
          </w:p>
        </w:tc>
        <w:tc>
          <w:tcPr>
            <w:tcW w:w="990" w:type="dxa"/>
            <w:tcBorders>
              <w:top w:val="single" w:sz="4" w:space="0" w:color="auto"/>
            </w:tcBorders>
          </w:tcPr>
          <w:p w:rsidR="003D422B" w:rsidRPr="000C6D4B" w:rsidRDefault="003D422B" w:rsidP="000C6D4B">
            <w:pPr>
              <w:jc w:val="center"/>
              <w:outlineLvl w:val="1"/>
              <w:rPr>
                <w:rFonts w:ascii="Arial" w:hAnsi="Arial" w:cs="Arial"/>
                <w:sz w:val="20"/>
                <w:szCs w:val="20"/>
                <w:shd w:val="clear" w:color="auto" w:fill="FFFFFF"/>
              </w:rPr>
            </w:pPr>
            <w:r w:rsidRPr="000C6D4B">
              <w:rPr>
                <w:rFonts w:ascii="Arial" w:hAnsi="Arial" w:cs="Arial"/>
                <w:sz w:val="20"/>
                <w:szCs w:val="20"/>
                <w:shd w:val="clear" w:color="auto" w:fill="FFFFFF"/>
              </w:rPr>
              <w:t>3,7</w:t>
            </w:r>
          </w:p>
        </w:tc>
        <w:tc>
          <w:tcPr>
            <w:tcW w:w="990" w:type="dxa"/>
            <w:tcBorders>
              <w:top w:val="single" w:sz="4" w:space="0" w:color="auto"/>
            </w:tcBorders>
          </w:tcPr>
          <w:p w:rsidR="003D422B" w:rsidRPr="000C6D4B" w:rsidRDefault="003D422B" w:rsidP="000C6D4B">
            <w:pPr>
              <w:jc w:val="center"/>
              <w:outlineLvl w:val="1"/>
              <w:rPr>
                <w:rFonts w:ascii="Arial" w:hAnsi="Arial" w:cs="Arial"/>
                <w:sz w:val="20"/>
                <w:szCs w:val="20"/>
                <w:shd w:val="clear" w:color="auto" w:fill="FFFFFF"/>
              </w:rPr>
            </w:pPr>
            <w:r w:rsidRPr="000C6D4B">
              <w:rPr>
                <w:rFonts w:ascii="Arial" w:hAnsi="Arial" w:cs="Arial"/>
                <w:sz w:val="20"/>
                <w:szCs w:val="20"/>
                <w:shd w:val="clear" w:color="auto" w:fill="FFFFFF"/>
              </w:rPr>
              <w:t>3,9</w:t>
            </w:r>
          </w:p>
        </w:tc>
        <w:tc>
          <w:tcPr>
            <w:tcW w:w="990" w:type="dxa"/>
          </w:tcPr>
          <w:p w:rsidR="003D422B" w:rsidRPr="000C6D4B" w:rsidRDefault="003D422B" w:rsidP="000C6D4B">
            <w:pPr>
              <w:jc w:val="center"/>
              <w:outlineLvl w:val="1"/>
              <w:rPr>
                <w:rFonts w:ascii="Arial" w:hAnsi="Arial" w:cs="Arial"/>
                <w:sz w:val="20"/>
                <w:szCs w:val="20"/>
                <w:shd w:val="clear" w:color="auto" w:fill="FFFFFF"/>
              </w:rPr>
            </w:pPr>
            <w:r w:rsidRPr="000C6D4B">
              <w:rPr>
                <w:rFonts w:ascii="Arial" w:hAnsi="Arial" w:cs="Arial"/>
                <w:sz w:val="20"/>
                <w:szCs w:val="20"/>
                <w:shd w:val="clear" w:color="auto" w:fill="FFFFFF"/>
              </w:rPr>
              <w:t>3,9</w:t>
            </w:r>
          </w:p>
        </w:tc>
        <w:tc>
          <w:tcPr>
            <w:tcW w:w="990" w:type="dxa"/>
          </w:tcPr>
          <w:p w:rsidR="003D422B" w:rsidRPr="000C6D4B" w:rsidRDefault="003D422B" w:rsidP="000C6D4B">
            <w:pPr>
              <w:jc w:val="center"/>
              <w:outlineLvl w:val="1"/>
              <w:rPr>
                <w:rFonts w:ascii="Arial" w:hAnsi="Arial" w:cs="Arial"/>
                <w:sz w:val="20"/>
                <w:szCs w:val="20"/>
                <w:shd w:val="clear" w:color="auto" w:fill="FFFFFF"/>
              </w:rPr>
            </w:pPr>
            <w:r w:rsidRPr="000C6D4B">
              <w:rPr>
                <w:rFonts w:ascii="Arial" w:hAnsi="Arial" w:cs="Arial"/>
                <w:sz w:val="20"/>
                <w:szCs w:val="20"/>
                <w:shd w:val="clear" w:color="auto" w:fill="FFFFFF"/>
              </w:rPr>
              <w:t>0,0</w:t>
            </w:r>
          </w:p>
        </w:tc>
        <w:tc>
          <w:tcPr>
            <w:tcW w:w="990" w:type="dxa"/>
          </w:tcPr>
          <w:p w:rsidR="003D422B" w:rsidRPr="000C6D4B" w:rsidRDefault="003D422B" w:rsidP="000C6D4B">
            <w:pPr>
              <w:jc w:val="center"/>
              <w:outlineLvl w:val="1"/>
              <w:rPr>
                <w:rFonts w:ascii="Arial" w:hAnsi="Arial" w:cs="Arial"/>
                <w:sz w:val="20"/>
                <w:szCs w:val="20"/>
                <w:shd w:val="clear" w:color="auto" w:fill="FFFFFF"/>
              </w:rPr>
            </w:pPr>
            <w:r w:rsidRPr="000C6D4B">
              <w:rPr>
                <w:rFonts w:ascii="Arial" w:hAnsi="Arial" w:cs="Arial"/>
                <w:sz w:val="20"/>
                <w:szCs w:val="20"/>
                <w:shd w:val="clear" w:color="auto" w:fill="FFFFFF"/>
              </w:rPr>
              <w:t>0,0</w:t>
            </w:r>
          </w:p>
        </w:tc>
      </w:tr>
      <w:tr w:rsidR="003D422B" w:rsidRPr="000C6D4B" w:rsidTr="000C6D4B">
        <w:trPr>
          <w:jc w:val="center"/>
        </w:trPr>
        <w:tc>
          <w:tcPr>
            <w:tcW w:w="3420" w:type="dxa"/>
          </w:tcPr>
          <w:p w:rsidR="003D422B" w:rsidRPr="000C6D4B" w:rsidRDefault="003D422B" w:rsidP="000C6D4B">
            <w:pPr>
              <w:outlineLvl w:val="1"/>
              <w:rPr>
                <w:rFonts w:ascii="Arial" w:hAnsi="Arial" w:cs="Arial"/>
                <w:sz w:val="20"/>
                <w:szCs w:val="20"/>
                <w:shd w:val="clear" w:color="auto" w:fill="FFFFFF"/>
              </w:rPr>
            </w:pPr>
            <w:r w:rsidRPr="000C6D4B">
              <w:rPr>
                <w:rFonts w:ascii="Arial" w:hAnsi="Arial" w:cs="Arial"/>
                <w:sz w:val="20"/>
                <w:szCs w:val="20"/>
                <w:shd w:val="clear" w:color="auto" w:fill="FFFFFF"/>
              </w:rPr>
              <w:t>Các nước phát triển</w:t>
            </w:r>
          </w:p>
        </w:tc>
        <w:tc>
          <w:tcPr>
            <w:tcW w:w="990" w:type="dxa"/>
          </w:tcPr>
          <w:p w:rsidR="003D422B" w:rsidRPr="000C6D4B" w:rsidRDefault="003D422B" w:rsidP="000C6D4B">
            <w:pPr>
              <w:jc w:val="center"/>
              <w:outlineLvl w:val="1"/>
              <w:rPr>
                <w:rFonts w:ascii="Arial" w:hAnsi="Arial" w:cs="Arial"/>
                <w:sz w:val="20"/>
                <w:szCs w:val="20"/>
                <w:shd w:val="clear" w:color="auto" w:fill="FFFFFF"/>
              </w:rPr>
            </w:pPr>
            <w:r w:rsidRPr="000C6D4B">
              <w:rPr>
                <w:rFonts w:ascii="Arial" w:hAnsi="Arial" w:cs="Arial"/>
                <w:sz w:val="20"/>
                <w:szCs w:val="20"/>
                <w:shd w:val="clear" w:color="auto" w:fill="FFFFFF"/>
              </w:rPr>
              <w:t>1,7</w:t>
            </w:r>
          </w:p>
        </w:tc>
        <w:tc>
          <w:tcPr>
            <w:tcW w:w="990" w:type="dxa"/>
          </w:tcPr>
          <w:p w:rsidR="003D422B" w:rsidRPr="000C6D4B" w:rsidRDefault="003D422B" w:rsidP="000C6D4B">
            <w:pPr>
              <w:jc w:val="center"/>
              <w:outlineLvl w:val="1"/>
              <w:rPr>
                <w:rFonts w:ascii="Arial" w:hAnsi="Arial" w:cs="Arial"/>
                <w:sz w:val="20"/>
                <w:szCs w:val="20"/>
                <w:shd w:val="clear" w:color="auto" w:fill="FFFFFF"/>
              </w:rPr>
            </w:pPr>
            <w:r w:rsidRPr="000C6D4B">
              <w:rPr>
                <w:rFonts w:ascii="Arial" w:hAnsi="Arial" w:cs="Arial"/>
                <w:sz w:val="20"/>
                <w:szCs w:val="20"/>
                <w:shd w:val="clear" w:color="auto" w:fill="FFFFFF"/>
              </w:rPr>
              <w:t>2,4</w:t>
            </w:r>
          </w:p>
        </w:tc>
        <w:tc>
          <w:tcPr>
            <w:tcW w:w="990" w:type="dxa"/>
          </w:tcPr>
          <w:p w:rsidR="003D422B" w:rsidRPr="000C6D4B" w:rsidRDefault="003D422B" w:rsidP="000C6D4B">
            <w:pPr>
              <w:jc w:val="center"/>
              <w:outlineLvl w:val="1"/>
              <w:rPr>
                <w:rFonts w:ascii="Arial" w:hAnsi="Arial" w:cs="Arial"/>
                <w:sz w:val="20"/>
                <w:szCs w:val="20"/>
                <w:shd w:val="clear" w:color="auto" w:fill="FFFFFF"/>
              </w:rPr>
            </w:pPr>
            <w:r w:rsidRPr="000C6D4B">
              <w:rPr>
                <w:rFonts w:ascii="Arial" w:hAnsi="Arial" w:cs="Arial"/>
                <w:sz w:val="20"/>
                <w:szCs w:val="20"/>
                <w:shd w:val="clear" w:color="auto" w:fill="FFFFFF"/>
              </w:rPr>
              <w:t>2,4</w:t>
            </w:r>
          </w:p>
        </w:tc>
        <w:tc>
          <w:tcPr>
            <w:tcW w:w="990" w:type="dxa"/>
          </w:tcPr>
          <w:p w:rsidR="003D422B" w:rsidRPr="000C6D4B" w:rsidRDefault="003D422B" w:rsidP="000C6D4B">
            <w:pPr>
              <w:jc w:val="center"/>
              <w:outlineLvl w:val="1"/>
              <w:rPr>
                <w:rFonts w:ascii="Arial" w:hAnsi="Arial" w:cs="Arial"/>
                <w:sz w:val="20"/>
                <w:szCs w:val="20"/>
                <w:shd w:val="clear" w:color="auto" w:fill="FFFFFF"/>
              </w:rPr>
            </w:pPr>
            <w:r w:rsidRPr="000C6D4B">
              <w:rPr>
                <w:rFonts w:ascii="Arial" w:hAnsi="Arial" w:cs="Arial"/>
                <w:sz w:val="20"/>
                <w:szCs w:val="20"/>
                <w:shd w:val="clear" w:color="auto" w:fill="FFFFFF"/>
              </w:rPr>
              <w:t>2,2</w:t>
            </w:r>
          </w:p>
        </w:tc>
        <w:tc>
          <w:tcPr>
            <w:tcW w:w="990" w:type="dxa"/>
          </w:tcPr>
          <w:p w:rsidR="003D422B" w:rsidRPr="000C6D4B" w:rsidRDefault="003D422B" w:rsidP="000C6D4B">
            <w:pPr>
              <w:jc w:val="center"/>
              <w:outlineLvl w:val="1"/>
              <w:rPr>
                <w:rFonts w:ascii="Arial" w:hAnsi="Arial" w:cs="Arial"/>
                <w:sz w:val="20"/>
                <w:szCs w:val="20"/>
                <w:shd w:val="clear" w:color="auto" w:fill="FFFFFF"/>
              </w:rPr>
            </w:pPr>
            <w:r w:rsidRPr="000C6D4B">
              <w:rPr>
                <w:rFonts w:ascii="Arial" w:hAnsi="Arial" w:cs="Arial"/>
                <w:sz w:val="20"/>
                <w:szCs w:val="20"/>
                <w:shd w:val="clear" w:color="auto" w:fill="FFFFFF"/>
              </w:rPr>
              <w:t>-0,1</w:t>
            </w:r>
          </w:p>
        </w:tc>
        <w:tc>
          <w:tcPr>
            <w:tcW w:w="990" w:type="dxa"/>
          </w:tcPr>
          <w:p w:rsidR="003D422B" w:rsidRPr="000C6D4B" w:rsidRDefault="003D422B" w:rsidP="000C6D4B">
            <w:pPr>
              <w:jc w:val="center"/>
              <w:outlineLvl w:val="1"/>
              <w:rPr>
                <w:rFonts w:ascii="Arial" w:hAnsi="Arial" w:cs="Arial"/>
                <w:sz w:val="20"/>
                <w:szCs w:val="20"/>
                <w:shd w:val="clear" w:color="auto" w:fill="FFFFFF"/>
              </w:rPr>
            </w:pPr>
            <w:r w:rsidRPr="000C6D4B">
              <w:rPr>
                <w:rFonts w:ascii="Arial" w:hAnsi="Arial" w:cs="Arial"/>
                <w:sz w:val="20"/>
                <w:szCs w:val="20"/>
                <w:shd w:val="clear" w:color="auto" w:fill="FFFFFF"/>
              </w:rPr>
              <w:t>0,0</w:t>
            </w:r>
          </w:p>
        </w:tc>
      </w:tr>
      <w:tr w:rsidR="003D422B" w:rsidRPr="000C6D4B" w:rsidTr="000C6D4B">
        <w:trPr>
          <w:jc w:val="center"/>
        </w:trPr>
        <w:tc>
          <w:tcPr>
            <w:tcW w:w="3420" w:type="dxa"/>
          </w:tcPr>
          <w:p w:rsidR="003D422B" w:rsidRPr="000C6D4B" w:rsidRDefault="003D422B" w:rsidP="000C6D4B">
            <w:pPr>
              <w:outlineLvl w:val="1"/>
              <w:rPr>
                <w:rFonts w:ascii="Arial" w:hAnsi="Arial" w:cs="Arial"/>
                <w:i/>
                <w:sz w:val="20"/>
                <w:szCs w:val="20"/>
                <w:shd w:val="clear" w:color="auto" w:fill="FFFFFF"/>
              </w:rPr>
            </w:pPr>
            <w:r w:rsidRPr="000C6D4B">
              <w:rPr>
                <w:rFonts w:ascii="Arial" w:hAnsi="Arial" w:cs="Arial"/>
                <w:i/>
                <w:sz w:val="20"/>
                <w:szCs w:val="20"/>
                <w:shd w:val="clear" w:color="auto" w:fill="FFFFFF"/>
              </w:rPr>
              <w:t>Mỹ</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1,5</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2,3</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2,9</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2,7</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0,0</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0,0</w:t>
            </w:r>
          </w:p>
        </w:tc>
      </w:tr>
      <w:tr w:rsidR="003D422B" w:rsidRPr="000C6D4B" w:rsidTr="000C6D4B">
        <w:trPr>
          <w:jc w:val="center"/>
        </w:trPr>
        <w:tc>
          <w:tcPr>
            <w:tcW w:w="3420" w:type="dxa"/>
          </w:tcPr>
          <w:p w:rsidR="003D422B" w:rsidRPr="000C6D4B" w:rsidRDefault="003D422B" w:rsidP="000C6D4B">
            <w:pPr>
              <w:outlineLvl w:val="1"/>
              <w:rPr>
                <w:rFonts w:ascii="Arial" w:hAnsi="Arial" w:cs="Arial"/>
                <w:i/>
                <w:sz w:val="20"/>
                <w:szCs w:val="20"/>
                <w:shd w:val="clear" w:color="auto" w:fill="FFFFFF"/>
              </w:rPr>
            </w:pPr>
            <w:r w:rsidRPr="000C6D4B">
              <w:rPr>
                <w:rFonts w:ascii="Arial" w:hAnsi="Arial" w:cs="Arial"/>
                <w:i/>
                <w:sz w:val="20"/>
                <w:szCs w:val="20"/>
                <w:shd w:val="clear" w:color="auto" w:fill="FFFFFF"/>
              </w:rPr>
              <w:t>Khu vực đồng euro</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1,8</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2,4</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2,2</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1,9</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-0,2</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-0,1</w:t>
            </w:r>
          </w:p>
        </w:tc>
      </w:tr>
      <w:tr w:rsidR="003D422B" w:rsidRPr="000C6D4B" w:rsidTr="000C6D4B">
        <w:trPr>
          <w:jc w:val="center"/>
        </w:trPr>
        <w:tc>
          <w:tcPr>
            <w:tcW w:w="3420" w:type="dxa"/>
          </w:tcPr>
          <w:p w:rsidR="003D422B" w:rsidRPr="000C6D4B" w:rsidRDefault="003D422B" w:rsidP="000C6D4B">
            <w:pPr>
              <w:outlineLvl w:val="1"/>
              <w:rPr>
                <w:rFonts w:ascii="Arial" w:hAnsi="Arial" w:cs="Arial"/>
                <w:i/>
                <w:sz w:val="20"/>
                <w:szCs w:val="20"/>
                <w:shd w:val="clear" w:color="auto" w:fill="FFFFFF"/>
              </w:rPr>
            </w:pPr>
            <w:r w:rsidRPr="000C6D4B">
              <w:rPr>
                <w:rFonts w:ascii="Arial" w:hAnsi="Arial" w:cs="Arial"/>
                <w:i/>
                <w:sz w:val="20"/>
                <w:szCs w:val="20"/>
                <w:shd w:val="clear" w:color="auto" w:fill="FFFFFF"/>
              </w:rPr>
              <w:t>CHLB Đức</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1,9</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2,5</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2,2</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2,1</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-0,3</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0,1</w:t>
            </w:r>
          </w:p>
        </w:tc>
      </w:tr>
      <w:tr w:rsidR="003D422B" w:rsidRPr="000C6D4B" w:rsidTr="000C6D4B">
        <w:trPr>
          <w:jc w:val="center"/>
        </w:trPr>
        <w:tc>
          <w:tcPr>
            <w:tcW w:w="3420" w:type="dxa"/>
          </w:tcPr>
          <w:p w:rsidR="003D422B" w:rsidRPr="000C6D4B" w:rsidRDefault="003D422B" w:rsidP="000C6D4B">
            <w:pPr>
              <w:outlineLvl w:val="1"/>
              <w:rPr>
                <w:rFonts w:ascii="Arial" w:hAnsi="Arial" w:cs="Arial"/>
                <w:i/>
                <w:sz w:val="20"/>
                <w:szCs w:val="20"/>
                <w:shd w:val="clear" w:color="auto" w:fill="FFFFFF"/>
              </w:rPr>
            </w:pPr>
            <w:r w:rsidRPr="000C6D4B">
              <w:rPr>
                <w:rFonts w:ascii="Arial" w:hAnsi="Arial" w:cs="Arial"/>
                <w:i/>
                <w:sz w:val="20"/>
                <w:szCs w:val="20"/>
                <w:shd w:val="clear" w:color="auto" w:fill="FFFFFF"/>
              </w:rPr>
              <w:t>CH Pháp</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1,1</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2,3</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1,8</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1,7</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-0,3</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-0,3</w:t>
            </w:r>
          </w:p>
        </w:tc>
      </w:tr>
      <w:tr w:rsidR="003D422B" w:rsidRPr="000C6D4B" w:rsidTr="000C6D4B">
        <w:trPr>
          <w:jc w:val="center"/>
        </w:trPr>
        <w:tc>
          <w:tcPr>
            <w:tcW w:w="3420" w:type="dxa"/>
          </w:tcPr>
          <w:p w:rsidR="003D422B" w:rsidRPr="000C6D4B" w:rsidRDefault="003D422B" w:rsidP="000C6D4B">
            <w:pPr>
              <w:outlineLvl w:val="1"/>
              <w:rPr>
                <w:rFonts w:ascii="Arial" w:hAnsi="Arial" w:cs="Arial"/>
                <w:i/>
                <w:sz w:val="20"/>
                <w:szCs w:val="20"/>
                <w:shd w:val="clear" w:color="auto" w:fill="FFFFFF"/>
              </w:rPr>
            </w:pPr>
            <w:r w:rsidRPr="000C6D4B">
              <w:rPr>
                <w:rFonts w:ascii="Arial" w:hAnsi="Arial" w:cs="Arial"/>
                <w:i/>
                <w:sz w:val="20"/>
                <w:szCs w:val="20"/>
                <w:shd w:val="clear" w:color="auto" w:fill="FFFFFF"/>
              </w:rPr>
              <w:t>Italia</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0,9</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1,5</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1,2</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1,0</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-0,3</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-0,1</w:t>
            </w:r>
          </w:p>
        </w:tc>
      </w:tr>
      <w:tr w:rsidR="003D422B" w:rsidRPr="000C6D4B" w:rsidTr="000C6D4B">
        <w:trPr>
          <w:jc w:val="center"/>
        </w:trPr>
        <w:tc>
          <w:tcPr>
            <w:tcW w:w="3420" w:type="dxa"/>
          </w:tcPr>
          <w:p w:rsidR="003D422B" w:rsidRPr="000C6D4B" w:rsidRDefault="003D422B" w:rsidP="000C6D4B">
            <w:pPr>
              <w:outlineLvl w:val="1"/>
              <w:rPr>
                <w:rFonts w:ascii="Arial" w:hAnsi="Arial" w:cs="Arial"/>
                <w:i/>
                <w:sz w:val="20"/>
                <w:szCs w:val="20"/>
                <w:shd w:val="clear" w:color="auto" w:fill="FFFFFF"/>
              </w:rPr>
            </w:pPr>
            <w:r w:rsidRPr="000C6D4B">
              <w:rPr>
                <w:rFonts w:ascii="Arial" w:hAnsi="Arial" w:cs="Arial"/>
                <w:i/>
                <w:sz w:val="20"/>
                <w:szCs w:val="20"/>
                <w:shd w:val="clear" w:color="auto" w:fill="FFFFFF"/>
              </w:rPr>
              <w:t>Tây Ban Nha</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3,3</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3,1</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2,8</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2,2</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0,0</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0,0</w:t>
            </w:r>
          </w:p>
        </w:tc>
      </w:tr>
      <w:tr w:rsidR="003D422B" w:rsidRPr="000C6D4B" w:rsidTr="000C6D4B">
        <w:trPr>
          <w:jc w:val="center"/>
        </w:trPr>
        <w:tc>
          <w:tcPr>
            <w:tcW w:w="3420" w:type="dxa"/>
          </w:tcPr>
          <w:p w:rsidR="003D422B" w:rsidRPr="000C6D4B" w:rsidRDefault="003D422B" w:rsidP="000C6D4B">
            <w:pPr>
              <w:outlineLvl w:val="1"/>
              <w:rPr>
                <w:rFonts w:ascii="Arial" w:hAnsi="Arial" w:cs="Arial"/>
                <w:i/>
                <w:sz w:val="20"/>
                <w:szCs w:val="20"/>
                <w:shd w:val="clear" w:color="auto" w:fill="FFFFFF"/>
              </w:rPr>
            </w:pPr>
            <w:r w:rsidRPr="000C6D4B">
              <w:rPr>
                <w:rFonts w:ascii="Arial" w:hAnsi="Arial" w:cs="Arial"/>
                <w:i/>
                <w:sz w:val="20"/>
                <w:szCs w:val="20"/>
                <w:shd w:val="clear" w:color="auto" w:fill="FFFFFF"/>
              </w:rPr>
              <w:t>Nhật Bản</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1,1</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1,7</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1,0</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0,9</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-0,2</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0,0</w:t>
            </w:r>
          </w:p>
        </w:tc>
      </w:tr>
      <w:tr w:rsidR="003D422B" w:rsidRPr="000C6D4B" w:rsidTr="000C6D4B">
        <w:trPr>
          <w:jc w:val="center"/>
        </w:trPr>
        <w:tc>
          <w:tcPr>
            <w:tcW w:w="3420" w:type="dxa"/>
          </w:tcPr>
          <w:p w:rsidR="003D422B" w:rsidRPr="000C6D4B" w:rsidRDefault="003D422B" w:rsidP="000C6D4B">
            <w:pPr>
              <w:outlineLvl w:val="1"/>
              <w:rPr>
                <w:rFonts w:ascii="Arial" w:hAnsi="Arial" w:cs="Arial"/>
                <w:i/>
                <w:sz w:val="20"/>
                <w:szCs w:val="20"/>
                <w:shd w:val="clear" w:color="auto" w:fill="FFFFFF"/>
              </w:rPr>
            </w:pPr>
            <w:r w:rsidRPr="000C6D4B">
              <w:rPr>
                <w:rFonts w:ascii="Arial" w:hAnsi="Arial" w:cs="Arial"/>
                <w:i/>
                <w:sz w:val="20"/>
                <w:szCs w:val="20"/>
                <w:shd w:val="clear" w:color="auto" w:fill="FFFFFF"/>
              </w:rPr>
              <w:t>VQ Anh</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1,8</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1,7</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1,4</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1,5</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-0,2</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0,0</w:t>
            </w:r>
          </w:p>
        </w:tc>
      </w:tr>
      <w:tr w:rsidR="003D422B" w:rsidRPr="000C6D4B" w:rsidTr="000C6D4B">
        <w:trPr>
          <w:jc w:val="center"/>
        </w:trPr>
        <w:tc>
          <w:tcPr>
            <w:tcW w:w="3420" w:type="dxa"/>
          </w:tcPr>
          <w:p w:rsidR="003D422B" w:rsidRPr="000C6D4B" w:rsidRDefault="003D422B" w:rsidP="000C6D4B">
            <w:pPr>
              <w:outlineLvl w:val="1"/>
              <w:rPr>
                <w:rFonts w:ascii="Arial" w:hAnsi="Arial" w:cs="Arial"/>
                <w:i/>
                <w:sz w:val="20"/>
                <w:szCs w:val="20"/>
                <w:shd w:val="clear" w:color="auto" w:fill="FFFFFF"/>
              </w:rPr>
            </w:pPr>
            <w:r w:rsidRPr="000C6D4B">
              <w:rPr>
                <w:rFonts w:ascii="Arial" w:hAnsi="Arial" w:cs="Arial"/>
                <w:i/>
                <w:sz w:val="20"/>
                <w:szCs w:val="20"/>
                <w:shd w:val="clear" w:color="auto" w:fill="FFFFFF"/>
              </w:rPr>
              <w:t>Canada</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1,4</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3,0</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2,1</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2,2</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0,0</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0,0</w:t>
            </w:r>
          </w:p>
        </w:tc>
      </w:tr>
      <w:tr w:rsidR="003D422B" w:rsidRPr="000C6D4B" w:rsidTr="000C6D4B">
        <w:trPr>
          <w:jc w:val="center"/>
        </w:trPr>
        <w:tc>
          <w:tcPr>
            <w:tcW w:w="3420" w:type="dxa"/>
          </w:tcPr>
          <w:p w:rsidR="003D422B" w:rsidRPr="000C6D4B" w:rsidRDefault="003D422B" w:rsidP="000C6D4B">
            <w:pPr>
              <w:outlineLvl w:val="1"/>
              <w:rPr>
                <w:rFonts w:ascii="Arial" w:hAnsi="Arial" w:cs="Arial"/>
                <w:i/>
                <w:sz w:val="20"/>
                <w:szCs w:val="20"/>
                <w:shd w:val="clear" w:color="auto" w:fill="FFFFFF"/>
              </w:rPr>
            </w:pPr>
            <w:r w:rsidRPr="000C6D4B">
              <w:rPr>
                <w:rFonts w:ascii="Arial" w:hAnsi="Arial" w:cs="Arial"/>
                <w:i/>
                <w:sz w:val="20"/>
                <w:szCs w:val="20"/>
                <w:shd w:val="clear" w:color="auto" w:fill="FFFFFF"/>
              </w:rPr>
              <w:t xml:space="preserve">Những nước phát triển khác </w:t>
            </w:r>
            <w:r w:rsidRPr="000C6D4B">
              <w:rPr>
                <w:rFonts w:ascii="Arial" w:hAnsi="Arial" w:cs="Arial"/>
                <w:b/>
                <w:i/>
                <w:sz w:val="20"/>
                <w:szCs w:val="20"/>
                <w:shd w:val="clear" w:color="auto" w:fill="FFFFFF"/>
                <w:vertAlign w:val="superscript"/>
              </w:rPr>
              <w:t>(2)</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2,3</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2,7</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2,8</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2,7</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0,1</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0,1</w:t>
            </w:r>
          </w:p>
        </w:tc>
      </w:tr>
      <w:tr w:rsidR="003D422B" w:rsidRPr="000C6D4B" w:rsidTr="000C6D4B">
        <w:trPr>
          <w:jc w:val="center"/>
        </w:trPr>
        <w:tc>
          <w:tcPr>
            <w:tcW w:w="3420" w:type="dxa"/>
          </w:tcPr>
          <w:p w:rsidR="003D422B" w:rsidRPr="000C6D4B" w:rsidRDefault="003D422B" w:rsidP="000C6D4B">
            <w:pPr>
              <w:jc w:val="both"/>
              <w:outlineLvl w:val="1"/>
              <w:rPr>
                <w:rFonts w:ascii="Arial" w:hAnsi="Arial" w:cs="Arial"/>
                <w:b/>
                <w:i/>
                <w:sz w:val="20"/>
                <w:szCs w:val="20"/>
                <w:shd w:val="clear" w:color="auto" w:fill="FFFFFF"/>
              </w:rPr>
            </w:pPr>
            <w:r w:rsidRPr="000C6D4B">
              <w:rPr>
                <w:rFonts w:ascii="Arial" w:hAnsi="Arial" w:cs="Arial"/>
                <w:sz w:val="20"/>
                <w:szCs w:val="20"/>
                <w:shd w:val="clear" w:color="auto" w:fill="FFFFFF"/>
              </w:rPr>
              <w:t>EMDEs</w:t>
            </w:r>
          </w:p>
        </w:tc>
        <w:tc>
          <w:tcPr>
            <w:tcW w:w="990" w:type="dxa"/>
          </w:tcPr>
          <w:p w:rsidR="003D422B" w:rsidRPr="000C6D4B" w:rsidRDefault="003D422B" w:rsidP="000C6D4B">
            <w:pPr>
              <w:jc w:val="center"/>
              <w:outlineLvl w:val="1"/>
              <w:rPr>
                <w:rFonts w:ascii="Arial" w:hAnsi="Arial" w:cs="Arial"/>
                <w:sz w:val="20"/>
                <w:szCs w:val="20"/>
                <w:shd w:val="clear" w:color="auto" w:fill="FFFFFF"/>
              </w:rPr>
            </w:pPr>
            <w:r w:rsidRPr="000C6D4B">
              <w:rPr>
                <w:rFonts w:ascii="Arial" w:hAnsi="Arial" w:cs="Arial"/>
                <w:sz w:val="20"/>
                <w:szCs w:val="20"/>
                <w:shd w:val="clear" w:color="auto" w:fill="FFFFFF"/>
              </w:rPr>
              <w:t>4,4</w:t>
            </w:r>
          </w:p>
        </w:tc>
        <w:tc>
          <w:tcPr>
            <w:tcW w:w="990" w:type="dxa"/>
          </w:tcPr>
          <w:p w:rsidR="003D422B" w:rsidRPr="000C6D4B" w:rsidRDefault="003D422B" w:rsidP="000C6D4B">
            <w:pPr>
              <w:jc w:val="center"/>
              <w:outlineLvl w:val="1"/>
              <w:rPr>
                <w:rFonts w:ascii="Arial" w:hAnsi="Arial" w:cs="Arial"/>
                <w:sz w:val="20"/>
                <w:szCs w:val="20"/>
                <w:shd w:val="clear" w:color="auto" w:fill="FFFFFF"/>
              </w:rPr>
            </w:pPr>
            <w:r w:rsidRPr="000C6D4B">
              <w:rPr>
                <w:rFonts w:ascii="Arial" w:hAnsi="Arial" w:cs="Arial"/>
                <w:sz w:val="20"/>
                <w:szCs w:val="20"/>
                <w:shd w:val="clear" w:color="auto" w:fill="FFFFFF"/>
              </w:rPr>
              <w:t>4,7</w:t>
            </w:r>
          </w:p>
        </w:tc>
        <w:tc>
          <w:tcPr>
            <w:tcW w:w="990" w:type="dxa"/>
          </w:tcPr>
          <w:p w:rsidR="003D422B" w:rsidRPr="000C6D4B" w:rsidRDefault="003D422B" w:rsidP="000C6D4B">
            <w:pPr>
              <w:jc w:val="center"/>
              <w:outlineLvl w:val="1"/>
              <w:rPr>
                <w:rFonts w:ascii="Arial" w:hAnsi="Arial" w:cs="Arial"/>
                <w:sz w:val="20"/>
                <w:szCs w:val="20"/>
                <w:shd w:val="clear" w:color="auto" w:fill="FFFFFF"/>
              </w:rPr>
            </w:pPr>
            <w:r w:rsidRPr="000C6D4B">
              <w:rPr>
                <w:rFonts w:ascii="Arial" w:hAnsi="Arial" w:cs="Arial"/>
                <w:sz w:val="20"/>
                <w:szCs w:val="20"/>
                <w:shd w:val="clear" w:color="auto" w:fill="FFFFFF"/>
              </w:rPr>
              <w:t>4,9</w:t>
            </w:r>
          </w:p>
        </w:tc>
        <w:tc>
          <w:tcPr>
            <w:tcW w:w="990" w:type="dxa"/>
          </w:tcPr>
          <w:p w:rsidR="003D422B" w:rsidRPr="000C6D4B" w:rsidRDefault="003D422B" w:rsidP="000C6D4B">
            <w:pPr>
              <w:jc w:val="center"/>
              <w:outlineLvl w:val="1"/>
              <w:rPr>
                <w:rFonts w:ascii="Arial" w:hAnsi="Arial" w:cs="Arial"/>
                <w:sz w:val="20"/>
                <w:szCs w:val="20"/>
                <w:shd w:val="clear" w:color="auto" w:fill="FFFFFF"/>
              </w:rPr>
            </w:pPr>
            <w:r w:rsidRPr="000C6D4B">
              <w:rPr>
                <w:rFonts w:ascii="Arial" w:hAnsi="Arial" w:cs="Arial"/>
                <w:sz w:val="20"/>
                <w:szCs w:val="20"/>
                <w:shd w:val="clear" w:color="auto" w:fill="FFFFFF"/>
              </w:rPr>
              <w:t>5,1</w:t>
            </w:r>
          </w:p>
        </w:tc>
        <w:tc>
          <w:tcPr>
            <w:tcW w:w="990" w:type="dxa"/>
          </w:tcPr>
          <w:p w:rsidR="003D422B" w:rsidRPr="000C6D4B" w:rsidRDefault="003D422B" w:rsidP="000C6D4B">
            <w:pPr>
              <w:jc w:val="center"/>
              <w:outlineLvl w:val="1"/>
              <w:rPr>
                <w:rFonts w:ascii="Arial" w:hAnsi="Arial" w:cs="Arial"/>
                <w:sz w:val="20"/>
                <w:szCs w:val="20"/>
                <w:shd w:val="clear" w:color="auto" w:fill="FFFFFF"/>
              </w:rPr>
            </w:pPr>
            <w:r w:rsidRPr="000C6D4B">
              <w:rPr>
                <w:rFonts w:ascii="Arial" w:hAnsi="Arial" w:cs="Arial"/>
                <w:sz w:val="20"/>
                <w:szCs w:val="20"/>
                <w:shd w:val="clear" w:color="auto" w:fill="FFFFFF"/>
              </w:rPr>
              <w:t>0,0</w:t>
            </w:r>
          </w:p>
        </w:tc>
        <w:tc>
          <w:tcPr>
            <w:tcW w:w="990" w:type="dxa"/>
          </w:tcPr>
          <w:p w:rsidR="003D422B" w:rsidRPr="000C6D4B" w:rsidRDefault="003D422B" w:rsidP="000C6D4B">
            <w:pPr>
              <w:jc w:val="center"/>
              <w:outlineLvl w:val="1"/>
              <w:rPr>
                <w:rFonts w:ascii="Arial" w:hAnsi="Arial" w:cs="Arial"/>
                <w:sz w:val="20"/>
                <w:szCs w:val="20"/>
                <w:shd w:val="clear" w:color="auto" w:fill="FFFFFF"/>
              </w:rPr>
            </w:pPr>
            <w:r w:rsidRPr="000C6D4B">
              <w:rPr>
                <w:rFonts w:ascii="Arial" w:hAnsi="Arial" w:cs="Arial"/>
                <w:sz w:val="20"/>
                <w:szCs w:val="20"/>
                <w:shd w:val="clear" w:color="auto" w:fill="FFFFFF"/>
              </w:rPr>
              <w:t>0,0</w:t>
            </w:r>
          </w:p>
        </w:tc>
      </w:tr>
      <w:tr w:rsidR="003D422B" w:rsidRPr="000C6D4B" w:rsidTr="000C6D4B">
        <w:trPr>
          <w:jc w:val="center"/>
        </w:trPr>
        <w:tc>
          <w:tcPr>
            <w:tcW w:w="3420" w:type="dxa"/>
          </w:tcPr>
          <w:p w:rsidR="003D422B" w:rsidRPr="000C6D4B" w:rsidRDefault="003D422B" w:rsidP="000C6D4B">
            <w:pPr>
              <w:outlineLvl w:val="1"/>
              <w:rPr>
                <w:rFonts w:ascii="Arial" w:hAnsi="Arial" w:cs="Arial"/>
                <w:i/>
                <w:spacing w:val="-2"/>
                <w:sz w:val="20"/>
                <w:szCs w:val="20"/>
                <w:shd w:val="clear" w:color="auto" w:fill="FFFFFF"/>
              </w:rPr>
            </w:pPr>
            <w:r w:rsidRPr="000C6D4B">
              <w:rPr>
                <w:rFonts w:ascii="Arial" w:hAnsi="Arial" w:cs="Arial"/>
                <w:i/>
                <w:spacing w:val="-2"/>
                <w:sz w:val="20"/>
                <w:szCs w:val="20"/>
                <w:shd w:val="clear" w:color="auto" w:fill="FFFFFF"/>
              </w:rPr>
              <w:t>Cộng đồng các quốc gia độc lập</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0,4</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2,1</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2,3</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2,2</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0,1</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0,1</w:t>
            </w:r>
          </w:p>
        </w:tc>
      </w:tr>
      <w:tr w:rsidR="003D422B" w:rsidRPr="000C6D4B" w:rsidTr="000C6D4B">
        <w:trPr>
          <w:jc w:val="center"/>
        </w:trPr>
        <w:tc>
          <w:tcPr>
            <w:tcW w:w="3420" w:type="dxa"/>
          </w:tcPr>
          <w:p w:rsidR="003D422B" w:rsidRPr="000C6D4B" w:rsidRDefault="003D422B" w:rsidP="000C6D4B">
            <w:pPr>
              <w:outlineLvl w:val="1"/>
              <w:rPr>
                <w:rFonts w:ascii="Arial" w:hAnsi="Arial" w:cs="Arial"/>
                <w:i/>
                <w:sz w:val="20"/>
                <w:szCs w:val="20"/>
                <w:shd w:val="clear" w:color="auto" w:fill="FFFFFF"/>
              </w:rPr>
            </w:pPr>
            <w:r w:rsidRPr="000C6D4B">
              <w:rPr>
                <w:rFonts w:ascii="Arial" w:hAnsi="Arial" w:cs="Arial"/>
                <w:i/>
                <w:sz w:val="20"/>
                <w:szCs w:val="20"/>
                <w:shd w:val="clear" w:color="auto" w:fill="FFFFFF"/>
              </w:rPr>
              <w:t>CHLB Nga</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-0,2</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1,5</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1,7</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1,5</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0,0</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0,1</w:t>
            </w:r>
          </w:p>
        </w:tc>
      </w:tr>
      <w:tr w:rsidR="003D422B" w:rsidRPr="000C6D4B" w:rsidTr="000C6D4B">
        <w:trPr>
          <w:jc w:val="center"/>
        </w:trPr>
        <w:tc>
          <w:tcPr>
            <w:tcW w:w="3420" w:type="dxa"/>
          </w:tcPr>
          <w:p w:rsidR="003D422B" w:rsidRPr="000C6D4B" w:rsidRDefault="003D422B" w:rsidP="000C6D4B">
            <w:pPr>
              <w:outlineLvl w:val="1"/>
              <w:rPr>
                <w:rFonts w:ascii="Arial" w:hAnsi="Arial" w:cs="Arial"/>
                <w:i/>
                <w:sz w:val="20"/>
                <w:szCs w:val="20"/>
                <w:shd w:val="clear" w:color="auto" w:fill="FFFFFF"/>
              </w:rPr>
            </w:pPr>
            <w:r w:rsidRPr="000C6D4B">
              <w:rPr>
                <w:rFonts w:ascii="Arial" w:hAnsi="Arial" w:cs="Arial"/>
                <w:i/>
                <w:sz w:val="20"/>
                <w:szCs w:val="20"/>
                <w:shd w:val="clear" w:color="auto" w:fill="FFFFFF"/>
              </w:rPr>
              <w:t>Không kể CHLB Nga</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1,9</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3,6</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3,6</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3,7</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0,1</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0,1</w:t>
            </w:r>
          </w:p>
        </w:tc>
      </w:tr>
      <w:tr w:rsidR="003D422B" w:rsidRPr="000C6D4B" w:rsidTr="000C6D4B">
        <w:trPr>
          <w:jc w:val="center"/>
        </w:trPr>
        <w:tc>
          <w:tcPr>
            <w:tcW w:w="3420" w:type="dxa"/>
          </w:tcPr>
          <w:p w:rsidR="003D422B" w:rsidRPr="000C6D4B" w:rsidRDefault="003D422B" w:rsidP="000C6D4B">
            <w:pPr>
              <w:outlineLvl w:val="1"/>
              <w:rPr>
                <w:rFonts w:ascii="Arial" w:hAnsi="Arial" w:cs="Arial"/>
                <w:i/>
                <w:sz w:val="20"/>
                <w:szCs w:val="20"/>
                <w:shd w:val="clear" w:color="auto" w:fill="FFFFFF"/>
              </w:rPr>
            </w:pPr>
            <w:r w:rsidRPr="000C6D4B">
              <w:rPr>
                <w:rFonts w:ascii="Arial" w:hAnsi="Arial" w:cs="Arial"/>
                <w:i/>
                <w:sz w:val="20"/>
                <w:szCs w:val="20"/>
                <w:shd w:val="clear" w:color="auto" w:fill="FFFFFF"/>
              </w:rPr>
              <w:t>EMDEs châu Á</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6,5</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6,5</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6,5</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6,5</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0,0</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-0,1</w:t>
            </w:r>
          </w:p>
        </w:tc>
      </w:tr>
      <w:tr w:rsidR="003D422B" w:rsidRPr="000C6D4B" w:rsidTr="000C6D4B">
        <w:trPr>
          <w:jc w:val="center"/>
        </w:trPr>
        <w:tc>
          <w:tcPr>
            <w:tcW w:w="3420" w:type="dxa"/>
          </w:tcPr>
          <w:p w:rsidR="003D422B" w:rsidRPr="000C6D4B" w:rsidRDefault="003D422B" w:rsidP="000C6D4B">
            <w:pPr>
              <w:outlineLvl w:val="1"/>
              <w:rPr>
                <w:rFonts w:ascii="Arial" w:hAnsi="Arial" w:cs="Arial"/>
                <w:i/>
                <w:sz w:val="20"/>
                <w:szCs w:val="20"/>
                <w:shd w:val="clear" w:color="auto" w:fill="FFFFFF"/>
              </w:rPr>
            </w:pPr>
            <w:r w:rsidRPr="000C6D4B">
              <w:rPr>
                <w:rFonts w:ascii="Arial" w:hAnsi="Arial" w:cs="Arial"/>
                <w:i/>
                <w:sz w:val="20"/>
                <w:szCs w:val="20"/>
                <w:shd w:val="clear" w:color="auto" w:fill="FFFFFF"/>
              </w:rPr>
              <w:t>Trung Quốc</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6,7</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6,9</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6,6</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6,4</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0,0</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0,0</w:t>
            </w:r>
          </w:p>
        </w:tc>
      </w:tr>
      <w:tr w:rsidR="003D422B" w:rsidRPr="000C6D4B" w:rsidTr="000C6D4B">
        <w:trPr>
          <w:jc w:val="center"/>
        </w:trPr>
        <w:tc>
          <w:tcPr>
            <w:tcW w:w="3420" w:type="dxa"/>
          </w:tcPr>
          <w:p w:rsidR="003D422B" w:rsidRPr="000C6D4B" w:rsidRDefault="003D422B" w:rsidP="000C6D4B">
            <w:pPr>
              <w:outlineLvl w:val="1"/>
              <w:rPr>
                <w:rFonts w:ascii="Arial" w:hAnsi="Arial" w:cs="Arial"/>
                <w:i/>
                <w:sz w:val="20"/>
                <w:szCs w:val="20"/>
                <w:shd w:val="clear" w:color="auto" w:fill="FFFFFF"/>
              </w:rPr>
            </w:pPr>
            <w:r w:rsidRPr="000C6D4B">
              <w:rPr>
                <w:rFonts w:ascii="Arial" w:hAnsi="Arial" w:cs="Arial"/>
                <w:i/>
                <w:sz w:val="20"/>
                <w:szCs w:val="20"/>
                <w:shd w:val="clear" w:color="auto" w:fill="FFFFFF"/>
              </w:rPr>
              <w:t xml:space="preserve">Ấn Độ </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7,1</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6,7</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7,3</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7,5</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-0,1</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-0,3</w:t>
            </w:r>
          </w:p>
        </w:tc>
      </w:tr>
      <w:tr w:rsidR="003D422B" w:rsidRPr="000C6D4B" w:rsidTr="000C6D4B">
        <w:trPr>
          <w:jc w:val="center"/>
        </w:trPr>
        <w:tc>
          <w:tcPr>
            <w:tcW w:w="3420" w:type="dxa"/>
          </w:tcPr>
          <w:p w:rsidR="003D422B" w:rsidRPr="000C6D4B" w:rsidRDefault="003D422B" w:rsidP="000C6D4B">
            <w:pPr>
              <w:outlineLvl w:val="1"/>
              <w:rPr>
                <w:rFonts w:ascii="Arial" w:hAnsi="Arial" w:cs="Arial"/>
                <w:i/>
                <w:sz w:val="20"/>
                <w:szCs w:val="20"/>
                <w:shd w:val="clear" w:color="auto" w:fill="FFFFFF"/>
              </w:rPr>
            </w:pPr>
            <w:r w:rsidRPr="000C6D4B">
              <w:rPr>
                <w:rFonts w:ascii="Arial" w:hAnsi="Arial" w:cs="Arial"/>
                <w:i/>
                <w:sz w:val="20"/>
                <w:szCs w:val="20"/>
                <w:shd w:val="clear" w:color="auto" w:fill="FFFFFF"/>
              </w:rPr>
              <w:t xml:space="preserve">ASEAN 5 </w:t>
            </w:r>
            <w:r w:rsidRPr="000C6D4B">
              <w:rPr>
                <w:rFonts w:ascii="Arial" w:hAnsi="Arial" w:cs="Arial"/>
                <w:b/>
                <w:i/>
                <w:sz w:val="20"/>
                <w:szCs w:val="20"/>
                <w:shd w:val="clear" w:color="auto" w:fill="FFFFFF"/>
                <w:vertAlign w:val="superscript"/>
              </w:rPr>
              <w:t>(3)</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4,9</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5,3</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5,3</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5,3</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0,0</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-0,1</w:t>
            </w:r>
          </w:p>
        </w:tc>
      </w:tr>
      <w:tr w:rsidR="003D422B" w:rsidRPr="000C6D4B" w:rsidTr="000C6D4B">
        <w:trPr>
          <w:jc w:val="center"/>
        </w:trPr>
        <w:tc>
          <w:tcPr>
            <w:tcW w:w="3420" w:type="dxa"/>
          </w:tcPr>
          <w:p w:rsidR="003D422B" w:rsidRPr="000C6D4B" w:rsidRDefault="003D422B" w:rsidP="000C6D4B">
            <w:pPr>
              <w:outlineLvl w:val="1"/>
              <w:rPr>
                <w:rFonts w:ascii="Arial" w:hAnsi="Arial" w:cs="Arial"/>
                <w:i/>
                <w:sz w:val="20"/>
                <w:szCs w:val="20"/>
                <w:shd w:val="clear" w:color="auto" w:fill="FFFFFF"/>
              </w:rPr>
            </w:pPr>
            <w:r w:rsidRPr="000C6D4B">
              <w:rPr>
                <w:rFonts w:ascii="Arial" w:hAnsi="Arial" w:cs="Arial"/>
                <w:i/>
                <w:sz w:val="20"/>
                <w:szCs w:val="20"/>
                <w:shd w:val="clear" w:color="auto" w:fill="FFFFFF"/>
              </w:rPr>
              <w:t>EMDEs châu Âu</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3,2</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5,9</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4,3</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3,6</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0,0</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-0,1</w:t>
            </w:r>
          </w:p>
        </w:tc>
      </w:tr>
      <w:tr w:rsidR="003D422B" w:rsidRPr="000C6D4B" w:rsidTr="000C6D4B">
        <w:trPr>
          <w:jc w:val="center"/>
        </w:trPr>
        <w:tc>
          <w:tcPr>
            <w:tcW w:w="3420" w:type="dxa"/>
          </w:tcPr>
          <w:p w:rsidR="003D422B" w:rsidRPr="000C6D4B" w:rsidRDefault="003D422B" w:rsidP="000C6D4B">
            <w:pPr>
              <w:outlineLvl w:val="1"/>
              <w:rPr>
                <w:rFonts w:ascii="Arial" w:hAnsi="Arial" w:cs="Arial"/>
                <w:i/>
                <w:sz w:val="20"/>
                <w:szCs w:val="20"/>
                <w:shd w:val="clear" w:color="auto" w:fill="FFFFFF"/>
              </w:rPr>
            </w:pPr>
            <w:r w:rsidRPr="000C6D4B">
              <w:rPr>
                <w:rFonts w:ascii="Arial" w:hAnsi="Arial" w:cs="Arial"/>
                <w:i/>
                <w:sz w:val="20"/>
                <w:szCs w:val="20"/>
                <w:shd w:val="clear" w:color="auto" w:fill="FFFFFF"/>
              </w:rPr>
              <w:t>Mỹ Latinh và Caribê</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-0,6</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1,3</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1,6</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2,6</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-0,4</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-0,2</w:t>
            </w:r>
          </w:p>
        </w:tc>
      </w:tr>
      <w:tr w:rsidR="003D422B" w:rsidRPr="000C6D4B" w:rsidTr="000C6D4B">
        <w:trPr>
          <w:jc w:val="center"/>
        </w:trPr>
        <w:tc>
          <w:tcPr>
            <w:tcW w:w="3420" w:type="dxa"/>
          </w:tcPr>
          <w:p w:rsidR="003D422B" w:rsidRPr="000C6D4B" w:rsidRDefault="003D422B" w:rsidP="000C6D4B">
            <w:pPr>
              <w:outlineLvl w:val="1"/>
              <w:rPr>
                <w:rFonts w:ascii="Arial" w:hAnsi="Arial" w:cs="Arial"/>
                <w:i/>
                <w:sz w:val="20"/>
                <w:szCs w:val="20"/>
                <w:shd w:val="clear" w:color="auto" w:fill="FFFFFF"/>
              </w:rPr>
            </w:pPr>
            <w:r w:rsidRPr="000C6D4B">
              <w:rPr>
                <w:rFonts w:ascii="Arial" w:hAnsi="Arial" w:cs="Arial"/>
                <w:i/>
                <w:sz w:val="20"/>
                <w:szCs w:val="20"/>
                <w:shd w:val="clear" w:color="auto" w:fill="FFFFFF"/>
              </w:rPr>
              <w:t xml:space="preserve">Brazil </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-3,5</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1,0</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1,8</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2,5</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-0,5</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0,0</w:t>
            </w:r>
          </w:p>
        </w:tc>
      </w:tr>
      <w:tr w:rsidR="003D422B" w:rsidRPr="000C6D4B" w:rsidTr="000C6D4B">
        <w:trPr>
          <w:jc w:val="center"/>
        </w:trPr>
        <w:tc>
          <w:tcPr>
            <w:tcW w:w="3420" w:type="dxa"/>
          </w:tcPr>
          <w:p w:rsidR="003D422B" w:rsidRPr="000C6D4B" w:rsidRDefault="003D422B" w:rsidP="000C6D4B">
            <w:pPr>
              <w:outlineLvl w:val="1"/>
              <w:rPr>
                <w:rFonts w:ascii="Arial" w:hAnsi="Arial" w:cs="Arial"/>
                <w:i/>
                <w:sz w:val="20"/>
                <w:szCs w:val="20"/>
                <w:shd w:val="clear" w:color="auto" w:fill="FFFFFF"/>
              </w:rPr>
            </w:pPr>
            <w:r w:rsidRPr="000C6D4B">
              <w:rPr>
                <w:rFonts w:ascii="Arial" w:hAnsi="Arial" w:cs="Arial"/>
                <w:i/>
                <w:sz w:val="20"/>
                <w:szCs w:val="20"/>
                <w:shd w:val="clear" w:color="auto" w:fill="FFFFFF"/>
              </w:rPr>
              <w:t xml:space="preserve">Mêhicô  </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2,9</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2,0</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2,3</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2,7</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0,0</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-0,3</w:t>
            </w:r>
          </w:p>
        </w:tc>
      </w:tr>
      <w:tr w:rsidR="003D422B" w:rsidRPr="000C6D4B" w:rsidTr="000C6D4B">
        <w:trPr>
          <w:jc w:val="center"/>
        </w:trPr>
        <w:tc>
          <w:tcPr>
            <w:tcW w:w="3420" w:type="dxa"/>
          </w:tcPr>
          <w:p w:rsidR="003D422B" w:rsidRPr="000C6D4B" w:rsidRDefault="003D422B" w:rsidP="000C6D4B">
            <w:pPr>
              <w:outlineLvl w:val="1"/>
              <w:rPr>
                <w:rFonts w:ascii="Arial" w:hAnsi="Arial" w:cs="Arial"/>
                <w:i/>
                <w:sz w:val="20"/>
                <w:szCs w:val="20"/>
                <w:shd w:val="clear" w:color="auto" w:fill="FFFFFF"/>
              </w:rPr>
            </w:pPr>
            <w:r w:rsidRPr="000C6D4B">
              <w:rPr>
                <w:rFonts w:ascii="Arial" w:hAnsi="Arial" w:cs="Arial"/>
                <w:i/>
                <w:sz w:val="20"/>
                <w:szCs w:val="20"/>
                <w:shd w:val="clear" w:color="auto" w:fill="FFFFFF"/>
              </w:rPr>
              <w:t xml:space="preserve">Trung Đông và Bắc Phi </w:t>
            </w:r>
            <w:r w:rsidRPr="000C6D4B">
              <w:rPr>
                <w:rFonts w:ascii="Arial" w:hAnsi="Arial" w:cs="Arial"/>
                <w:b/>
                <w:i/>
                <w:sz w:val="20"/>
                <w:szCs w:val="20"/>
                <w:shd w:val="clear" w:color="auto" w:fill="FFFFFF"/>
                <w:vertAlign w:val="superscript"/>
              </w:rPr>
              <w:t>(4)</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5,0</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2,2</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3,5</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3,9</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0,1</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0,2</w:t>
            </w:r>
          </w:p>
        </w:tc>
      </w:tr>
      <w:tr w:rsidR="003D422B" w:rsidRPr="000C6D4B" w:rsidTr="000C6D4B">
        <w:trPr>
          <w:jc w:val="center"/>
        </w:trPr>
        <w:tc>
          <w:tcPr>
            <w:tcW w:w="3420" w:type="dxa"/>
          </w:tcPr>
          <w:p w:rsidR="003D422B" w:rsidRPr="000C6D4B" w:rsidRDefault="003D422B" w:rsidP="000C6D4B">
            <w:pPr>
              <w:outlineLvl w:val="1"/>
              <w:rPr>
                <w:rFonts w:ascii="Arial" w:hAnsi="Arial" w:cs="Arial"/>
                <w:i/>
                <w:sz w:val="20"/>
                <w:szCs w:val="20"/>
                <w:shd w:val="clear" w:color="auto" w:fill="FFFFFF"/>
              </w:rPr>
            </w:pPr>
            <w:r w:rsidRPr="000C6D4B">
              <w:rPr>
                <w:rFonts w:ascii="Arial" w:hAnsi="Arial" w:cs="Arial"/>
                <w:i/>
                <w:sz w:val="20"/>
                <w:szCs w:val="20"/>
                <w:shd w:val="clear" w:color="auto" w:fill="FFFFFF"/>
              </w:rPr>
              <w:t xml:space="preserve">Arập Xê út </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1,7</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-0,9</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1,9</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1,9</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0,2</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0,0</w:t>
            </w:r>
          </w:p>
        </w:tc>
      </w:tr>
      <w:tr w:rsidR="003D422B" w:rsidRPr="000C6D4B" w:rsidTr="000C6D4B">
        <w:trPr>
          <w:jc w:val="center"/>
        </w:trPr>
        <w:tc>
          <w:tcPr>
            <w:tcW w:w="3420" w:type="dxa"/>
          </w:tcPr>
          <w:p w:rsidR="003D422B" w:rsidRPr="000C6D4B" w:rsidRDefault="003D422B" w:rsidP="000C6D4B">
            <w:pPr>
              <w:outlineLvl w:val="1"/>
              <w:rPr>
                <w:rFonts w:ascii="Arial" w:hAnsi="Arial" w:cs="Arial"/>
                <w:i/>
                <w:sz w:val="20"/>
                <w:szCs w:val="20"/>
                <w:shd w:val="clear" w:color="auto" w:fill="FFFFFF"/>
              </w:rPr>
            </w:pPr>
            <w:r w:rsidRPr="000C6D4B">
              <w:rPr>
                <w:rFonts w:ascii="Arial" w:hAnsi="Arial" w:cs="Arial"/>
                <w:i/>
                <w:sz w:val="20"/>
                <w:szCs w:val="20"/>
                <w:shd w:val="clear" w:color="auto" w:fill="FFFFFF"/>
              </w:rPr>
              <w:t>Khu vực cận Sahara</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1,5</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2,8</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3,4</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3,8</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0,0</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0,1</w:t>
            </w:r>
          </w:p>
        </w:tc>
      </w:tr>
      <w:tr w:rsidR="003D422B" w:rsidRPr="000C6D4B" w:rsidTr="000C6D4B">
        <w:trPr>
          <w:jc w:val="center"/>
        </w:trPr>
        <w:tc>
          <w:tcPr>
            <w:tcW w:w="3420" w:type="dxa"/>
          </w:tcPr>
          <w:p w:rsidR="003D422B" w:rsidRPr="000C6D4B" w:rsidRDefault="003D422B" w:rsidP="000C6D4B">
            <w:pPr>
              <w:outlineLvl w:val="1"/>
              <w:rPr>
                <w:rFonts w:ascii="Arial" w:hAnsi="Arial" w:cs="Arial"/>
                <w:i/>
                <w:sz w:val="20"/>
                <w:szCs w:val="20"/>
                <w:shd w:val="clear" w:color="auto" w:fill="FFFFFF"/>
              </w:rPr>
            </w:pPr>
            <w:r w:rsidRPr="000C6D4B">
              <w:rPr>
                <w:rFonts w:ascii="Arial" w:hAnsi="Arial" w:cs="Arial"/>
                <w:i/>
                <w:sz w:val="20"/>
                <w:szCs w:val="20"/>
                <w:shd w:val="clear" w:color="auto" w:fill="FFFFFF"/>
              </w:rPr>
              <w:t>Nigeria</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-1,6</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0,8</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2,1</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2,3</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0,0</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0,4</w:t>
            </w:r>
          </w:p>
        </w:tc>
      </w:tr>
      <w:tr w:rsidR="003D422B" w:rsidRPr="000C6D4B" w:rsidTr="000C6D4B">
        <w:trPr>
          <w:jc w:val="center"/>
        </w:trPr>
        <w:tc>
          <w:tcPr>
            <w:tcW w:w="3420" w:type="dxa"/>
          </w:tcPr>
          <w:p w:rsidR="003D422B" w:rsidRPr="000C6D4B" w:rsidRDefault="003D422B" w:rsidP="000C6D4B">
            <w:pPr>
              <w:outlineLvl w:val="1"/>
              <w:rPr>
                <w:rFonts w:ascii="Arial" w:hAnsi="Arial" w:cs="Arial"/>
                <w:i/>
                <w:sz w:val="20"/>
                <w:szCs w:val="20"/>
                <w:shd w:val="clear" w:color="auto" w:fill="FFFFFF"/>
              </w:rPr>
            </w:pPr>
            <w:r w:rsidRPr="000C6D4B">
              <w:rPr>
                <w:rFonts w:ascii="Arial" w:hAnsi="Arial" w:cs="Arial"/>
                <w:i/>
                <w:sz w:val="20"/>
                <w:szCs w:val="20"/>
                <w:shd w:val="clear" w:color="auto" w:fill="FFFFFF"/>
              </w:rPr>
              <w:t>CH Nam Phi</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0,6</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1,3</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1,5</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1,7</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0,0</w:t>
            </w:r>
          </w:p>
        </w:tc>
        <w:tc>
          <w:tcPr>
            <w:tcW w:w="990" w:type="dxa"/>
          </w:tcPr>
          <w:p w:rsidR="003D422B" w:rsidRPr="000C6D4B" w:rsidRDefault="003D422B" w:rsidP="000C6D4B">
            <w:pPr>
              <w:jc w:val="center"/>
              <w:outlineLvl w:val="1"/>
              <w:rPr>
                <w:rFonts w:ascii="Arial" w:hAnsi="Arial" w:cs="Arial"/>
                <w:i/>
                <w:sz w:val="20"/>
                <w:szCs w:val="20"/>
                <w:shd w:val="clear" w:color="auto" w:fill="FFFFFF"/>
              </w:rPr>
            </w:pPr>
            <w:r w:rsidRPr="000C6D4B">
              <w:rPr>
                <w:rFonts w:ascii="Arial" w:hAnsi="Arial" w:cs="Arial"/>
                <w:i/>
                <w:sz w:val="20"/>
                <w:szCs w:val="20"/>
                <w:shd w:val="clear" w:color="auto" w:fill="FFFFFF"/>
              </w:rPr>
              <w:t>0,0</w:t>
            </w:r>
          </w:p>
        </w:tc>
      </w:tr>
      <w:tr w:rsidR="003D422B" w:rsidRPr="000C6D4B" w:rsidTr="000C6D4B">
        <w:trPr>
          <w:jc w:val="center"/>
        </w:trPr>
        <w:tc>
          <w:tcPr>
            <w:tcW w:w="3420" w:type="dxa"/>
          </w:tcPr>
          <w:p w:rsidR="003D422B" w:rsidRPr="000C6D4B" w:rsidRDefault="003D422B" w:rsidP="000C6D4B">
            <w:pPr>
              <w:outlineLvl w:val="1"/>
              <w:rPr>
                <w:rFonts w:ascii="Arial" w:hAnsi="Arial" w:cs="Arial"/>
                <w:sz w:val="20"/>
                <w:szCs w:val="20"/>
                <w:shd w:val="clear" w:color="auto" w:fill="FFFFFF"/>
              </w:rPr>
            </w:pPr>
            <w:r w:rsidRPr="000C6D4B">
              <w:rPr>
                <w:rFonts w:ascii="Arial" w:hAnsi="Arial" w:cs="Arial"/>
                <w:sz w:val="20"/>
                <w:szCs w:val="20"/>
                <w:shd w:val="clear" w:color="auto" w:fill="FFFFFF"/>
              </w:rPr>
              <w:t>Các nước thu nhập thấp</w:t>
            </w:r>
          </w:p>
        </w:tc>
        <w:tc>
          <w:tcPr>
            <w:tcW w:w="990" w:type="dxa"/>
          </w:tcPr>
          <w:p w:rsidR="003D422B" w:rsidRPr="000C6D4B" w:rsidRDefault="003D422B" w:rsidP="000C6D4B">
            <w:pPr>
              <w:jc w:val="center"/>
              <w:outlineLvl w:val="1"/>
              <w:rPr>
                <w:rFonts w:ascii="Arial" w:hAnsi="Arial" w:cs="Arial"/>
                <w:sz w:val="20"/>
                <w:szCs w:val="20"/>
                <w:shd w:val="clear" w:color="auto" w:fill="FFFFFF"/>
              </w:rPr>
            </w:pPr>
            <w:r w:rsidRPr="000C6D4B">
              <w:rPr>
                <w:rFonts w:ascii="Arial" w:hAnsi="Arial" w:cs="Arial"/>
                <w:sz w:val="20"/>
                <w:szCs w:val="20"/>
                <w:shd w:val="clear" w:color="auto" w:fill="FFFFFF"/>
              </w:rPr>
              <w:t>3,5</w:t>
            </w:r>
          </w:p>
        </w:tc>
        <w:tc>
          <w:tcPr>
            <w:tcW w:w="990" w:type="dxa"/>
          </w:tcPr>
          <w:p w:rsidR="003D422B" w:rsidRPr="000C6D4B" w:rsidRDefault="003D422B" w:rsidP="000C6D4B">
            <w:pPr>
              <w:jc w:val="center"/>
              <w:outlineLvl w:val="1"/>
              <w:rPr>
                <w:rFonts w:ascii="Arial" w:hAnsi="Arial" w:cs="Arial"/>
                <w:sz w:val="20"/>
                <w:szCs w:val="20"/>
                <w:shd w:val="clear" w:color="auto" w:fill="FFFFFF"/>
              </w:rPr>
            </w:pPr>
            <w:r w:rsidRPr="000C6D4B">
              <w:rPr>
                <w:rFonts w:ascii="Arial" w:hAnsi="Arial" w:cs="Arial"/>
                <w:sz w:val="20"/>
                <w:szCs w:val="20"/>
                <w:shd w:val="clear" w:color="auto" w:fill="FFFFFF"/>
              </w:rPr>
              <w:t>4,7</w:t>
            </w:r>
          </w:p>
        </w:tc>
        <w:tc>
          <w:tcPr>
            <w:tcW w:w="990" w:type="dxa"/>
          </w:tcPr>
          <w:p w:rsidR="003D422B" w:rsidRPr="000C6D4B" w:rsidRDefault="003D422B" w:rsidP="000C6D4B">
            <w:pPr>
              <w:jc w:val="center"/>
              <w:outlineLvl w:val="1"/>
              <w:rPr>
                <w:rFonts w:ascii="Arial" w:hAnsi="Arial" w:cs="Arial"/>
                <w:sz w:val="20"/>
                <w:szCs w:val="20"/>
                <w:shd w:val="clear" w:color="auto" w:fill="FFFFFF"/>
              </w:rPr>
            </w:pPr>
            <w:r w:rsidRPr="000C6D4B">
              <w:rPr>
                <w:rFonts w:ascii="Arial" w:hAnsi="Arial" w:cs="Arial"/>
                <w:sz w:val="20"/>
                <w:szCs w:val="20"/>
                <w:shd w:val="clear" w:color="auto" w:fill="FFFFFF"/>
              </w:rPr>
              <w:t>5,0</w:t>
            </w:r>
          </w:p>
        </w:tc>
        <w:tc>
          <w:tcPr>
            <w:tcW w:w="990" w:type="dxa"/>
          </w:tcPr>
          <w:p w:rsidR="003D422B" w:rsidRPr="000C6D4B" w:rsidRDefault="003D422B" w:rsidP="000C6D4B">
            <w:pPr>
              <w:jc w:val="center"/>
              <w:outlineLvl w:val="1"/>
              <w:rPr>
                <w:rFonts w:ascii="Arial" w:hAnsi="Arial" w:cs="Arial"/>
                <w:sz w:val="20"/>
                <w:szCs w:val="20"/>
                <w:shd w:val="clear" w:color="auto" w:fill="FFFFFF"/>
              </w:rPr>
            </w:pPr>
            <w:r w:rsidRPr="000C6D4B">
              <w:rPr>
                <w:rFonts w:ascii="Arial" w:hAnsi="Arial" w:cs="Arial"/>
                <w:sz w:val="20"/>
                <w:szCs w:val="20"/>
                <w:shd w:val="clear" w:color="auto" w:fill="FFFFFF"/>
              </w:rPr>
              <w:t>5,3</w:t>
            </w:r>
          </w:p>
        </w:tc>
        <w:tc>
          <w:tcPr>
            <w:tcW w:w="990" w:type="dxa"/>
          </w:tcPr>
          <w:p w:rsidR="003D422B" w:rsidRPr="000C6D4B" w:rsidRDefault="003D422B" w:rsidP="000C6D4B">
            <w:pPr>
              <w:jc w:val="center"/>
              <w:outlineLvl w:val="1"/>
              <w:rPr>
                <w:rFonts w:ascii="Arial" w:hAnsi="Arial" w:cs="Arial"/>
                <w:sz w:val="20"/>
                <w:szCs w:val="20"/>
                <w:shd w:val="clear" w:color="auto" w:fill="FFFFFF"/>
              </w:rPr>
            </w:pPr>
            <w:r w:rsidRPr="000C6D4B">
              <w:rPr>
                <w:rFonts w:ascii="Arial" w:hAnsi="Arial" w:cs="Arial"/>
                <w:sz w:val="20"/>
                <w:szCs w:val="20"/>
                <w:shd w:val="clear" w:color="auto" w:fill="FFFFFF"/>
              </w:rPr>
              <w:t>0,0</w:t>
            </w:r>
          </w:p>
        </w:tc>
        <w:tc>
          <w:tcPr>
            <w:tcW w:w="990" w:type="dxa"/>
          </w:tcPr>
          <w:p w:rsidR="003D422B" w:rsidRPr="000C6D4B" w:rsidRDefault="003D422B" w:rsidP="000C6D4B">
            <w:pPr>
              <w:jc w:val="center"/>
              <w:outlineLvl w:val="1"/>
              <w:rPr>
                <w:rFonts w:ascii="Arial" w:hAnsi="Arial" w:cs="Arial"/>
                <w:sz w:val="20"/>
                <w:szCs w:val="20"/>
                <w:shd w:val="clear" w:color="auto" w:fill="FFFFFF"/>
              </w:rPr>
            </w:pPr>
            <w:r w:rsidRPr="000C6D4B">
              <w:rPr>
                <w:rFonts w:ascii="Arial" w:hAnsi="Arial" w:cs="Arial"/>
                <w:sz w:val="20"/>
                <w:szCs w:val="20"/>
                <w:shd w:val="clear" w:color="auto" w:fill="FFFFFF"/>
              </w:rPr>
              <w:t>0,0</w:t>
            </w:r>
          </w:p>
        </w:tc>
      </w:tr>
      <w:tr w:rsidR="003D422B" w:rsidRPr="000C6D4B" w:rsidTr="000C6D4B">
        <w:trPr>
          <w:jc w:val="center"/>
        </w:trPr>
        <w:tc>
          <w:tcPr>
            <w:tcW w:w="3420" w:type="dxa"/>
          </w:tcPr>
          <w:p w:rsidR="003D422B" w:rsidRPr="000C6D4B" w:rsidRDefault="003D422B" w:rsidP="000C6D4B">
            <w:pPr>
              <w:outlineLvl w:val="1"/>
              <w:rPr>
                <w:rFonts w:ascii="Arial" w:hAnsi="Arial" w:cs="Arial"/>
                <w:sz w:val="20"/>
                <w:szCs w:val="20"/>
                <w:shd w:val="clear" w:color="auto" w:fill="FFFFFF"/>
              </w:rPr>
            </w:pPr>
            <w:r w:rsidRPr="000C6D4B">
              <w:rPr>
                <w:rFonts w:ascii="Arial" w:hAnsi="Arial" w:cs="Arial"/>
                <w:sz w:val="20"/>
                <w:szCs w:val="20"/>
                <w:shd w:val="clear" w:color="auto" w:fill="FFFFFF"/>
              </w:rPr>
              <w:t>Thương mại quốc tế</w:t>
            </w:r>
          </w:p>
        </w:tc>
        <w:tc>
          <w:tcPr>
            <w:tcW w:w="990" w:type="dxa"/>
          </w:tcPr>
          <w:p w:rsidR="003D422B" w:rsidRPr="000C6D4B" w:rsidRDefault="003D422B" w:rsidP="000C6D4B">
            <w:pPr>
              <w:jc w:val="center"/>
              <w:outlineLvl w:val="1"/>
              <w:rPr>
                <w:rFonts w:ascii="Arial" w:hAnsi="Arial" w:cs="Arial"/>
                <w:sz w:val="20"/>
                <w:szCs w:val="20"/>
                <w:shd w:val="clear" w:color="auto" w:fill="FFFFFF"/>
              </w:rPr>
            </w:pPr>
            <w:r w:rsidRPr="000C6D4B">
              <w:rPr>
                <w:rFonts w:ascii="Arial" w:hAnsi="Arial" w:cs="Arial"/>
                <w:sz w:val="20"/>
                <w:szCs w:val="20"/>
                <w:shd w:val="clear" w:color="auto" w:fill="FFFFFF"/>
              </w:rPr>
              <w:t>2,2</w:t>
            </w:r>
          </w:p>
        </w:tc>
        <w:tc>
          <w:tcPr>
            <w:tcW w:w="990" w:type="dxa"/>
          </w:tcPr>
          <w:p w:rsidR="003D422B" w:rsidRPr="000C6D4B" w:rsidRDefault="003D422B" w:rsidP="000C6D4B">
            <w:pPr>
              <w:jc w:val="center"/>
              <w:outlineLvl w:val="1"/>
              <w:rPr>
                <w:rFonts w:ascii="Arial" w:hAnsi="Arial" w:cs="Arial"/>
                <w:sz w:val="20"/>
                <w:szCs w:val="20"/>
                <w:shd w:val="clear" w:color="auto" w:fill="FFFFFF"/>
              </w:rPr>
            </w:pPr>
            <w:r w:rsidRPr="000C6D4B">
              <w:rPr>
                <w:rFonts w:ascii="Arial" w:hAnsi="Arial" w:cs="Arial"/>
                <w:sz w:val="20"/>
                <w:szCs w:val="20"/>
                <w:shd w:val="clear" w:color="auto" w:fill="FFFFFF"/>
              </w:rPr>
              <w:t>5,1</w:t>
            </w:r>
          </w:p>
        </w:tc>
        <w:tc>
          <w:tcPr>
            <w:tcW w:w="990" w:type="dxa"/>
          </w:tcPr>
          <w:p w:rsidR="003D422B" w:rsidRPr="000C6D4B" w:rsidRDefault="003D422B" w:rsidP="000C6D4B">
            <w:pPr>
              <w:jc w:val="center"/>
              <w:outlineLvl w:val="1"/>
              <w:rPr>
                <w:rFonts w:ascii="Arial" w:hAnsi="Arial" w:cs="Arial"/>
                <w:sz w:val="20"/>
                <w:szCs w:val="20"/>
                <w:shd w:val="clear" w:color="auto" w:fill="FFFFFF"/>
              </w:rPr>
            </w:pPr>
            <w:r w:rsidRPr="000C6D4B">
              <w:rPr>
                <w:rFonts w:ascii="Arial" w:hAnsi="Arial" w:cs="Arial"/>
                <w:sz w:val="20"/>
                <w:szCs w:val="20"/>
                <w:shd w:val="clear" w:color="auto" w:fill="FFFFFF"/>
              </w:rPr>
              <w:t>4,8</w:t>
            </w:r>
          </w:p>
        </w:tc>
        <w:tc>
          <w:tcPr>
            <w:tcW w:w="990" w:type="dxa"/>
          </w:tcPr>
          <w:p w:rsidR="003D422B" w:rsidRPr="000C6D4B" w:rsidRDefault="003D422B" w:rsidP="000C6D4B">
            <w:pPr>
              <w:jc w:val="center"/>
              <w:outlineLvl w:val="1"/>
              <w:rPr>
                <w:rFonts w:ascii="Arial" w:hAnsi="Arial" w:cs="Arial"/>
                <w:sz w:val="20"/>
                <w:szCs w:val="20"/>
                <w:shd w:val="clear" w:color="auto" w:fill="FFFFFF"/>
              </w:rPr>
            </w:pPr>
            <w:r w:rsidRPr="000C6D4B">
              <w:rPr>
                <w:rFonts w:ascii="Arial" w:hAnsi="Arial" w:cs="Arial"/>
                <w:sz w:val="20"/>
                <w:szCs w:val="20"/>
                <w:shd w:val="clear" w:color="auto" w:fill="FFFFFF"/>
              </w:rPr>
              <w:t>4,5</w:t>
            </w:r>
          </w:p>
        </w:tc>
        <w:tc>
          <w:tcPr>
            <w:tcW w:w="990" w:type="dxa"/>
          </w:tcPr>
          <w:p w:rsidR="003D422B" w:rsidRPr="000C6D4B" w:rsidRDefault="003D422B" w:rsidP="000C6D4B">
            <w:pPr>
              <w:jc w:val="center"/>
              <w:outlineLvl w:val="1"/>
              <w:rPr>
                <w:rFonts w:ascii="Arial" w:hAnsi="Arial" w:cs="Arial"/>
                <w:sz w:val="20"/>
                <w:szCs w:val="20"/>
                <w:shd w:val="clear" w:color="auto" w:fill="FFFFFF"/>
              </w:rPr>
            </w:pPr>
            <w:r w:rsidRPr="000C6D4B">
              <w:rPr>
                <w:rFonts w:ascii="Arial" w:hAnsi="Arial" w:cs="Arial"/>
                <w:sz w:val="20"/>
                <w:szCs w:val="20"/>
                <w:shd w:val="clear" w:color="auto" w:fill="FFFFFF"/>
              </w:rPr>
              <w:t>-0,3</w:t>
            </w:r>
          </w:p>
        </w:tc>
        <w:tc>
          <w:tcPr>
            <w:tcW w:w="990" w:type="dxa"/>
          </w:tcPr>
          <w:p w:rsidR="003D422B" w:rsidRPr="000C6D4B" w:rsidRDefault="003D422B" w:rsidP="000C6D4B">
            <w:pPr>
              <w:jc w:val="center"/>
              <w:outlineLvl w:val="1"/>
              <w:rPr>
                <w:rFonts w:ascii="Arial" w:hAnsi="Arial" w:cs="Arial"/>
                <w:sz w:val="20"/>
                <w:szCs w:val="20"/>
                <w:shd w:val="clear" w:color="auto" w:fill="FFFFFF"/>
              </w:rPr>
            </w:pPr>
            <w:r w:rsidRPr="000C6D4B">
              <w:rPr>
                <w:rFonts w:ascii="Arial" w:hAnsi="Arial" w:cs="Arial"/>
                <w:sz w:val="20"/>
                <w:szCs w:val="20"/>
                <w:shd w:val="clear" w:color="auto" w:fill="FFFFFF"/>
              </w:rPr>
              <w:t>-0,2</w:t>
            </w:r>
          </w:p>
        </w:tc>
      </w:tr>
      <w:tr w:rsidR="003D422B" w:rsidRPr="000C6D4B" w:rsidTr="000C6D4B">
        <w:trPr>
          <w:jc w:val="center"/>
        </w:trPr>
        <w:tc>
          <w:tcPr>
            <w:tcW w:w="3420" w:type="dxa"/>
          </w:tcPr>
          <w:p w:rsidR="003D422B" w:rsidRPr="000C6D4B" w:rsidRDefault="003D422B" w:rsidP="000C6D4B">
            <w:pPr>
              <w:outlineLvl w:val="1"/>
              <w:rPr>
                <w:rFonts w:ascii="Arial" w:hAnsi="Arial" w:cs="Arial"/>
                <w:sz w:val="20"/>
                <w:szCs w:val="20"/>
                <w:shd w:val="clear" w:color="auto" w:fill="FFFFFF"/>
              </w:rPr>
            </w:pPr>
            <w:r w:rsidRPr="000C6D4B">
              <w:rPr>
                <w:rFonts w:ascii="Arial" w:hAnsi="Arial" w:cs="Arial"/>
                <w:sz w:val="20"/>
                <w:szCs w:val="20"/>
                <w:shd w:val="clear" w:color="auto" w:fill="FFFFFF"/>
              </w:rPr>
              <w:t xml:space="preserve">Giá dầu </w:t>
            </w:r>
          </w:p>
        </w:tc>
        <w:tc>
          <w:tcPr>
            <w:tcW w:w="990" w:type="dxa"/>
          </w:tcPr>
          <w:p w:rsidR="003D422B" w:rsidRPr="000C6D4B" w:rsidRDefault="003D422B" w:rsidP="000C6D4B">
            <w:pPr>
              <w:jc w:val="center"/>
              <w:outlineLvl w:val="1"/>
              <w:rPr>
                <w:rFonts w:ascii="Arial" w:hAnsi="Arial" w:cs="Arial"/>
                <w:sz w:val="20"/>
                <w:szCs w:val="20"/>
                <w:shd w:val="clear" w:color="auto" w:fill="FFFFFF"/>
              </w:rPr>
            </w:pPr>
            <w:r w:rsidRPr="000C6D4B">
              <w:rPr>
                <w:rFonts w:ascii="Arial" w:hAnsi="Arial" w:cs="Arial"/>
                <w:sz w:val="20"/>
                <w:szCs w:val="20"/>
                <w:shd w:val="clear" w:color="auto" w:fill="FFFFFF"/>
              </w:rPr>
              <w:t>-15,7</w:t>
            </w:r>
          </w:p>
        </w:tc>
        <w:tc>
          <w:tcPr>
            <w:tcW w:w="990" w:type="dxa"/>
          </w:tcPr>
          <w:p w:rsidR="003D422B" w:rsidRPr="000C6D4B" w:rsidRDefault="003D422B" w:rsidP="000C6D4B">
            <w:pPr>
              <w:jc w:val="center"/>
              <w:outlineLvl w:val="1"/>
              <w:rPr>
                <w:rFonts w:ascii="Arial" w:hAnsi="Arial" w:cs="Arial"/>
                <w:sz w:val="20"/>
                <w:szCs w:val="20"/>
                <w:shd w:val="clear" w:color="auto" w:fill="FFFFFF"/>
              </w:rPr>
            </w:pPr>
            <w:r w:rsidRPr="000C6D4B">
              <w:rPr>
                <w:rFonts w:ascii="Arial" w:hAnsi="Arial" w:cs="Arial"/>
                <w:sz w:val="20"/>
                <w:szCs w:val="20"/>
                <w:shd w:val="clear" w:color="auto" w:fill="FFFFFF"/>
              </w:rPr>
              <w:t>23,3</w:t>
            </w:r>
          </w:p>
        </w:tc>
        <w:tc>
          <w:tcPr>
            <w:tcW w:w="990" w:type="dxa"/>
          </w:tcPr>
          <w:p w:rsidR="003D422B" w:rsidRPr="000C6D4B" w:rsidRDefault="003D422B" w:rsidP="000C6D4B">
            <w:pPr>
              <w:jc w:val="center"/>
              <w:outlineLvl w:val="1"/>
              <w:rPr>
                <w:rFonts w:ascii="Arial" w:hAnsi="Arial" w:cs="Arial"/>
                <w:sz w:val="20"/>
                <w:szCs w:val="20"/>
                <w:shd w:val="clear" w:color="auto" w:fill="FFFFFF"/>
              </w:rPr>
            </w:pPr>
            <w:r w:rsidRPr="000C6D4B">
              <w:rPr>
                <w:rFonts w:ascii="Arial" w:hAnsi="Arial" w:cs="Arial"/>
                <w:sz w:val="20"/>
                <w:szCs w:val="20"/>
                <w:shd w:val="clear" w:color="auto" w:fill="FFFFFF"/>
              </w:rPr>
              <w:t>33,0</w:t>
            </w:r>
          </w:p>
        </w:tc>
        <w:tc>
          <w:tcPr>
            <w:tcW w:w="990" w:type="dxa"/>
          </w:tcPr>
          <w:p w:rsidR="003D422B" w:rsidRPr="000C6D4B" w:rsidRDefault="003D422B" w:rsidP="000C6D4B">
            <w:pPr>
              <w:jc w:val="center"/>
              <w:outlineLvl w:val="1"/>
              <w:rPr>
                <w:rFonts w:ascii="Arial" w:hAnsi="Arial" w:cs="Arial"/>
                <w:sz w:val="20"/>
                <w:szCs w:val="20"/>
                <w:shd w:val="clear" w:color="auto" w:fill="FFFFFF"/>
              </w:rPr>
            </w:pPr>
            <w:r w:rsidRPr="000C6D4B">
              <w:rPr>
                <w:rFonts w:ascii="Arial" w:hAnsi="Arial" w:cs="Arial"/>
                <w:sz w:val="20"/>
                <w:szCs w:val="20"/>
                <w:shd w:val="clear" w:color="auto" w:fill="FFFFFF"/>
              </w:rPr>
              <w:t>-1,8</w:t>
            </w:r>
          </w:p>
        </w:tc>
        <w:tc>
          <w:tcPr>
            <w:tcW w:w="990" w:type="dxa"/>
          </w:tcPr>
          <w:p w:rsidR="003D422B" w:rsidRPr="000C6D4B" w:rsidRDefault="003D422B" w:rsidP="000C6D4B">
            <w:pPr>
              <w:jc w:val="center"/>
              <w:outlineLvl w:val="1"/>
              <w:rPr>
                <w:rFonts w:ascii="Arial" w:hAnsi="Arial" w:cs="Arial"/>
                <w:sz w:val="20"/>
                <w:szCs w:val="20"/>
                <w:shd w:val="clear" w:color="auto" w:fill="FFFFFF"/>
              </w:rPr>
            </w:pPr>
            <w:r w:rsidRPr="000C6D4B">
              <w:rPr>
                <w:rFonts w:ascii="Arial" w:hAnsi="Arial" w:cs="Arial"/>
                <w:sz w:val="20"/>
                <w:szCs w:val="20"/>
                <w:shd w:val="clear" w:color="auto" w:fill="FFFFFF"/>
              </w:rPr>
              <w:t>15,0</w:t>
            </w:r>
          </w:p>
        </w:tc>
        <w:tc>
          <w:tcPr>
            <w:tcW w:w="990" w:type="dxa"/>
          </w:tcPr>
          <w:p w:rsidR="003D422B" w:rsidRPr="000C6D4B" w:rsidRDefault="003D422B" w:rsidP="000C6D4B">
            <w:pPr>
              <w:jc w:val="center"/>
              <w:outlineLvl w:val="1"/>
              <w:rPr>
                <w:rFonts w:ascii="Arial" w:hAnsi="Arial" w:cs="Arial"/>
                <w:sz w:val="20"/>
                <w:szCs w:val="20"/>
                <w:shd w:val="clear" w:color="auto" w:fill="FFFFFF"/>
              </w:rPr>
            </w:pPr>
            <w:r w:rsidRPr="000C6D4B">
              <w:rPr>
                <w:rFonts w:ascii="Arial" w:hAnsi="Arial" w:cs="Arial"/>
                <w:sz w:val="20"/>
                <w:szCs w:val="20"/>
                <w:shd w:val="clear" w:color="auto" w:fill="FFFFFF"/>
              </w:rPr>
              <w:t>4,7</w:t>
            </w:r>
          </w:p>
        </w:tc>
      </w:tr>
      <w:tr w:rsidR="003D422B" w:rsidRPr="000C6D4B" w:rsidTr="000C6D4B">
        <w:trPr>
          <w:jc w:val="center"/>
        </w:trPr>
        <w:tc>
          <w:tcPr>
            <w:tcW w:w="3420" w:type="dxa"/>
          </w:tcPr>
          <w:p w:rsidR="003D422B" w:rsidRPr="000C6D4B" w:rsidRDefault="003D422B" w:rsidP="000C6D4B">
            <w:pPr>
              <w:outlineLvl w:val="1"/>
              <w:rPr>
                <w:rFonts w:ascii="Arial" w:hAnsi="Arial" w:cs="Arial"/>
                <w:sz w:val="20"/>
                <w:szCs w:val="20"/>
                <w:shd w:val="clear" w:color="auto" w:fill="FFFFFF"/>
              </w:rPr>
            </w:pPr>
            <w:r w:rsidRPr="000C6D4B">
              <w:rPr>
                <w:rFonts w:ascii="Arial" w:hAnsi="Arial" w:cs="Arial"/>
                <w:sz w:val="20"/>
                <w:szCs w:val="20"/>
                <w:shd w:val="clear" w:color="auto" w:fill="FFFFFF"/>
              </w:rPr>
              <w:t>Giá hàng hóa khác</w:t>
            </w:r>
          </w:p>
        </w:tc>
        <w:tc>
          <w:tcPr>
            <w:tcW w:w="990" w:type="dxa"/>
          </w:tcPr>
          <w:p w:rsidR="003D422B" w:rsidRPr="000C6D4B" w:rsidRDefault="003D422B" w:rsidP="000C6D4B">
            <w:pPr>
              <w:jc w:val="center"/>
              <w:outlineLvl w:val="1"/>
              <w:rPr>
                <w:rFonts w:ascii="Arial" w:hAnsi="Arial" w:cs="Arial"/>
                <w:sz w:val="20"/>
                <w:szCs w:val="20"/>
                <w:shd w:val="clear" w:color="auto" w:fill="FFFFFF"/>
              </w:rPr>
            </w:pPr>
            <w:r w:rsidRPr="000C6D4B">
              <w:rPr>
                <w:rFonts w:ascii="Arial" w:hAnsi="Arial" w:cs="Arial"/>
                <w:sz w:val="20"/>
                <w:szCs w:val="20"/>
                <w:shd w:val="clear" w:color="auto" w:fill="FFFFFF"/>
              </w:rPr>
              <w:t>-1,5</w:t>
            </w:r>
          </w:p>
        </w:tc>
        <w:tc>
          <w:tcPr>
            <w:tcW w:w="990" w:type="dxa"/>
          </w:tcPr>
          <w:p w:rsidR="003D422B" w:rsidRPr="000C6D4B" w:rsidRDefault="003D422B" w:rsidP="000C6D4B">
            <w:pPr>
              <w:jc w:val="center"/>
              <w:outlineLvl w:val="1"/>
              <w:rPr>
                <w:rFonts w:ascii="Arial" w:hAnsi="Arial" w:cs="Arial"/>
                <w:sz w:val="20"/>
                <w:szCs w:val="20"/>
                <w:shd w:val="clear" w:color="auto" w:fill="FFFFFF"/>
              </w:rPr>
            </w:pPr>
            <w:r w:rsidRPr="000C6D4B">
              <w:rPr>
                <w:rFonts w:ascii="Arial" w:hAnsi="Arial" w:cs="Arial"/>
                <w:sz w:val="20"/>
                <w:szCs w:val="20"/>
                <w:shd w:val="clear" w:color="auto" w:fill="FFFFFF"/>
              </w:rPr>
              <w:t>6,8</w:t>
            </w:r>
          </w:p>
        </w:tc>
        <w:tc>
          <w:tcPr>
            <w:tcW w:w="990" w:type="dxa"/>
          </w:tcPr>
          <w:p w:rsidR="003D422B" w:rsidRPr="000C6D4B" w:rsidRDefault="003D422B" w:rsidP="000C6D4B">
            <w:pPr>
              <w:jc w:val="center"/>
              <w:outlineLvl w:val="1"/>
              <w:rPr>
                <w:rFonts w:ascii="Arial" w:hAnsi="Arial" w:cs="Arial"/>
                <w:sz w:val="20"/>
                <w:szCs w:val="20"/>
                <w:shd w:val="clear" w:color="auto" w:fill="FFFFFF"/>
              </w:rPr>
            </w:pPr>
            <w:r w:rsidRPr="000C6D4B">
              <w:rPr>
                <w:rFonts w:ascii="Arial" w:hAnsi="Arial" w:cs="Arial"/>
                <w:sz w:val="20"/>
                <w:szCs w:val="20"/>
                <w:shd w:val="clear" w:color="auto" w:fill="FFFFFF"/>
              </w:rPr>
              <w:t>6,0</w:t>
            </w:r>
          </w:p>
        </w:tc>
        <w:tc>
          <w:tcPr>
            <w:tcW w:w="990" w:type="dxa"/>
          </w:tcPr>
          <w:p w:rsidR="003D422B" w:rsidRPr="000C6D4B" w:rsidRDefault="003D422B" w:rsidP="000C6D4B">
            <w:pPr>
              <w:jc w:val="center"/>
              <w:outlineLvl w:val="1"/>
              <w:rPr>
                <w:rFonts w:ascii="Arial" w:hAnsi="Arial" w:cs="Arial"/>
                <w:sz w:val="20"/>
                <w:szCs w:val="20"/>
                <w:shd w:val="clear" w:color="auto" w:fill="FFFFFF"/>
              </w:rPr>
            </w:pPr>
            <w:r w:rsidRPr="000C6D4B">
              <w:rPr>
                <w:rFonts w:ascii="Arial" w:hAnsi="Arial" w:cs="Arial"/>
                <w:sz w:val="20"/>
                <w:szCs w:val="20"/>
                <w:shd w:val="clear" w:color="auto" w:fill="FFFFFF"/>
              </w:rPr>
              <w:t>0,5</w:t>
            </w:r>
          </w:p>
        </w:tc>
        <w:tc>
          <w:tcPr>
            <w:tcW w:w="990" w:type="dxa"/>
          </w:tcPr>
          <w:p w:rsidR="003D422B" w:rsidRPr="000C6D4B" w:rsidRDefault="003D422B" w:rsidP="000C6D4B">
            <w:pPr>
              <w:jc w:val="center"/>
              <w:outlineLvl w:val="1"/>
              <w:rPr>
                <w:rFonts w:ascii="Arial" w:hAnsi="Arial" w:cs="Arial"/>
                <w:sz w:val="20"/>
                <w:szCs w:val="20"/>
                <w:shd w:val="clear" w:color="auto" w:fill="FFFFFF"/>
              </w:rPr>
            </w:pPr>
            <w:r w:rsidRPr="000C6D4B">
              <w:rPr>
                <w:rFonts w:ascii="Arial" w:hAnsi="Arial" w:cs="Arial"/>
                <w:sz w:val="20"/>
                <w:szCs w:val="20"/>
                <w:shd w:val="clear" w:color="auto" w:fill="FFFFFF"/>
              </w:rPr>
              <w:t>0,4</w:t>
            </w:r>
          </w:p>
        </w:tc>
        <w:tc>
          <w:tcPr>
            <w:tcW w:w="990" w:type="dxa"/>
          </w:tcPr>
          <w:p w:rsidR="003D422B" w:rsidRPr="000C6D4B" w:rsidRDefault="003D422B" w:rsidP="000C6D4B">
            <w:pPr>
              <w:jc w:val="center"/>
              <w:outlineLvl w:val="1"/>
              <w:rPr>
                <w:rFonts w:ascii="Arial" w:hAnsi="Arial" w:cs="Arial"/>
                <w:sz w:val="20"/>
                <w:szCs w:val="20"/>
                <w:shd w:val="clear" w:color="auto" w:fill="FFFFFF"/>
              </w:rPr>
            </w:pPr>
            <w:r w:rsidRPr="000C6D4B">
              <w:rPr>
                <w:rFonts w:ascii="Arial" w:hAnsi="Arial" w:cs="Arial"/>
                <w:sz w:val="20"/>
                <w:szCs w:val="20"/>
                <w:shd w:val="clear" w:color="auto" w:fill="FFFFFF"/>
              </w:rPr>
              <w:t>0,0</w:t>
            </w:r>
          </w:p>
        </w:tc>
      </w:tr>
      <w:tr w:rsidR="003D422B" w:rsidRPr="000C6D4B" w:rsidTr="000C6D4B">
        <w:trPr>
          <w:jc w:val="center"/>
        </w:trPr>
        <w:tc>
          <w:tcPr>
            <w:tcW w:w="3420" w:type="dxa"/>
          </w:tcPr>
          <w:p w:rsidR="003D422B" w:rsidRPr="000C6D4B" w:rsidRDefault="003D422B" w:rsidP="000C6D4B">
            <w:pPr>
              <w:outlineLvl w:val="1"/>
              <w:rPr>
                <w:rFonts w:ascii="Arial" w:hAnsi="Arial" w:cs="Arial"/>
                <w:sz w:val="20"/>
                <w:szCs w:val="20"/>
                <w:shd w:val="clear" w:color="auto" w:fill="FFFFFF"/>
              </w:rPr>
            </w:pPr>
            <w:r w:rsidRPr="000C6D4B">
              <w:rPr>
                <w:rFonts w:ascii="Arial" w:hAnsi="Arial" w:cs="Arial"/>
                <w:sz w:val="20"/>
                <w:szCs w:val="20"/>
                <w:shd w:val="clear" w:color="auto" w:fill="FFFFFF"/>
              </w:rPr>
              <w:t>CPI tại các nước phát triển</w:t>
            </w:r>
          </w:p>
        </w:tc>
        <w:tc>
          <w:tcPr>
            <w:tcW w:w="990" w:type="dxa"/>
          </w:tcPr>
          <w:p w:rsidR="003D422B" w:rsidRPr="000C6D4B" w:rsidRDefault="003D422B" w:rsidP="000C6D4B">
            <w:pPr>
              <w:jc w:val="center"/>
              <w:outlineLvl w:val="1"/>
              <w:rPr>
                <w:rFonts w:ascii="Arial" w:hAnsi="Arial" w:cs="Arial"/>
                <w:sz w:val="20"/>
                <w:szCs w:val="20"/>
                <w:shd w:val="clear" w:color="auto" w:fill="FFFFFF"/>
              </w:rPr>
            </w:pPr>
            <w:r w:rsidRPr="000C6D4B">
              <w:rPr>
                <w:rFonts w:ascii="Arial" w:hAnsi="Arial" w:cs="Arial"/>
                <w:sz w:val="20"/>
                <w:szCs w:val="20"/>
                <w:shd w:val="clear" w:color="auto" w:fill="FFFFFF"/>
              </w:rPr>
              <w:t>0,8</w:t>
            </w:r>
          </w:p>
        </w:tc>
        <w:tc>
          <w:tcPr>
            <w:tcW w:w="990" w:type="dxa"/>
          </w:tcPr>
          <w:p w:rsidR="003D422B" w:rsidRPr="000C6D4B" w:rsidRDefault="003D422B" w:rsidP="000C6D4B">
            <w:pPr>
              <w:jc w:val="center"/>
              <w:outlineLvl w:val="1"/>
              <w:rPr>
                <w:rFonts w:ascii="Arial" w:hAnsi="Arial" w:cs="Arial"/>
                <w:sz w:val="20"/>
                <w:szCs w:val="20"/>
                <w:shd w:val="clear" w:color="auto" w:fill="FFFFFF"/>
              </w:rPr>
            </w:pPr>
            <w:r w:rsidRPr="000C6D4B">
              <w:rPr>
                <w:rFonts w:ascii="Arial" w:hAnsi="Arial" w:cs="Arial"/>
                <w:sz w:val="20"/>
                <w:szCs w:val="20"/>
                <w:shd w:val="clear" w:color="auto" w:fill="FFFFFF"/>
              </w:rPr>
              <w:t>1,7</w:t>
            </w:r>
          </w:p>
        </w:tc>
        <w:tc>
          <w:tcPr>
            <w:tcW w:w="990" w:type="dxa"/>
          </w:tcPr>
          <w:p w:rsidR="003D422B" w:rsidRPr="000C6D4B" w:rsidRDefault="003D422B" w:rsidP="000C6D4B">
            <w:pPr>
              <w:jc w:val="center"/>
              <w:outlineLvl w:val="1"/>
              <w:rPr>
                <w:rFonts w:ascii="Arial" w:hAnsi="Arial" w:cs="Arial"/>
                <w:sz w:val="20"/>
                <w:szCs w:val="20"/>
                <w:shd w:val="clear" w:color="auto" w:fill="FFFFFF"/>
              </w:rPr>
            </w:pPr>
            <w:r w:rsidRPr="000C6D4B">
              <w:rPr>
                <w:rFonts w:ascii="Arial" w:hAnsi="Arial" w:cs="Arial"/>
                <w:sz w:val="20"/>
                <w:szCs w:val="20"/>
                <w:shd w:val="clear" w:color="auto" w:fill="FFFFFF"/>
              </w:rPr>
              <w:t>2,2</w:t>
            </w:r>
          </w:p>
        </w:tc>
        <w:tc>
          <w:tcPr>
            <w:tcW w:w="990" w:type="dxa"/>
          </w:tcPr>
          <w:p w:rsidR="003D422B" w:rsidRPr="000C6D4B" w:rsidRDefault="003D422B" w:rsidP="000C6D4B">
            <w:pPr>
              <w:jc w:val="center"/>
              <w:outlineLvl w:val="1"/>
              <w:rPr>
                <w:rFonts w:ascii="Arial" w:hAnsi="Arial" w:cs="Arial"/>
                <w:sz w:val="20"/>
                <w:szCs w:val="20"/>
                <w:shd w:val="clear" w:color="auto" w:fill="FFFFFF"/>
              </w:rPr>
            </w:pPr>
            <w:r w:rsidRPr="000C6D4B">
              <w:rPr>
                <w:rFonts w:ascii="Arial" w:hAnsi="Arial" w:cs="Arial"/>
                <w:sz w:val="20"/>
                <w:szCs w:val="20"/>
                <w:shd w:val="clear" w:color="auto" w:fill="FFFFFF"/>
              </w:rPr>
              <w:t>2,2</w:t>
            </w:r>
          </w:p>
        </w:tc>
        <w:tc>
          <w:tcPr>
            <w:tcW w:w="990" w:type="dxa"/>
          </w:tcPr>
          <w:p w:rsidR="003D422B" w:rsidRPr="000C6D4B" w:rsidRDefault="003D422B" w:rsidP="000C6D4B">
            <w:pPr>
              <w:jc w:val="center"/>
              <w:outlineLvl w:val="1"/>
              <w:rPr>
                <w:rFonts w:ascii="Arial" w:hAnsi="Arial" w:cs="Arial"/>
                <w:sz w:val="20"/>
                <w:szCs w:val="20"/>
                <w:shd w:val="clear" w:color="auto" w:fill="FFFFFF"/>
              </w:rPr>
            </w:pPr>
            <w:r w:rsidRPr="000C6D4B">
              <w:rPr>
                <w:rFonts w:ascii="Arial" w:hAnsi="Arial" w:cs="Arial"/>
                <w:sz w:val="20"/>
                <w:szCs w:val="20"/>
                <w:shd w:val="clear" w:color="auto" w:fill="FFFFFF"/>
              </w:rPr>
              <w:t>0,2</w:t>
            </w:r>
          </w:p>
        </w:tc>
        <w:tc>
          <w:tcPr>
            <w:tcW w:w="990" w:type="dxa"/>
          </w:tcPr>
          <w:p w:rsidR="003D422B" w:rsidRPr="000C6D4B" w:rsidRDefault="003D422B" w:rsidP="000C6D4B">
            <w:pPr>
              <w:jc w:val="center"/>
              <w:outlineLvl w:val="1"/>
              <w:rPr>
                <w:rFonts w:ascii="Arial" w:hAnsi="Arial" w:cs="Arial"/>
                <w:sz w:val="20"/>
                <w:szCs w:val="20"/>
                <w:shd w:val="clear" w:color="auto" w:fill="FFFFFF"/>
              </w:rPr>
            </w:pPr>
            <w:r w:rsidRPr="000C6D4B">
              <w:rPr>
                <w:rFonts w:ascii="Arial" w:hAnsi="Arial" w:cs="Arial"/>
                <w:sz w:val="20"/>
                <w:szCs w:val="20"/>
                <w:shd w:val="clear" w:color="auto" w:fill="FFFFFF"/>
              </w:rPr>
              <w:t>0,3</w:t>
            </w:r>
          </w:p>
        </w:tc>
      </w:tr>
      <w:tr w:rsidR="003D422B" w:rsidRPr="000C6D4B" w:rsidTr="000C6D4B">
        <w:trPr>
          <w:jc w:val="center"/>
        </w:trPr>
        <w:tc>
          <w:tcPr>
            <w:tcW w:w="3420" w:type="dxa"/>
          </w:tcPr>
          <w:p w:rsidR="003D422B" w:rsidRPr="000C6D4B" w:rsidRDefault="003D422B" w:rsidP="000C6D4B">
            <w:pPr>
              <w:spacing w:after="60"/>
              <w:outlineLvl w:val="1"/>
              <w:rPr>
                <w:rFonts w:ascii="Arial" w:hAnsi="Arial" w:cs="Arial"/>
                <w:sz w:val="20"/>
                <w:szCs w:val="20"/>
                <w:shd w:val="clear" w:color="auto" w:fill="FFFFFF"/>
              </w:rPr>
            </w:pPr>
            <w:r w:rsidRPr="000C6D4B">
              <w:rPr>
                <w:rFonts w:ascii="Arial" w:hAnsi="Arial" w:cs="Arial"/>
                <w:sz w:val="20"/>
                <w:szCs w:val="20"/>
                <w:shd w:val="clear" w:color="auto" w:fill="FFFFFF"/>
              </w:rPr>
              <w:t xml:space="preserve">CPI tại các EMDE </w:t>
            </w:r>
            <w:r w:rsidRPr="000C6D4B">
              <w:rPr>
                <w:rFonts w:ascii="Arial" w:hAnsi="Arial" w:cs="Arial"/>
                <w:b/>
                <w:sz w:val="20"/>
                <w:szCs w:val="20"/>
                <w:shd w:val="clear" w:color="auto" w:fill="FFFFFF"/>
                <w:vertAlign w:val="superscript"/>
              </w:rPr>
              <w:t>(5)</w:t>
            </w:r>
          </w:p>
        </w:tc>
        <w:tc>
          <w:tcPr>
            <w:tcW w:w="990" w:type="dxa"/>
          </w:tcPr>
          <w:p w:rsidR="003D422B" w:rsidRPr="000C6D4B" w:rsidRDefault="003D422B" w:rsidP="000C6D4B">
            <w:pPr>
              <w:spacing w:after="60"/>
              <w:jc w:val="center"/>
              <w:outlineLvl w:val="1"/>
              <w:rPr>
                <w:rFonts w:ascii="Arial" w:hAnsi="Arial" w:cs="Arial"/>
                <w:sz w:val="20"/>
                <w:szCs w:val="20"/>
                <w:shd w:val="clear" w:color="auto" w:fill="FFFFFF"/>
              </w:rPr>
            </w:pPr>
            <w:r w:rsidRPr="000C6D4B">
              <w:rPr>
                <w:rFonts w:ascii="Arial" w:hAnsi="Arial" w:cs="Arial"/>
                <w:sz w:val="20"/>
                <w:szCs w:val="20"/>
                <w:shd w:val="clear" w:color="auto" w:fill="FFFFFF"/>
              </w:rPr>
              <w:t>4,3</w:t>
            </w:r>
          </w:p>
        </w:tc>
        <w:tc>
          <w:tcPr>
            <w:tcW w:w="990" w:type="dxa"/>
          </w:tcPr>
          <w:p w:rsidR="003D422B" w:rsidRPr="000C6D4B" w:rsidRDefault="003D422B" w:rsidP="000C6D4B">
            <w:pPr>
              <w:spacing w:after="60"/>
              <w:jc w:val="center"/>
              <w:outlineLvl w:val="1"/>
              <w:rPr>
                <w:rFonts w:ascii="Arial" w:hAnsi="Arial" w:cs="Arial"/>
                <w:sz w:val="20"/>
                <w:szCs w:val="20"/>
                <w:shd w:val="clear" w:color="auto" w:fill="FFFFFF"/>
              </w:rPr>
            </w:pPr>
            <w:r w:rsidRPr="000C6D4B">
              <w:rPr>
                <w:rFonts w:ascii="Arial" w:hAnsi="Arial" w:cs="Arial"/>
                <w:sz w:val="20"/>
                <w:szCs w:val="20"/>
                <w:shd w:val="clear" w:color="auto" w:fill="FFFFFF"/>
              </w:rPr>
              <w:t>4,0</w:t>
            </w:r>
          </w:p>
        </w:tc>
        <w:tc>
          <w:tcPr>
            <w:tcW w:w="990" w:type="dxa"/>
          </w:tcPr>
          <w:p w:rsidR="003D422B" w:rsidRPr="000C6D4B" w:rsidRDefault="003D422B" w:rsidP="000C6D4B">
            <w:pPr>
              <w:spacing w:after="60"/>
              <w:jc w:val="center"/>
              <w:outlineLvl w:val="1"/>
              <w:rPr>
                <w:rFonts w:ascii="Arial" w:hAnsi="Arial" w:cs="Arial"/>
                <w:sz w:val="20"/>
                <w:szCs w:val="20"/>
                <w:shd w:val="clear" w:color="auto" w:fill="FFFFFF"/>
              </w:rPr>
            </w:pPr>
            <w:r w:rsidRPr="000C6D4B">
              <w:rPr>
                <w:rFonts w:ascii="Arial" w:hAnsi="Arial" w:cs="Arial"/>
                <w:sz w:val="20"/>
                <w:szCs w:val="20"/>
                <w:shd w:val="clear" w:color="auto" w:fill="FFFFFF"/>
              </w:rPr>
              <w:t>4,4</w:t>
            </w:r>
          </w:p>
        </w:tc>
        <w:tc>
          <w:tcPr>
            <w:tcW w:w="990" w:type="dxa"/>
          </w:tcPr>
          <w:p w:rsidR="003D422B" w:rsidRPr="000C6D4B" w:rsidRDefault="003D422B" w:rsidP="000C6D4B">
            <w:pPr>
              <w:spacing w:after="60"/>
              <w:jc w:val="center"/>
              <w:outlineLvl w:val="1"/>
              <w:rPr>
                <w:rFonts w:ascii="Arial" w:hAnsi="Arial" w:cs="Arial"/>
                <w:sz w:val="20"/>
                <w:szCs w:val="20"/>
                <w:shd w:val="clear" w:color="auto" w:fill="FFFFFF"/>
              </w:rPr>
            </w:pPr>
            <w:r w:rsidRPr="000C6D4B">
              <w:rPr>
                <w:rFonts w:ascii="Arial" w:hAnsi="Arial" w:cs="Arial"/>
                <w:sz w:val="20"/>
                <w:szCs w:val="20"/>
                <w:shd w:val="clear" w:color="auto" w:fill="FFFFFF"/>
              </w:rPr>
              <w:t>4,4</w:t>
            </w:r>
          </w:p>
        </w:tc>
        <w:tc>
          <w:tcPr>
            <w:tcW w:w="990" w:type="dxa"/>
          </w:tcPr>
          <w:p w:rsidR="003D422B" w:rsidRPr="000C6D4B" w:rsidRDefault="003D422B" w:rsidP="000C6D4B">
            <w:pPr>
              <w:spacing w:after="60"/>
              <w:jc w:val="center"/>
              <w:outlineLvl w:val="1"/>
              <w:rPr>
                <w:rFonts w:ascii="Arial" w:hAnsi="Arial" w:cs="Arial"/>
                <w:sz w:val="20"/>
                <w:szCs w:val="20"/>
                <w:shd w:val="clear" w:color="auto" w:fill="FFFFFF"/>
              </w:rPr>
            </w:pPr>
            <w:r w:rsidRPr="000C6D4B">
              <w:rPr>
                <w:rFonts w:ascii="Arial" w:hAnsi="Arial" w:cs="Arial"/>
                <w:sz w:val="20"/>
                <w:szCs w:val="20"/>
                <w:shd w:val="clear" w:color="auto" w:fill="FFFFFF"/>
              </w:rPr>
              <w:t>-0,2</w:t>
            </w:r>
          </w:p>
        </w:tc>
        <w:tc>
          <w:tcPr>
            <w:tcW w:w="990" w:type="dxa"/>
          </w:tcPr>
          <w:p w:rsidR="003D422B" w:rsidRPr="000C6D4B" w:rsidRDefault="003D422B" w:rsidP="000C6D4B">
            <w:pPr>
              <w:spacing w:after="60"/>
              <w:jc w:val="center"/>
              <w:outlineLvl w:val="1"/>
              <w:rPr>
                <w:rFonts w:ascii="Arial" w:hAnsi="Arial" w:cs="Arial"/>
                <w:sz w:val="20"/>
                <w:szCs w:val="20"/>
                <w:shd w:val="clear" w:color="auto" w:fill="FFFFFF"/>
              </w:rPr>
            </w:pPr>
            <w:r w:rsidRPr="000C6D4B">
              <w:rPr>
                <w:rFonts w:ascii="Arial" w:hAnsi="Arial" w:cs="Arial"/>
                <w:sz w:val="20"/>
                <w:szCs w:val="20"/>
                <w:shd w:val="clear" w:color="auto" w:fill="FFFFFF"/>
              </w:rPr>
              <w:t>0,1</w:t>
            </w:r>
          </w:p>
        </w:tc>
      </w:tr>
    </w:tbl>
    <w:p w:rsidR="003D422B" w:rsidRPr="000C6D4B" w:rsidRDefault="003D422B" w:rsidP="000C6D4B">
      <w:pPr>
        <w:spacing w:before="60" w:after="0" w:line="240" w:lineRule="auto"/>
        <w:outlineLvl w:val="1"/>
        <w:rPr>
          <w:rFonts w:ascii="Arial" w:hAnsi="Arial" w:cs="Arial"/>
          <w:sz w:val="16"/>
          <w:szCs w:val="16"/>
          <w:shd w:val="clear" w:color="auto" w:fill="FFFFFF"/>
        </w:rPr>
      </w:pPr>
      <w:r w:rsidRPr="000C6D4B">
        <w:rPr>
          <w:rFonts w:ascii="Arial" w:hAnsi="Arial" w:cs="Arial"/>
          <w:sz w:val="16"/>
          <w:szCs w:val="16"/>
          <w:shd w:val="clear" w:color="auto" w:fill="FFFFFF"/>
        </w:rPr>
        <w:t>Nguồn: IMF tháng 7/2018</w:t>
      </w:r>
      <w:r w:rsidRPr="000C6D4B">
        <w:rPr>
          <w:rFonts w:ascii="Arial" w:hAnsi="Arial" w:cs="Arial"/>
          <w:sz w:val="16"/>
          <w:szCs w:val="16"/>
          <w:shd w:val="clear" w:color="auto" w:fill="FFFFFF"/>
        </w:rPr>
        <w:tab/>
      </w:r>
    </w:p>
    <w:p w:rsidR="003D422B" w:rsidRPr="000C6D4B" w:rsidRDefault="003D422B" w:rsidP="000C6D4B">
      <w:pPr>
        <w:spacing w:after="0" w:line="240" w:lineRule="auto"/>
        <w:outlineLvl w:val="1"/>
        <w:rPr>
          <w:rFonts w:ascii="Arial" w:hAnsi="Arial" w:cs="Arial"/>
          <w:sz w:val="16"/>
          <w:szCs w:val="16"/>
          <w:shd w:val="clear" w:color="auto" w:fill="FFFFFF"/>
        </w:rPr>
      </w:pPr>
      <w:r w:rsidRPr="000C6D4B">
        <w:rPr>
          <w:rFonts w:ascii="Arial" w:hAnsi="Arial" w:cs="Arial"/>
          <w:sz w:val="16"/>
          <w:szCs w:val="16"/>
          <w:shd w:val="clear" w:color="auto" w:fill="FFFFFF"/>
        </w:rPr>
        <w:t>(1): Tăng giảm so với dự báo tháng 4/2018;</w:t>
      </w:r>
    </w:p>
    <w:p w:rsidR="003D422B" w:rsidRPr="000C6D4B" w:rsidRDefault="003D422B" w:rsidP="000C6D4B">
      <w:pPr>
        <w:spacing w:after="0" w:line="240" w:lineRule="auto"/>
        <w:outlineLvl w:val="1"/>
        <w:rPr>
          <w:rFonts w:ascii="Arial" w:hAnsi="Arial" w:cs="Arial"/>
          <w:sz w:val="16"/>
          <w:szCs w:val="16"/>
          <w:shd w:val="clear" w:color="auto" w:fill="FFFFFF"/>
        </w:rPr>
      </w:pPr>
      <w:r w:rsidRPr="000C6D4B">
        <w:rPr>
          <w:rFonts w:ascii="Arial" w:hAnsi="Arial" w:cs="Arial"/>
          <w:sz w:val="16"/>
          <w:szCs w:val="16"/>
          <w:shd w:val="clear" w:color="auto" w:fill="FFFFFF"/>
        </w:rPr>
        <w:t>(2): Không kể các nước G7 và khu vực euro;</w:t>
      </w:r>
    </w:p>
    <w:p w:rsidR="003D422B" w:rsidRPr="000C6D4B" w:rsidRDefault="003D422B" w:rsidP="000C6D4B">
      <w:pPr>
        <w:spacing w:after="0" w:line="240" w:lineRule="auto"/>
        <w:outlineLvl w:val="1"/>
        <w:rPr>
          <w:rFonts w:ascii="Arial" w:hAnsi="Arial" w:cs="Arial"/>
          <w:sz w:val="16"/>
          <w:szCs w:val="16"/>
          <w:shd w:val="clear" w:color="auto" w:fill="FFFFFF"/>
        </w:rPr>
      </w:pPr>
      <w:r w:rsidRPr="000C6D4B">
        <w:rPr>
          <w:rFonts w:ascii="Arial" w:hAnsi="Arial" w:cs="Arial"/>
          <w:sz w:val="16"/>
          <w:szCs w:val="16"/>
          <w:shd w:val="clear" w:color="auto" w:fill="FFFFFF"/>
        </w:rPr>
        <w:t>(3): Indonesia, Malaysia, Philippines, Thái Land, Việt Nam;</w:t>
      </w:r>
    </w:p>
    <w:p w:rsidR="003D422B" w:rsidRPr="000C6D4B" w:rsidRDefault="003D422B" w:rsidP="000C6D4B">
      <w:pPr>
        <w:spacing w:after="0" w:line="240" w:lineRule="auto"/>
        <w:outlineLvl w:val="1"/>
        <w:rPr>
          <w:rFonts w:ascii="Arial" w:hAnsi="Arial" w:cs="Arial"/>
          <w:sz w:val="16"/>
          <w:szCs w:val="16"/>
          <w:shd w:val="clear" w:color="auto" w:fill="FFFFFF"/>
        </w:rPr>
      </w:pPr>
      <w:r w:rsidRPr="000C6D4B">
        <w:rPr>
          <w:rFonts w:ascii="Arial" w:hAnsi="Arial" w:cs="Arial"/>
          <w:sz w:val="16"/>
          <w:szCs w:val="16"/>
          <w:shd w:val="clear" w:color="auto" w:fill="FFFFFF"/>
        </w:rPr>
        <w:t>(4): Kể cả Afghanistan và Pakistan;</w:t>
      </w:r>
    </w:p>
    <w:p w:rsidR="003D422B" w:rsidRPr="000C6D4B" w:rsidRDefault="003D422B" w:rsidP="000C6D4B">
      <w:pPr>
        <w:spacing w:after="60" w:line="240" w:lineRule="auto"/>
        <w:outlineLvl w:val="1"/>
        <w:rPr>
          <w:rFonts w:ascii="Arial" w:hAnsi="Arial" w:cs="Arial"/>
          <w:sz w:val="16"/>
          <w:szCs w:val="16"/>
          <w:shd w:val="clear" w:color="auto" w:fill="FFFFFF"/>
        </w:rPr>
      </w:pPr>
      <w:r w:rsidRPr="000C6D4B">
        <w:rPr>
          <w:rFonts w:ascii="Arial" w:eastAsia="Times New Roman" w:hAnsi="Arial" w:cs="Arial"/>
          <w:sz w:val="16"/>
          <w:szCs w:val="16"/>
        </w:rPr>
        <w:t>(5): Không kể Argentina và Venezuela</w:t>
      </w:r>
      <w:r w:rsidRPr="000C6D4B">
        <w:rPr>
          <w:rFonts w:ascii="Arial" w:hAnsi="Arial" w:cs="Arial"/>
          <w:sz w:val="16"/>
          <w:szCs w:val="16"/>
          <w:shd w:val="clear" w:color="auto" w:fill="FFFFFF"/>
        </w:rPr>
        <w:t>.</w:t>
      </w:r>
    </w:p>
    <w:p w:rsidR="003D422B" w:rsidRPr="000C6D4B" w:rsidRDefault="003D422B" w:rsidP="000C6D4B">
      <w:pPr>
        <w:shd w:val="clear" w:color="auto" w:fill="FFFFFF"/>
        <w:spacing w:after="60" w:line="240" w:lineRule="auto"/>
        <w:jc w:val="both"/>
        <w:rPr>
          <w:rFonts w:ascii="Arial" w:eastAsia="Times New Roman" w:hAnsi="Arial" w:cs="Arial"/>
          <w:iCs/>
          <w:sz w:val="20"/>
          <w:szCs w:val="20"/>
        </w:rPr>
      </w:pPr>
      <w:r w:rsidRPr="000C6D4B">
        <w:rPr>
          <w:rFonts w:ascii="Arial" w:eastAsia="Times New Roman" w:hAnsi="Arial" w:cs="Arial"/>
          <w:iCs/>
          <w:sz w:val="20"/>
          <w:szCs w:val="20"/>
        </w:rPr>
        <w:t xml:space="preserve">Rủi ro bắt đầu tăng cao, chủ yếu bắt nguồn từ căng thẳng thương mại giữa Mỹ và các đối tác thương mại chủ chốt. Yếu tố này đang cản trở các hoạt động kinh tế và triển vọng kinh tế trong giai đoạn trung hạn, thông qua tác động trực tiếp đến việc phân bổ nguồn lực và năng suất lao động, cũng như thông qua tác động gián tiếp là gây ra những bất ổn, qua đó ảnh hưởng đến các hoạt động đầu tư. Tại các nước phát triển, thị trường tài chính </w:t>
      </w:r>
      <w:r w:rsidRPr="000C6D4B">
        <w:rPr>
          <w:rFonts w:ascii="Arial" w:eastAsia="Times New Roman" w:hAnsi="Arial" w:cs="Arial"/>
          <w:iCs/>
          <w:sz w:val="20"/>
          <w:szCs w:val="20"/>
        </w:rPr>
        <w:lastRenderedPageBreak/>
        <w:t xml:space="preserve">vẫn diễn biến thuận lợi, một số thị trường chứng khoán tiếp tục tăng cao, nhưng có thể thay đổi nhanh chóng. Trong đó, rủi ro có thể bùng phát bắt nguồn từ những mâu thuẫn thương mại và căng thẳng địa chính trị. Lạm phát tại Mỹ được dự báo sẽ tăng cao, trong khi tỷ lệ thất nghiệp đã giảm xuống dưới 4%, nhưng thị trường phản ứng chậm chạp so với xu hướng tăng lãi suất, trái với kỳ vọng của Cục Dự trữ liên bang. Điều này có thể buộc các nhà đầu tư phải đánh giá lại tình hình thị trường và mức độ rủi ro. Ngoài ra, các động thái thắt chặt tài chính cũng có thể là nguyên nhân dẫn đến những rối loạn trong việc điều chỉnh danh mục đầu tư, tỷ giá tại các EMDE tăng cao và dòng vốn vào suy giảm mạnh, nhất là tại những nước yếu hoặc rủi ro chính trị ở mức cao. </w:t>
      </w:r>
    </w:p>
    <w:p w:rsidR="003D422B" w:rsidRPr="000C6D4B" w:rsidRDefault="003D422B" w:rsidP="000C6D4B">
      <w:pPr>
        <w:shd w:val="clear" w:color="auto" w:fill="FFFFFF"/>
        <w:spacing w:after="60" w:line="240" w:lineRule="auto"/>
        <w:jc w:val="both"/>
        <w:rPr>
          <w:rFonts w:ascii="Arial" w:eastAsia="Times New Roman" w:hAnsi="Arial" w:cs="Arial"/>
          <w:iCs/>
          <w:sz w:val="20"/>
          <w:szCs w:val="20"/>
        </w:rPr>
      </w:pPr>
      <w:r w:rsidRPr="000C6D4B">
        <w:rPr>
          <w:rFonts w:ascii="Arial" w:eastAsia="Times New Roman" w:hAnsi="Arial" w:cs="Arial"/>
          <w:iCs/>
          <w:sz w:val="20"/>
          <w:szCs w:val="20"/>
        </w:rPr>
        <w:t xml:space="preserve">Trên toàn cầu, </w:t>
      </w:r>
      <w:r w:rsidRPr="000C6D4B">
        <w:rPr>
          <w:rFonts w:ascii="Arial" w:eastAsia="Times New Roman" w:hAnsi="Arial" w:cs="Arial"/>
          <w:sz w:val="20"/>
          <w:szCs w:val="20"/>
        </w:rPr>
        <w:t xml:space="preserve">điều kiện tài chính tiếp tục thuận lợi, song những yếu tố này đang cản trở các dòng vốn, do chi phí tài chính và áp lực tỷ giá tăng cao, nhất là tại những nước có nền tảng kinh tế yếu ớt hoặc rủi ro chính trị ở mức cao. Về hoạt động sản xuất và thương mại, doanh thu bán lẻ cải thiện trong quý II/2018 và khu vực dịch vụ có triển vọng tăng vững. Tuy nhiên, sản xuất công nghiệp suy giảm nhẹ, chỉ số quản lý sức mua yếu ớt do thiếu các đơn đặt hàng xuất khẩu.  </w:t>
      </w:r>
    </w:p>
    <w:p w:rsidR="003D422B" w:rsidRPr="000C6D4B" w:rsidRDefault="003D422B" w:rsidP="000C6D4B">
      <w:pPr>
        <w:shd w:val="clear" w:color="auto" w:fill="FFFFFF"/>
        <w:spacing w:after="60" w:line="240" w:lineRule="auto"/>
        <w:jc w:val="both"/>
        <w:rPr>
          <w:rFonts w:ascii="Arial" w:eastAsia="Times New Roman" w:hAnsi="Arial" w:cs="Arial"/>
          <w:sz w:val="20"/>
          <w:szCs w:val="20"/>
        </w:rPr>
      </w:pPr>
      <w:r w:rsidRPr="000C6D4B">
        <w:rPr>
          <w:rFonts w:ascii="Arial" w:eastAsia="Times New Roman" w:hAnsi="Arial" w:cs="Arial"/>
          <w:iCs/>
          <w:sz w:val="20"/>
          <w:szCs w:val="20"/>
        </w:rPr>
        <w:t xml:space="preserve">Về giá cả hàng hóa và lạm phát, giá dầu thế giới được dự báo sẽ tăng cao, mặc dù các nước trong và ngoài OPEC (Tổ chức các nước Xuất khẩu dầu mỏ) quyết định nâng sản lượng dầu thêm khoảng 1 triệu thùng/ngày, kể từ tháng 7 năm nay. Nguồn cung dầu có thể vẫn thiếu hụt, do sản lượng dầu tại Venezuela và Iran khó tăng cao, mặc dù nguồn cung được kỳ vọng sẽ củng cố sau 4-5 năm tới đây. </w:t>
      </w:r>
      <w:r w:rsidRPr="000C6D4B">
        <w:rPr>
          <w:rFonts w:ascii="Arial" w:eastAsia="Times New Roman" w:hAnsi="Arial" w:cs="Arial"/>
          <w:sz w:val="20"/>
          <w:szCs w:val="20"/>
        </w:rPr>
        <w:t>Giá dầu tăng đã góp phần hỗ trợ tăng lạm phát tại các nước phát triển và mới nổi. Trong đó, lạm phát lõi tại Mỹ tăng vững do thị trường lao động tiếp tục thắt chặt, lạm phát tại khu vực euro cũng tăng nhẹ. Lạm phát lõi tại các nước mới nổi cũng tăng cao, phản ánh xu hướng mất giá bản tệ và hiệu ứng giá dầu. Giá cả các mặt hàng nông sản có dấu hiệu tăng cao, chủ yếu là do nguồn cung suy giảm quá mức.</w:t>
      </w:r>
    </w:p>
    <w:p w:rsidR="00995560" w:rsidRPr="000C6D4B" w:rsidRDefault="00995560" w:rsidP="000C6D4B">
      <w:pPr>
        <w:shd w:val="clear" w:color="auto" w:fill="FFFFFF"/>
        <w:spacing w:after="60" w:line="240" w:lineRule="auto"/>
        <w:jc w:val="both"/>
        <w:rPr>
          <w:rFonts w:ascii="Arial" w:eastAsia="Times New Roman" w:hAnsi="Arial" w:cs="Arial"/>
          <w:b/>
          <w:i/>
          <w:sz w:val="20"/>
          <w:szCs w:val="20"/>
        </w:rPr>
      </w:pPr>
      <w:r w:rsidRPr="000C6D4B">
        <w:rPr>
          <w:rFonts w:ascii="Arial" w:eastAsia="Times New Roman" w:hAnsi="Arial" w:cs="Arial"/>
          <w:b/>
          <w:i/>
          <w:sz w:val="20"/>
          <w:szCs w:val="20"/>
        </w:rPr>
        <w:t>Hoàng Thế Thỏa</w:t>
      </w:r>
    </w:p>
    <w:p w:rsidR="00E53D51" w:rsidRPr="000C6D4B" w:rsidRDefault="003D422B" w:rsidP="000C6D4B">
      <w:pPr>
        <w:shd w:val="clear" w:color="auto" w:fill="FFFFFF"/>
        <w:spacing w:after="60" w:line="240" w:lineRule="auto"/>
        <w:jc w:val="both"/>
        <w:rPr>
          <w:rFonts w:ascii="Arial" w:eastAsia="Times New Roman" w:hAnsi="Arial" w:cs="Arial"/>
          <w:i/>
          <w:sz w:val="20"/>
          <w:szCs w:val="20"/>
        </w:rPr>
      </w:pPr>
      <w:r w:rsidRPr="000C6D4B">
        <w:rPr>
          <w:rFonts w:ascii="Arial" w:eastAsia="Times New Roman" w:hAnsi="Arial" w:cs="Arial"/>
          <w:i/>
          <w:sz w:val="20"/>
          <w:szCs w:val="20"/>
        </w:rPr>
        <w:t>Nguồn: IMF tháng 7/2018</w:t>
      </w:r>
    </w:p>
    <w:sectPr w:rsidR="00E53D51" w:rsidRPr="000C6D4B" w:rsidSect="007C339A">
      <w:footerReference w:type="default" r:id="rId6"/>
      <w:pgSz w:w="12240" w:h="15840"/>
      <w:pgMar w:top="1008" w:right="864" w:bottom="1008" w:left="158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5B4" w:rsidRDefault="002245B4" w:rsidP="003D422B">
      <w:pPr>
        <w:spacing w:after="0" w:line="240" w:lineRule="auto"/>
      </w:pPr>
      <w:r>
        <w:separator/>
      </w:r>
    </w:p>
  </w:endnote>
  <w:endnote w:type="continuationSeparator" w:id="0">
    <w:p w:rsidR="002245B4" w:rsidRDefault="002245B4" w:rsidP="003D4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2711439"/>
      <w:docPartObj>
        <w:docPartGallery w:val="Page Numbers (Bottom of Page)"/>
        <w:docPartUnique/>
      </w:docPartObj>
    </w:sdtPr>
    <w:sdtEndPr>
      <w:rPr>
        <w:noProof/>
      </w:rPr>
    </w:sdtEndPr>
    <w:sdtContent>
      <w:p w:rsidR="003D422B" w:rsidRDefault="003D422B">
        <w:pPr>
          <w:pStyle w:val="Footer"/>
          <w:jc w:val="right"/>
        </w:pPr>
        <w:r>
          <w:fldChar w:fldCharType="begin"/>
        </w:r>
        <w:r>
          <w:instrText xml:space="preserve"> PAGE   \* MERGEFORMAT </w:instrText>
        </w:r>
        <w:r>
          <w:fldChar w:fldCharType="separate"/>
        </w:r>
        <w:r w:rsidR="003E787E">
          <w:rPr>
            <w:noProof/>
          </w:rPr>
          <w:t>1</w:t>
        </w:r>
        <w:r>
          <w:rPr>
            <w:noProof/>
          </w:rPr>
          <w:fldChar w:fldCharType="end"/>
        </w:r>
      </w:p>
    </w:sdtContent>
  </w:sdt>
  <w:p w:rsidR="003D422B" w:rsidRDefault="003D42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5B4" w:rsidRDefault="002245B4" w:rsidP="003D422B">
      <w:pPr>
        <w:spacing w:after="0" w:line="240" w:lineRule="auto"/>
      </w:pPr>
      <w:r>
        <w:separator/>
      </w:r>
    </w:p>
  </w:footnote>
  <w:footnote w:type="continuationSeparator" w:id="0">
    <w:p w:rsidR="002245B4" w:rsidRDefault="002245B4" w:rsidP="003D42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22B"/>
    <w:rsid w:val="000C6D4B"/>
    <w:rsid w:val="00113E10"/>
    <w:rsid w:val="002245B4"/>
    <w:rsid w:val="002643FE"/>
    <w:rsid w:val="003D422B"/>
    <w:rsid w:val="003E787E"/>
    <w:rsid w:val="00600ECF"/>
    <w:rsid w:val="006B21F6"/>
    <w:rsid w:val="006E3664"/>
    <w:rsid w:val="007221EC"/>
    <w:rsid w:val="007C339A"/>
    <w:rsid w:val="009105D0"/>
    <w:rsid w:val="00920F10"/>
    <w:rsid w:val="00995560"/>
    <w:rsid w:val="00AE2BFA"/>
    <w:rsid w:val="00CF32B5"/>
    <w:rsid w:val="00E53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0E99E7-1B82-4112-8E46-D3898A22D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2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42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42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422B"/>
  </w:style>
  <w:style w:type="paragraph" w:styleId="Footer">
    <w:name w:val="footer"/>
    <w:basedOn w:val="Normal"/>
    <w:link w:val="FooterChar"/>
    <w:uiPriority w:val="99"/>
    <w:unhideWhenUsed/>
    <w:rsid w:val="003D42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42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762</Words>
  <Characters>4345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DELL-TRAN ANH</dc:creator>
  <cp:lastModifiedBy>Hewlett-Packard Company</cp:lastModifiedBy>
  <cp:revision>2</cp:revision>
  <dcterms:created xsi:type="dcterms:W3CDTF">2018-07-18T07:21:00Z</dcterms:created>
  <dcterms:modified xsi:type="dcterms:W3CDTF">2018-07-18T07:21:00Z</dcterms:modified>
</cp:coreProperties>
</file>