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274D19">
        <w:rPr>
          <w:rFonts w:ascii="Arial" w:hAnsi="Arial" w:cs="Arial"/>
          <w:sz w:val="20"/>
          <w:szCs w:val="20"/>
        </w:rPr>
        <w:t>thông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báo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Ủy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liên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bang (FOMC), </w:t>
      </w:r>
      <w:proofErr w:type="spellStart"/>
      <w:r w:rsidRPr="00274D19">
        <w:rPr>
          <w:rFonts w:ascii="Arial" w:hAnsi="Arial" w:cs="Arial"/>
          <w:sz w:val="20"/>
          <w:szCs w:val="20"/>
        </w:rPr>
        <w:t>quyết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được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ra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dữ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liệu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gần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đây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đặc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biệt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cuộc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họp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274D19">
        <w:rPr>
          <w:rFonts w:ascii="Arial" w:hAnsi="Arial" w:cs="Arial"/>
          <w:sz w:val="20"/>
          <w:szCs w:val="20"/>
        </w:rPr>
        <w:t>vừa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qua. </w:t>
      </w:r>
      <w:proofErr w:type="spellStart"/>
      <w:r w:rsidRPr="00274D19">
        <w:rPr>
          <w:rFonts w:ascii="Arial" w:hAnsi="Arial" w:cs="Arial"/>
          <w:sz w:val="20"/>
          <w:szCs w:val="20"/>
        </w:rPr>
        <w:t>Cụ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thể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74D19">
        <w:rPr>
          <w:rFonts w:ascii="Arial" w:hAnsi="Arial" w:cs="Arial"/>
          <w:sz w:val="20"/>
          <w:szCs w:val="20"/>
        </w:rPr>
        <w:t>lao</w:t>
      </w:r>
      <w:proofErr w:type="spellEnd"/>
      <w:proofErr w:type="gram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rộng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hoạt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vững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việc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càng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tỷ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nghiệp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chi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dùng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tư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doanh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nghiệp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nhất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274D19">
        <w:rPr>
          <w:rFonts w:ascii="Arial" w:hAnsi="Arial" w:cs="Arial"/>
          <w:sz w:val="20"/>
          <w:szCs w:val="20"/>
        </w:rPr>
        <w:t>mua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sắm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tài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sản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So </w:t>
      </w:r>
      <w:proofErr w:type="spell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cùng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trước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lõi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74D19">
        <w:rPr>
          <w:rFonts w:ascii="Arial" w:hAnsi="Arial" w:cs="Arial"/>
          <w:sz w:val="20"/>
          <w:szCs w:val="20"/>
        </w:rPr>
        <w:t>không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lượng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thực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phẩm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74D19">
        <w:rPr>
          <w:rFonts w:ascii="Arial" w:hAnsi="Arial" w:cs="Arial"/>
          <w:sz w:val="20"/>
          <w:szCs w:val="20"/>
        </w:rPr>
        <w:t>đang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ngưỡng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274D19">
        <w:rPr>
          <w:rFonts w:ascii="Arial" w:hAnsi="Arial" w:cs="Arial"/>
          <w:sz w:val="20"/>
          <w:szCs w:val="20"/>
        </w:rPr>
        <w:t>,0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về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nhìn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tương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bằng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dài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hạn</w:t>
      </w:r>
      <w:proofErr w:type="spellEnd"/>
      <w:r w:rsidRPr="00274D19">
        <w:rPr>
          <w:rFonts w:ascii="Arial" w:hAnsi="Arial" w:cs="Arial"/>
          <w:sz w:val="20"/>
          <w:szCs w:val="20"/>
        </w:rPr>
        <w:t>.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274D19">
        <w:rPr>
          <w:rFonts w:ascii="Arial" w:hAnsi="Arial" w:cs="Arial"/>
          <w:sz w:val="20"/>
          <w:szCs w:val="20"/>
        </w:rPr>
        <w:t>thẩm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quyền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nhiệm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vụ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được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FOMC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tìm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kiếm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hóa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việc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người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74D19">
        <w:rPr>
          <w:rFonts w:ascii="Arial" w:hAnsi="Arial" w:cs="Arial"/>
          <w:sz w:val="20"/>
          <w:szCs w:val="20"/>
        </w:rPr>
        <w:t>lao</w:t>
      </w:r>
      <w:proofErr w:type="spellEnd"/>
      <w:proofErr w:type="gram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ổn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cả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FOMC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đợt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sách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theo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lộ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trình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từng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bước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được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hợp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hướng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rộng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hoạt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vững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ngưỡng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2,0%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đoạn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4D19">
        <w:rPr>
          <w:rFonts w:ascii="Arial" w:hAnsi="Arial" w:cs="Arial"/>
          <w:sz w:val="20"/>
          <w:szCs w:val="20"/>
        </w:rPr>
        <w:t>Về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bản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rủi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ro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triển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bằng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 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4D19">
        <w:rPr>
          <w:rFonts w:ascii="Arial" w:hAnsi="Arial" w:cs="Arial"/>
          <w:sz w:val="20"/>
          <w:szCs w:val="20"/>
        </w:rPr>
        <w:t>Liên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thời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thời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FOMC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đánh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thực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những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theo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hướng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hóa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về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việc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274D19">
        <w:rPr>
          <w:rFonts w:ascii="Arial" w:hAnsi="Arial" w:cs="Arial"/>
          <w:sz w:val="20"/>
          <w:szCs w:val="20"/>
        </w:rPr>
        <w:t>,0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274D19">
        <w:rPr>
          <w:rFonts w:ascii="Arial" w:hAnsi="Arial" w:cs="Arial"/>
          <w:sz w:val="20"/>
          <w:szCs w:val="20"/>
        </w:rPr>
        <w:t>Đánh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được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dựa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những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nguồn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274D19">
        <w:rPr>
          <w:rFonts w:ascii="Arial" w:hAnsi="Arial" w:cs="Arial"/>
          <w:sz w:val="20"/>
          <w:szCs w:val="20"/>
        </w:rPr>
        <w:t>khác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bao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gồm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về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áp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lực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diễn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tài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tình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hình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quốc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>.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274D19">
        <w:rPr>
          <w:rFonts w:ascii="Arial" w:hAnsi="Arial" w:cs="Arial"/>
          <w:sz w:val="20"/>
          <w:szCs w:val="20"/>
        </w:rPr>
        <w:t>chủ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nhận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Pr="00274D19">
        <w:rPr>
          <w:rFonts w:ascii="Arial" w:hAnsi="Arial" w:cs="Arial"/>
          <w:sz w:val="20"/>
          <w:szCs w:val="20"/>
        </w:rPr>
        <w:t>có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thể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thêm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một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đợt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cuối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thêm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74D19">
        <w:rPr>
          <w:rFonts w:ascii="Arial" w:hAnsi="Arial" w:cs="Arial"/>
          <w:sz w:val="20"/>
          <w:szCs w:val="20"/>
        </w:rPr>
        <w:t>đợt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một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đợt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2020. </w:t>
      </w:r>
      <w:proofErr w:type="spellStart"/>
      <w:r w:rsidRPr="00274D19">
        <w:rPr>
          <w:rFonts w:ascii="Arial" w:hAnsi="Arial" w:cs="Arial"/>
          <w:sz w:val="20"/>
          <w:szCs w:val="20"/>
        </w:rPr>
        <w:t>Khi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sách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274D19">
        <w:rPr>
          <w:rFonts w:ascii="Arial" w:hAnsi="Arial" w:cs="Arial"/>
          <w:sz w:val="20"/>
          <w:szCs w:val="20"/>
        </w:rPr>
        <w:t>có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thể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274D19">
        <w:rPr>
          <w:rFonts w:ascii="Arial" w:hAnsi="Arial" w:cs="Arial"/>
          <w:sz w:val="20"/>
          <w:szCs w:val="20"/>
        </w:rPr>
        <w:t>,4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274D19">
        <w:rPr>
          <w:rFonts w:ascii="Arial" w:hAnsi="Arial" w:cs="Arial"/>
          <w:sz w:val="20"/>
          <w:szCs w:val="20"/>
        </w:rPr>
        <w:t>cao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khoảng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0,5% so </w:t>
      </w:r>
      <w:proofErr w:type="spell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theo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toán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(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dụng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thúc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đẩy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274D19">
        <w:rPr>
          <w:rFonts w:ascii="Arial" w:hAnsi="Arial" w:cs="Arial"/>
          <w:sz w:val="20"/>
          <w:szCs w:val="20"/>
        </w:rPr>
        <w:t>kìm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trưởng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). </w:t>
      </w:r>
      <w:proofErr w:type="spellStart"/>
      <w:proofErr w:type="gram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Pr="00274D19">
        <w:rPr>
          <w:rFonts w:ascii="Arial" w:hAnsi="Arial" w:cs="Arial"/>
          <w:sz w:val="20"/>
          <w:szCs w:val="20"/>
        </w:rPr>
        <w:t>coi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như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hoàn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thành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nhiệm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vụ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đưa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sách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bình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thời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lỏng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kéo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dài</w:t>
      </w:r>
      <w:proofErr w:type="spellEnd"/>
      <w:r w:rsidRPr="00274D19">
        <w:rPr>
          <w:rFonts w:ascii="Arial" w:hAnsi="Arial" w:cs="Arial"/>
          <w:sz w:val="20"/>
          <w:szCs w:val="20"/>
        </w:rPr>
        <w:t>.</w:t>
      </w:r>
      <w:proofErr w:type="gramEnd"/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274D19">
        <w:rPr>
          <w:rFonts w:ascii="Arial" w:hAnsi="Arial" w:cs="Arial"/>
          <w:sz w:val="20"/>
          <w:szCs w:val="20"/>
        </w:rPr>
        <w:t>nhận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Fed,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ngưỡng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2%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tỷ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nghiệp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từ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3,9% </w:t>
      </w:r>
      <w:proofErr w:type="spellStart"/>
      <w:r w:rsidRPr="00274D19">
        <w:rPr>
          <w:rFonts w:ascii="Arial" w:hAnsi="Arial" w:cs="Arial"/>
          <w:sz w:val="20"/>
          <w:szCs w:val="20"/>
        </w:rPr>
        <w:t>hiện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3,5%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ổn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cuối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trở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từ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2021. 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274D19">
        <w:rPr>
          <w:rFonts w:ascii="Arial" w:hAnsi="Arial" w:cs="Arial"/>
          <w:sz w:val="20"/>
          <w:szCs w:val="20"/>
        </w:rPr>
        <w:t>dự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báo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Fed, GDP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3,1%, </w:t>
      </w:r>
      <w:proofErr w:type="spellStart"/>
      <w:r w:rsidRPr="00274D19">
        <w:rPr>
          <w:rFonts w:ascii="Arial" w:hAnsi="Arial" w:cs="Arial"/>
          <w:sz w:val="20"/>
          <w:szCs w:val="20"/>
        </w:rPr>
        <w:t>cao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dự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báo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nhiều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chuyên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tích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tư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274D19">
        <w:rPr>
          <w:rFonts w:ascii="Arial" w:hAnsi="Arial" w:cs="Arial"/>
          <w:sz w:val="20"/>
          <w:szCs w:val="20"/>
        </w:rPr>
        <w:t>lạm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ngưỡng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tiêu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274D19">
        <w:rPr>
          <w:rFonts w:ascii="Arial" w:hAnsi="Arial" w:cs="Arial"/>
          <w:sz w:val="20"/>
          <w:szCs w:val="20"/>
        </w:rPr>
        <w:t>,0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nghiệp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kinh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trưởng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vững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đoạn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4D19">
        <w:rPr>
          <w:rFonts w:ascii="Arial" w:hAnsi="Arial" w:cs="Arial"/>
          <w:sz w:val="20"/>
          <w:szCs w:val="20"/>
        </w:rPr>
        <w:t>Cuối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phiên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dịch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26/9,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ngờ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quay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tư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đánh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báo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274D19">
        <w:rPr>
          <w:rFonts w:ascii="Arial" w:hAnsi="Arial" w:cs="Arial"/>
          <w:sz w:val="20"/>
          <w:szCs w:val="20"/>
        </w:rPr>
        <w:t>về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chính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sách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thời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mặc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mạnh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quyết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định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Fed. </w:t>
      </w:r>
      <w:proofErr w:type="spell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Wall,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nghiệp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Dow Jones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106,93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(0,4%)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26.385,28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công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nghệ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Nasdaq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composite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17,1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(0,21%)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7.990,37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S&amp;P 500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9,09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(0,33%)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2.905,97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lợi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phiếu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274D19">
        <w:rPr>
          <w:rFonts w:ascii="Arial" w:hAnsi="Arial" w:cs="Arial"/>
          <w:sz w:val="20"/>
          <w:szCs w:val="20"/>
        </w:rPr>
        <w:t>năm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khoảng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3,048%. </w:t>
      </w:r>
      <w:proofErr w:type="spellStart"/>
      <w:r w:rsidRPr="00274D19">
        <w:rPr>
          <w:rFonts w:ascii="Arial" w:hAnsi="Arial" w:cs="Arial"/>
          <w:sz w:val="20"/>
          <w:szCs w:val="20"/>
        </w:rPr>
        <w:t>Sau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hai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tĩnh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lặng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chỉ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USD index </w:t>
      </w:r>
      <w:proofErr w:type="spellStart"/>
      <w:r w:rsidRPr="00274D19">
        <w:rPr>
          <w:rFonts w:ascii="Arial" w:hAnsi="Arial" w:cs="Arial"/>
          <w:sz w:val="20"/>
          <w:szCs w:val="20"/>
        </w:rPr>
        <w:t>phục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hồi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89</w:t>
      </w:r>
      <w:proofErr w:type="gramStart"/>
      <w:r w:rsidRPr="00274D19">
        <w:rPr>
          <w:rFonts w:ascii="Arial" w:hAnsi="Arial" w:cs="Arial"/>
          <w:sz w:val="20"/>
          <w:szCs w:val="20"/>
        </w:rPr>
        <w:t>,11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số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này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đồng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274D19">
        <w:rPr>
          <w:rFonts w:ascii="Arial" w:hAnsi="Arial" w:cs="Arial"/>
          <w:sz w:val="20"/>
          <w:szCs w:val="20"/>
        </w:rPr>
        <w:t>giao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dịch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274D19">
        <w:rPr>
          <w:rFonts w:ascii="Arial" w:hAnsi="Arial" w:cs="Arial"/>
          <w:sz w:val="20"/>
          <w:szCs w:val="20"/>
        </w:rPr>
        <w:t>,1749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274D19">
        <w:rPr>
          <w:rFonts w:ascii="Arial" w:hAnsi="Arial" w:cs="Arial"/>
          <w:sz w:val="20"/>
          <w:szCs w:val="20"/>
        </w:rPr>
        <w:t>chấm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dứt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1,1815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phiên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giao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dịch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tuần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(24/9); </w:t>
      </w:r>
      <w:proofErr w:type="spellStart"/>
      <w:r w:rsidRPr="00274D19">
        <w:rPr>
          <w:rFonts w:ascii="Arial" w:hAnsi="Arial" w:cs="Arial"/>
          <w:sz w:val="20"/>
          <w:szCs w:val="20"/>
        </w:rPr>
        <w:t>yên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Nhật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đóng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cửa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112,75 JPY/USD, </w:t>
      </w:r>
      <w:proofErr w:type="spellStart"/>
      <w:r w:rsidRPr="00274D19">
        <w:rPr>
          <w:rFonts w:ascii="Arial" w:hAnsi="Arial" w:cs="Arial"/>
          <w:sz w:val="20"/>
          <w:szCs w:val="20"/>
        </w:rPr>
        <w:t>mặc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lúc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113,145 JPY/USD - </w:t>
      </w:r>
      <w:proofErr w:type="spellStart"/>
      <w:r w:rsidRPr="00274D19">
        <w:rPr>
          <w:rFonts w:ascii="Arial" w:hAnsi="Arial" w:cs="Arial"/>
          <w:sz w:val="20"/>
          <w:szCs w:val="20"/>
        </w:rPr>
        <w:t>mức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thấp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274D19">
        <w:rPr>
          <w:rFonts w:ascii="Arial" w:hAnsi="Arial" w:cs="Arial"/>
          <w:sz w:val="20"/>
          <w:szCs w:val="20"/>
        </w:rPr>
        <w:t>tuần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lễ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qua; </w:t>
      </w:r>
      <w:proofErr w:type="spellStart"/>
      <w:r w:rsidRPr="00274D19">
        <w:rPr>
          <w:rFonts w:ascii="Arial" w:hAnsi="Arial" w:cs="Arial"/>
          <w:sz w:val="20"/>
          <w:szCs w:val="20"/>
        </w:rPr>
        <w:t>đồng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tệ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xuống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6,8791 CNY/USD.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châu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diễn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biến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chiều</w:t>
      </w:r>
      <w:proofErr w:type="spellEnd"/>
      <w:r w:rsidRPr="00274D19">
        <w:rPr>
          <w:rFonts w:ascii="Arial" w:hAnsi="Arial" w:cs="Arial"/>
          <w:sz w:val="20"/>
          <w:szCs w:val="20"/>
        </w:rPr>
        <w:t>.</w:t>
      </w:r>
      <w:proofErr w:type="gram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hết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nước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triển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điểm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giá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cổ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phiếu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nhiều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nước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đang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triển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nổi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giảm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nhất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chứng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khoán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Quốc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 </w:t>
      </w:r>
      <w:r w:rsidRPr="00274D19">
        <w:rPr>
          <w:rFonts w:ascii="Arial" w:hAnsi="Arial" w:cs="Arial"/>
          <w:sz w:val="20"/>
          <w:szCs w:val="20"/>
        </w:rPr>
        <w:cr/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4D19">
        <w:rPr>
          <w:rFonts w:ascii="Arial" w:hAnsi="Arial" w:cs="Arial"/>
          <w:sz w:val="20"/>
          <w:szCs w:val="20"/>
        </w:rPr>
        <w:t>Đối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đồng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tiền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mới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nổi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động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thái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của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274D19">
        <w:rPr>
          <w:rFonts w:ascii="Arial" w:hAnsi="Arial" w:cs="Arial"/>
          <w:sz w:val="20"/>
          <w:szCs w:val="20"/>
        </w:rPr>
        <w:t>làm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trầm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trọng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thêm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xu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hướng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đảo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chiều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dòng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vốn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khi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các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nước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ngoài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nhà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đầu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tư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tiếp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tục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rút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vốn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để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chuyển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vào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thị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trường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Mỹ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4D19">
        <w:rPr>
          <w:rFonts w:ascii="Arial" w:hAnsi="Arial" w:cs="Arial"/>
          <w:sz w:val="20"/>
          <w:szCs w:val="20"/>
        </w:rPr>
        <w:t>Trong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bối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cảnh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đó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D19">
        <w:rPr>
          <w:rFonts w:ascii="Arial" w:hAnsi="Arial" w:cs="Arial"/>
          <w:sz w:val="20"/>
          <w:szCs w:val="20"/>
        </w:rPr>
        <w:t>nhiều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hàng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trung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ương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sẽ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phải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nhắc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tăng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lãi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suất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nhằm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kiềm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chế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nguy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cơ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đào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thoát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nguồn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vốn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. </w:t>
      </w:r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4D19">
        <w:rPr>
          <w:rFonts w:ascii="Arial" w:hAnsi="Arial" w:cs="Arial"/>
          <w:sz w:val="20"/>
          <w:szCs w:val="20"/>
        </w:rPr>
        <w:t>Xuân</w:t>
      </w:r>
      <w:proofErr w:type="spellEnd"/>
      <w:r w:rsidRPr="00274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D19">
        <w:rPr>
          <w:rFonts w:ascii="Arial" w:hAnsi="Arial" w:cs="Arial"/>
          <w:sz w:val="20"/>
          <w:szCs w:val="20"/>
        </w:rPr>
        <w:t>Thanh</w:t>
      </w:r>
      <w:proofErr w:type="spellEnd"/>
    </w:p>
    <w:p w:rsidR="00274D19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4D19">
        <w:rPr>
          <w:rFonts w:ascii="Arial" w:hAnsi="Arial" w:cs="Arial"/>
          <w:sz w:val="20"/>
          <w:szCs w:val="20"/>
        </w:rPr>
        <w:t>Nguồn</w:t>
      </w:r>
      <w:proofErr w:type="spellEnd"/>
      <w:r w:rsidRPr="00274D19">
        <w:rPr>
          <w:rFonts w:ascii="Arial" w:hAnsi="Arial" w:cs="Arial"/>
          <w:sz w:val="20"/>
          <w:szCs w:val="20"/>
        </w:rPr>
        <w:t>: Fed, WS. Journal</w:t>
      </w:r>
    </w:p>
    <w:p w:rsidR="000E6902" w:rsidRPr="00274D19" w:rsidRDefault="00274D19" w:rsidP="00274D1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74D19">
        <w:rPr>
          <w:rFonts w:ascii="Arial" w:hAnsi="Arial" w:cs="Arial"/>
          <w:sz w:val="20"/>
          <w:szCs w:val="20"/>
        </w:rPr>
        <w:tab/>
      </w:r>
    </w:p>
    <w:sectPr w:rsidR="000E6902" w:rsidRPr="00274D19" w:rsidSect="00514C4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D0609"/>
    <w:multiLevelType w:val="hybridMultilevel"/>
    <w:tmpl w:val="7AF2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42D"/>
    <w:rsid w:val="00055AC8"/>
    <w:rsid w:val="000E6902"/>
    <w:rsid w:val="00142134"/>
    <w:rsid w:val="00274D19"/>
    <w:rsid w:val="002D4413"/>
    <w:rsid w:val="003B2BA2"/>
    <w:rsid w:val="003C7837"/>
    <w:rsid w:val="004B754A"/>
    <w:rsid w:val="00514C4B"/>
    <w:rsid w:val="005C442D"/>
    <w:rsid w:val="0068634D"/>
    <w:rsid w:val="006C72E5"/>
    <w:rsid w:val="00805E9F"/>
    <w:rsid w:val="009365CE"/>
    <w:rsid w:val="00957E6F"/>
    <w:rsid w:val="009C5648"/>
    <w:rsid w:val="00A86361"/>
    <w:rsid w:val="00C01F72"/>
    <w:rsid w:val="00C02F49"/>
    <w:rsid w:val="00C20615"/>
    <w:rsid w:val="00D03D90"/>
    <w:rsid w:val="00DE4372"/>
    <w:rsid w:val="00E16BAE"/>
    <w:rsid w:val="00E401CC"/>
    <w:rsid w:val="00ED5A0A"/>
    <w:rsid w:val="00FE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D6"/>
  </w:style>
  <w:style w:type="paragraph" w:styleId="Heading1">
    <w:name w:val="heading 1"/>
    <w:basedOn w:val="Normal"/>
    <w:link w:val="Heading1Char"/>
    <w:uiPriority w:val="9"/>
    <w:qFormat/>
    <w:rsid w:val="002D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4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ttributioncontent">
    <w:name w:val="attribution_content"/>
    <w:basedOn w:val="Normal"/>
    <w:rsid w:val="0005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72E5"/>
    <w:rPr>
      <w:color w:val="0000FF"/>
      <w:u w:val="single"/>
    </w:rPr>
  </w:style>
  <w:style w:type="character" w:customStyle="1" w:styleId="timeago">
    <w:name w:val="timeago"/>
    <w:basedOn w:val="DefaultParagraphFont"/>
    <w:rsid w:val="006C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25">
              <w:marLeft w:val="1465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555">
              <w:marLeft w:val="1465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huong.vumai</cp:lastModifiedBy>
  <cp:revision>4</cp:revision>
  <cp:lastPrinted>2018-09-27T05:23:00Z</cp:lastPrinted>
  <dcterms:created xsi:type="dcterms:W3CDTF">2018-09-27T06:27:00Z</dcterms:created>
  <dcterms:modified xsi:type="dcterms:W3CDTF">2018-09-27T06:30:00Z</dcterms:modified>
</cp:coreProperties>
</file>