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C0D" w:rsidRPr="00A03D8C" w:rsidRDefault="00040C0D" w:rsidP="00A03D8C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proofErr w:type="spellStart"/>
      <w:r w:rsidRPr="00A03D8C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báo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cáo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này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, IMF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đã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chỉnh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giảm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dự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báo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GDP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toàn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cầu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năm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2018-2019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xuống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mức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trưởng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3,7%,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thấp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hơn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0,2% so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dự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báo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đưa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ra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hồi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tháng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4/2018.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này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, IMF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giữ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nguyên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dự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báo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trưởng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kinh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tế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Mỹ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năm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2018 ở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mức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2,9%,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không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thay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đổi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so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dự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báo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đưa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ra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hồi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tháng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7,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nhưng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GDP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năm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2019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chỉ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2,5%,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thấp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hơn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0,2% so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dự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báo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trước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nguyên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nhân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là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do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căng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thẳng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thương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mại</w:t>
      </w:r>
      <w:proofErr w:type="spellEnd"/>
      <w:r w:rsidR="00A73F1B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A73F1B" w:rsidRPr="00A03D8C">
        <w:rPr>
          <w:rFonts w:ascii="Arial" w:eastAsia="Times New Roman" w:hAnsi="Arial" w:cs="Arial"/>
          <w:sz w:val="20"/>
          <w:szCs w:val="20"/>
        </w:rPr>
        <w:t>leo</w:t>
      </w:r>
      <w:proofErr w:type="spellEnd"/>
      <w:r w:rsidR="00A73F1B" w:rsidRPr="00A03D8C">
        <w:rPr>
          <w:rFonts w:ascii="Arial" w:eastAsia="Times New Roman" w:hAnsi="Arial" w:cs="Arial"/>
          <w:sz w:val="20"/>
          <w:szCs w:val="20"/>
        </w:rPr>
        <w:t xml:space="preserve"> thang</w:t>
      </w:r>
      <w:r w:rsidRPr="00A03D8C">
        <w:rPr>
          <w:rFonts w:ascii="Arial" w:eastAsia="Times New Roman" w:hAnsi="Arial" w:cs="Arial"/>
          <w:sz w:val="20"/>
          <w:szCs w:val="20"/>
        </w:rPr>
        <w:t xml:space="preserve">;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kinh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tế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khu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vực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euro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được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dự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báo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sẽ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2</w:t>
      </w:r>
      <w:r w:rsidR="00A73F1B" w:rsidRPr="00A03D8C">
        <w:rPr>
          <w:rFonts w:ascii="Arial" w:eastAsia="Times New Roman" w:hAnsi="Arial" w:cs="Arial"/>
          <w:sz w:val="20"/>
          <w:szCs w:val="20"/>
        </w:rPr>
        <w:t>,0</w:t>
      </w:r>
      <w:r w:rsidRPr="00A03D8C">
        <w:rPr>
          <w:rFonts w:ascii="Arial" w:eastAsia="Times New Roman" w:hAnsi="Arial" w:cs="Arial"/>
          <w:sz w:val="20"/>
          <w:szCs w:val="20"/>
        </w:rPr>
        <w:t xml:space="preserve">%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năm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nay,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giảm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0,2% so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dự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báo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trước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đó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khi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đó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, IMF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nâng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dự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báo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GDP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năm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2018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Nhật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Bản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lên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1,1%,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0,1% so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dự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báo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trước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. </w:t>
      </w:r>
    </w:p>
    <w:p w:rsidR="00040C0D" w:rsidRPr="00A03D8C" w:rsidRDefault="00256D97" w:rsidP="00A03D8C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03D8C">
        <w:rPr>
          <w:rFonts w:ascii="Arial" w:eastAsia="Times New Roman" w:hAnsi="Arial" w:cs="Arial"/>
          <w:sz w:val="20"/>
          <w:szCs w:val="20"/>
        </w:rPr>
        <w:t>IMF</w:t>
      </w:r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hạ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dự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báo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GDP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nước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đang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phát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triển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mới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nổi</w:t>
      </w:r>
      <w:proofErr w:type="spellEnd"/>
      <w:r w:rsidR="00A73F1B" w:rsidRPr="00A03D8C">
        <w:rPr>
          <w:rFonts w:ascii="Arial" w:eastAsia="Times New Roman" w:hAnsi="Arial" w:cs="Arial"/>
          <w:sz w:val="20"/>
          <w:szCs w:val="20"/>
        </w:rPr>
        <w:t xml:space="preserve"> (EMDEs)</w:t>
      </w:r>
      <w:r w:rsidR="00040C0D" w:rsidRPr="00A03D8C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đó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, GDP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năm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2019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Trung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Quốc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chỉ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6,2%,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thấp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hơn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0,2% so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dự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báo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cách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đây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ba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tháng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; GDP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hàng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loạt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nền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kinh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tế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mới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nổi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cũng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thấp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hơn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so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dự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báo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trước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đây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, lo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ngại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nhất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là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A73F1B" w:rsidRPr="00A03D8C">
        <w:rPr>
          <w:rFonts w:ascii="Arial" w:eastAsia="Times New Roman" w:hAnsi="Arial" w:cs="Arial"/>
          <w:sz w:val="20"/>
          <w:szCs w:val="20"/>
        </w:rPr>
        <w:t>tình</w:t>
      </w:r>
      <w:proofErr w:type="spellEnd"/>
      <w:r w:rsidR="00A73F1B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A73F1B" w:rsidRPr="00A03D8C">
        <w:rPr>
          <w:rFonts w:ascii="Arial" w:eastAsia="Times New Roman" w:hAnsi="Arial" w:cs="Arial"/>
          <w:sz w:val="20"/>
          <w:szCs w:val="20"/>
        </w:rPr>
        <w:t>hình</w:t>
      </w:r>
      <w:proofErr w:type="spellEnd"/>
      <w:r w:rsidR="00A73F1B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A73F1B" w:rsidRPr="00A03D8C">
        <w:rPr>
          <w:rFonts w:ascii="Arial" w:eastAsia="Times New Roman" w:hAnsi="Arial" w:cs="Arial"/>
          <w:sz w:val="20"/>
          <w:szCs w:val="20"/>
        </w:rPr>
        <w:t>kinh</w:t>
      </w:r>
      <w:proofErr w:type="spellEnd"/>
      <w:r w:rsidR="00A73F1B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A73F1B" w:rsidRPr="00A03D8C">
        <w:rPr>
          <w:rFonts w:ascii="Arial" w:eastAsia="Times New Roman" w:hAnsi="Arial" w:cs="Arial"/>
          <w:sz w:val="20"/>
          <w:szCs w:val="20"/>
        </w:rPr>
        <w:t>tế</w:t>
      </w:r>
      <w:proofErr w:type="spellEnd"/>
      <w:r w:rsidR="00A73F1B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Argentina, Brazil, Iran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Thổ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Nhĩ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Kỳ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, v.v. </w:t>
      </w:r>
    </w:p>
    <w:p w:rsidR="00256D97" w:rsidRPr="00A03D8C" w:rsidRDefault="00256D97" w:rsidP="00A03D8C">
      <w:p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03D8C">
        <w:rPr>
          <w:rFonts w:ascii="Arial" w:eastAsia="Times New Roman" w:hAnsi="Arial" w:cs="Arial"/>
          <w:sz w:val="20"/>
          <w:szCs w:val="20"/>
        </w:rPr>
        <w:t xml:space="preserve">IMF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cũng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chỉnh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giảm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sâu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dự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báo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trưởng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thương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mại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toàn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cầu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Cụ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thể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là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hoạt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động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xuất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nhập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khẩu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hàng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hóa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dịch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vụ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năm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2018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2019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chỉ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lần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lượt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4,2%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4,0%,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thấp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hơn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dự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báo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trước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đó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tới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0,6%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0,5%.</w:t>
      </w:r>
    </w:p>
    <w:p w:rsidR="00040C0D" w:rsidRPr="00A03D8C" w:rsidRDefault="00040C0D" w:rsidP="00A03D8C">
      <w:pPr>
        <w:spacing w:after="60" w:line="240" w:lineRule="auto"/>
        <w:jc w:val="center"/>
        <w:rPr>
          <w:rFonts w:ascii="Arial" w:eastAsia="Times New Roman" w:hAnsi="Arial" w:cs="Arial"/>
          <w:b/>
          <w:bCs/>
          <w:i/>
          <w:sz w:val="20"/>
          <w:szCs w:val="20"/>
          <w:bdr w:val="none" w:sz="0" w:space="0" w:color="auto" w:frame="1"/>
        </w:rPr>
      </w:pPr>
      <w:proofErr w:type="spellStart"/>
      <w:r w:rsidRPr="00A03D8C">
        <w:rPr>
          <w:rFonts w:ascii="Arial" w:eastAsia="Times New Roman" w:hAnsi="Arial" w:cs="Arial"/>
          <w:b/>
          <w:bCs/>
          <w:i/>
          <w:sz w:val="20"/>
          <w:szCs w:val="20"/>
          <w:bdr w:val="none" w:sz="0" w:space="0" w:color="auto" w:frame="1"/>
        </w:rPr>
        <w:t>Dự</w:t>
      </w:r>
      <w:proofErr w:type="spellEnd"/>
      <w:r w:rsidRPr="00A03D8C">
        <w:rPr>
          <w:rFonts w:ascii="Arial" w:eastAsia="Times New Roman" w:hAnsi="Arial" w:cs="Arial"/>
          <w:b/>
          <w:bCs/>
          <w:i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03D8C">
        <w:rPr>
          <w:rFonts w:ascii="Arial" w:eastAsia="Times New Roman" w:hAnsi="Arial" w:cs="Arial"/>
          <w:b/>
          <w:bCs/>
          <w:i/>
          <w:sz w:val="20"/>
          <w:szCs w:val="20"/>
          <w:bdr w:val="none" w:sz="0" w:space="0" w:color="auto" w:frame="1"/>
        </w:rPr>
        <w:t>báo</w:t>
      </w:r>
      <w:proofErr w:type="spellEnd"/>
      <w:r w:rsidRPr="00A03D8C">
        <w:rPr>
          <w:rFonts w:ascii="Arial" w:eastAsia="Times New Roman" w:hAnsi="Arial" w:cs="Arial"/>
          <w:b/>
          <w:bCs/>
          <w:i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03D8C">
        <w:rPr>
          <w:rFonts w:ascii="Arial" w:eastAsia="Times New Roman" w:hAnsi="Arial" w:cs="Arial"/>
          <w:b/>
          <w:bCs/>
          <w:i/>
          <w:sz w:val="20"/>
          <w:szCs w:val="20"/>
          <w:bdr w:val="none" w:sz="0" w:space="0" w:color="auto" w:frame="1"/>
        </w:rPr>
        <w:t>tăng</w:t>
      </w:r>
      <w:proofErr w:type="spellEnd"/>
      <w:r w:rsidRPr="00A03D8C">
        <w:rPr>
          <w:rFonts w:ascii="Arial" w:eastAsia="Times New Roman" w:hAnsi="Arial" w:cs="Arial"/>
          <w:b/>
          <w:bCs/>
          <w:i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03D8C">
        <w:rPr>
          <w:rFonts w:ascii="Arial" w:eastAsia="Times New Roman" w:hAnsi="Arial" w:cs="Arial"/>
          <w:b/>
          <w:bCs/>
          <w:i/>
          <w:sz w:val="20"/>
          <w:szCs w:val="20"/>
          <w:bdr w:val="none" w:sz="0" w:space="0" w:color="auto" w:frame="1"/>
        </w:rPr>
        <w:t>trưởng</w:t>
      </w:r>
      <w:proofErr w:type="spellEnd"/>
      <w:r w:rsidRPr="00A03D8C">
        <w:rPr>
          <w:rFonts w:ascii="Arial" w:eastAsia="Times New Roman" w:hAnsi="Arial" w:cs="Arial"/>
          <w:b/>
          <w:bCs/>
          <w:i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03D8C">
        <w:rPr>
          <w:rFonts w:ascii="Arial" w:eastAsia="Times New Roman" w:hAnsi="Arial" w:cs="Arial"/>
          <w:b/>
          <w:bCs/>
          <w:i/>
          <w:sz w:val="20"/>
          <w:szCs w:val="20"/>
          <w:bdr w:val="none" w:sz="0" w:space="0" w:color="auto" w:frame="1"/>
        </w:rPr>
        <w:t>kinh</w:t>
      </w:r>
      <w:proofErr w:type="spellEnd"/>
      <w:r w:rsidRPr="00A03D8C">
        <w:rPr>
          <w:rFonts w:ascii="Arial" w:eastAsia="Times New Roman" w:hAnsi="Arial" w:cs="Arial"/>
          <w:b/>
          <w:bCs/>
          <w:i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03D8C">
        <w:rPr>
          <w:rFonts w:ascii="Arial" w:eastAsia="Times New Roman" w:hAnsi="Arial" w:cs="Arial"/>
          <w:b/>
          <w:bCs/>
          <w:i/>
          <w:sz w:val="20"/>
          <w:szCs w:val="20"/>
          <w:bdr w:val="none" w:sz="0" w:space="0" w:color="auto" w:frame="1"/>
        </w:rPr>
        <w:t>tế</w:t>
      </w:r>
      <w:proofErr w:type="spellEnd"/>
      <w:r w:rsidRPr="00A03D8C">
        <w:rPr>
          <w:rFonts w:ascii="Arial" w:eastAsia="Times New Roman" w:hAnsi="Arial" w:cs="Arial"/>
          <w:b/>
          <w:bCs/>
          <w:i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03D8C">
        <w:rPr>
          <w:rFonts w:ascii="Arial" w:eastAsia="Times New Roman" w:hAnsi="Arial" w:cs="Arial"/>
          <w:b/>
          <w:bCs/>
          <w:i/>
          <w:sz w:val="20"/>
          <w:szCs w:val="20"/>
          <w:bdr w:val="none" w:sz="0" w:space="0" w:color="auto" w:frame="1"/>
        </w:rPr>
        <w:t>toàn</w:t>
      </w:r>
      <w:proofErr w:type="spellEnd"/>
      <w:r w:rsidRPr="00A03D8C">
        <w:rPr>
          <w:rFonts w:ascii="Arial" w:eastAsia="Times New Roman" w:hAnsi="Arial" w:cs="Arial"/>
          <w:b/>
          <w:bCs/>
          <w:i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03D8C">
        <w:rPr>
          <w:rFonts w:ascii="Arial" w:eastAsia="Times New Roman" w:hAnsi="Arial" w:cs="Arial"/>
          <w:b/>
          <w:bCs/>
          <w:i/>
          <w:sz w:val="20"/>
          <w:szCs w:val="20"/>
          <w:bdr w:val="none" w:sz="0" w:space="0" w:color="auto" w:frame="1"/>
        </w:rPr>
        <w:t>cầu</w:t>
      </w:r>
      <w:proofErr w:type="spellEnd"/>
      <w:r w:rsidRPr="00A03D8C">
        <w:rPr>
          <w:rFonts w:ascii="Arial" w:eastAsia="Times New Roman" w:hAnsi="Arial" w:cs="Arial"/>
          <w:b/>
          <w:bCs/>
          <w:i/>
          <w:sz w:val="20"/>
          <w:szCs w:val="20"/>
          <w:bdr w:val="none" w:sz="0" w:space="0" w:color="auto" w:frame="1"/>
        </w:rPr>
        <w:t xml:space="preserve"> (% so </w:t>
      </w:r>
      <w:proofErr w:type="spellStart"/>
      <w:r w:rsidRPr="00A03D8C">
        <w:rPr>
          <w:rFonts w:ascii="Arial" w:eastAsia="Times New Roman" w:hAnsi="Arial" w:cs="Arial"/>
          <w:b/>
          <w:bCs/>
          <w:i/>
          <w:sz w:val="20"/>
          <w:szCs w:val="20"/>
          <w:bdr w:val="none" w:sz="0" w:space="0" w:color="auto" w:frame="1"/>
        </w:rPr>
        <w:t>năm</w:t>
      </w:r>
      <w:proofErr w:type="spellEnd"/>
      <w:r w:rsidRPr="00A03D8C">
        <w:rPr>
          <w:rFonts w:ascii="Arial" w:eastAsia="Times New Roman" w:hAnsi="Arial" w:cs="Arial"/>
          <w:b/>
          <w:bCs/>
          <w:i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03D8C">
        <w:rPr>
          <w:rFonts w:ascii="Arial" w:eastAsia="Times New Roman" w:hAnsi="Arial" w:cs="Arial"/>
          <w:b/>
          <w:bCs/>
          <w:i/>
          <w:sz w:val="20"/>
          <w:szCs w:val="20"/>
          <w:bdr w:val="none" w:sz="0" w:space="0" w:color="auto" w:frame="1"/>
        </w:rPr>
        <w:t>trước</w:t>
      </w:r>
      <w:proofErr w:type="spellEnd"/>
      <w:r w:rsidRPr="00A03D8C">
        <w:rPr>
          <w:rFonts w:ascii="Arial" w:eastAsia="Times New Roman" w:hAnsi="Arial" w:cs="Arial"/>
          <w:b/>
          <w:bCs/>
          <w:i/>
          <w:sz w:val="20"/>
          <w:szCs w:val="20"/>
          <w:bdr w:val="none" w:sz="0" w:space="0" w:color="auto" w:frame="1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82"/>
        <w:gridCol w:w="809"/>
        <w:gridCol w:w="809"/>
        <w:gridCol w:w="810"/>
        <w:gridCol w:w="810"/>
        <w:gridCol w:w="810"/>
        <w:gridCol w:w="810"/>
        <w:gridCol w:w="810"/>
      </w:tblGrid>
      <w:tr w:rsidR="00040C0D" w:rsidRPr="00A03D8C" w:rsidTr="00A03D8C">
        <w:trPr>
          <w:jc w:val="center"/>
        </w:trPr>
        <w:tc>
          <w:tcPr>
            <w:tcW w:w="3690" w:type="dxa"/>
          </w:tcPr>
          <w:p w:rsidR="00040C0D" w:rsidRPr="00A03D8C" w:rsidRDefault="00040C0D" w:rsidP="00A03D8C">
            <w:pPr>
              <w:spacing w:before="6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30" w:type="dxa"/>
            <w:gridSpan w:val="3"/>
          </w:tcPr>
          <w:p w:rsidR="00040C0D" w:rsidRPr="00A03D8C" w:rsidRDefault="00040C0D" w:rsidP="00A03D8C">
            <w:pPr>
              <w:spacing w:before="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A03D8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Thực</w:t>
            </w:r>
            <w:proofErr w:type="spellEnd"/>
            <w:r w:rsidRPr="00A03D8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tế</w:t>
            </w:r>
            <w:proofErr w:type="spellEnd"/>
            <w:r w:rsidRPr="00A03D8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và</w:t>
            </w:r>
            <w:proofErr w:type="spellEnd"/>
            <w:r w:rsidRPr="00A03D8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dự</w:t>
            </w:r>
            <w:proofErr w:type="spellEnd"/>
            <w:r w:rsidRPr="00A03D8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báo</w:t>
            </w:r>
            <w:proofErr w:type="spellEnd"/>
          </w:p>
        </w:tc>
        <w:tc>
          <w:tcPr>
            <w:tcW w:w="1620" w:type="dxa"/>
            <w:gridSpan w:val="2"/>
          </w:tcPr>
          <w:p w:rsidR="00040C0D" w:rsidRPr="00A03D8C" w:rsidRDefault="00040C0D" w:rsidP="00A03D8C">
            <w:pPr>
              <w:spacing w:before="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A03D8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Thay</w:t>
            </w:r>
            <w:proofErr w:type="spellEnd"/>
            <w:r w:rsidRPr="00A03D8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đổi</w:t>
            </w:r>
            <w:proofErr w:type="spellEnd"/>
            <w:r w:rsidRPr="00A03D8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 xml:space="preserve"> *</w:t>
            </w:r>
          </w:p>
        </w:tc>
        <w:tc>
          <w:tcPr>
            <w:tcW w:w="1620" w:type="dxa"/>
            <w:gridSpan w:val="2"/>
          </w:tcPr>
          <w:p w:rsidR="00040C0D" w:rsidRPr="00A03D8C" w:rsidRDefault="00040C0D" w:rsidP="00A03D8C">
            <w:pPr>
              <w:spacing w:before="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A03D8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Thay</w:t>
            </w:r>
            <w:proofErr w:type="spellEnd"/>
            <w:r w:rsidRPr="00A03D8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đổi</w:t>
            </w:r>
            <w:proofErr w:type="spellEnd"/>
            <w:r w:rsidRPr="00A03D8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 xml:space="preserve"> **</w:t>
            </w:r>
          </w:p>
        </w:tc>
      </w:tr>
      <w:tr w:rsidR="00040C0D" w:rsidRPr="00A03D8C" w:rsidTr="00A03D8C">
        <w:trPr>
          <w:jc w:val="center"/>
        </w:trPr>
        <w:tc>
          <w:tcPr>
            <w:tcW w:w="3690" w:type="dxa"/>
          </w:tcPr>
          <w:p w:rsidR="00040C0D" w:rsidRPr="00A03D8C" w:rsidRDefault="00040C0D" w:rsidP="00A03D8C">
            <w:pPr>
              <w:spacing w:after="6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810" w:type="dxa"/>
          </w:tcPr>
          <w:p w:rsidR="00040C0D" w:rsidRPr="00A03D8C" w:rsidRDefault="00040C0D" w:rsidP="00A03D8C">
            <w:pPr>
              <w:spacing w:after="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2017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spacing w:after="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2018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spacing w:after="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2019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spacing w:after="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2018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spacing w:after="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2019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spacing w:after="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2018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spacing w:after="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2019</w:t>
            </w:r>
          </w:p>
        </w:tc>
      </w:tr>
      <w:tr w:rsidR="00040C0D" w:rsidRPr="00A03D8C" w:rsidTr="00A03D8C">
        <w:trPr>
          <w:jc w:val="center"/>
        </w:trPr>
        <w:tc>
          <w:tcPr>
            <w:tcW w:w="3690" w:type="dxa"/>
          </w:tcPr>
          <w:p w:rsidR="00040C0D" w:rsidRPr="00A03D8C" w:rsidRDefault="00040C0D" w:rsidP="00A03D8C">
            <w:pPr>
              <w:jc w:val="both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bdr w:val="none" w:sz="0" w:space="0" w:color="auto" w:frame="1"/>
              </w:rPr>
              <w:t xml:space="preserve">GDP </w:t>
            </w:r>
            <w:proofErr w:type="spellStart"/>
            <w:r w:rsidRPr="00A03D8C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bdr w:val="none" w:sz="0" w:space="0" w:color="auto" w:frame="1"/>
              </w:rPr>
              <w:t>toàn</w:t>
            </w:r>
            <w:proofErr w:type="spellEnd"/>
            <w:r w:rsidRPr="00A03D8C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bdr w:val="none" w:sz="0" w:space="0" w:color="auto" w:frame="1"/>
              </w:rPr>
              <w:t>cầu</w:t>
            </w:r>
            <w:proofErr w:type="spellEnd"/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bdr w:val="none" w:sz="0" w:space="0" w:color="auto" w:frame="1"/>
              </w:rPr>
              <w:t>3,7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bdr w:val="none" w:sz="0" w:space="0" w:color="auto" w:frame="1"/>
              </w:rPr>
              <w:t>3,7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bdr w:val="none" w:sz="0" w:space="0" w:color="auto" w:frame="1"/>
              </w:rPr>
              <w:t>3,7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bdr w:val="none" w:sz="0" w:space="0" w:color="auto" w:frame="1"/>
              </w:rPr>
              <w:t>-0,2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bdr w:val="none" w:sz="0" w:space="0" w:color="auto" w:frame="1"/>
              </w:rPr>
              <w:t>-0,2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bdr w:val="none" w:sz="0" w:space="0" w:color="auto" w:frame="1"/>
              </w:rPr>
              <w:t>-0,2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bdr w:val="none" w:sz="0" w:space="0" w:color="auto" w:frame="1"/>
              </w:rPr>
              <w:t>-0,2</w:t>
            </w:r>
          </w:p>
        </w:tc>
      </w:tr>
      <w:tr w:rsidR="00040C0D" w:rsidRPr="00A03D8C" w:rsidTr="00A03D8C">
        <w:trPr>
          <w:jc w:val="center"/>
        </w:trPr>
        <w:tc>
          <w:tcPr>
            <w:tcW w:w="3690" w:type="dxa"/>
          </w:tcPr>
          <w:p w:rsidR="00040C0D" w:rsidRPr="00A03D8C" w:rsidRDefault="00040C0D" w:rsidP="00A03D8C">
            <w:pPr>
              <w:jc w:val="both"/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A03D8C"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  <w:t>Các</w:t>
            </w:r>
            <w:proofErr w:type="spellEnd"/>
            <w:r w:rsidRPr="00A03D8C"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  <w:t>nước</w:t>
            </w:r>
            <w:proofErr w:type="spellEnd"/>
            <w:r w:rsidRPr="00A03D8C"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  <w:t>phát</w:t>
            </w:r>
            <w:proofErr w:type="spellEnd"/>
            <w:r w:rsidRPr="00A03D8C"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  <w:t>triển</w:t>
            </w:r>
            <w:proofErr w:type="spellEnd"/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  <w:t>2,3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  <w:t>2,4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  <w:t>2,1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  <w:t>0,0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  <w:t>-0,1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  <w:t>-0,1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  <w:t>-0,1</w:t>
            </w:r>
          </w:p>
        </w:tc>
      </w:tr>
      <w:tr w:rsidR="00040C0D" w:rsidRPr="00A03D8C" w:rsidTr="00A03D8C">
        <w:trPr>
          <w:jc w:val="center"/>
        </w:trPr>
        <w:tc>
          <w:tcPr>
            <w:tcW w:w="3690" w:type="dxa"/>
          </w:tcPr>
          <w:p w:rsidR="00040C0D" w:rsidRPr="00A03D8C" w:rsidRDefault="00040C0D" w:rsidP="00A03D8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Mỹ</w:t>
            </w:r>
            <w:proofErr w:type="spellEnd"/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2,2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2,9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2,5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0,0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-0,2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0,0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-0,2</w:t>
            </w:r>
          </w:p>
        </w:tc>
      </w:tr>
      <w:tr w:rsidR="00040C0D" w:rsidRPr="00A03D8C" w:rsidTr="00A03D8C">
        <w:trPr>
          <w:jc w:val="center"/>
        </w:trPr>
        <w:tc>
          <w:tcPr>
            <w:tcW w:w="3690" w:type="dxa"/>
          </w:tcPr>
          <w:p w:rsidR="00040C0D" w:rsidRPr="00A03D8C" w:rsidRDefault="00040C0D" w:rsidP="00A03D8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Khu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vực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đồng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euro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2,4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2,0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1,9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-0,2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0,0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-0,4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-0,1</w:t>
            </w:r>
          </w:p>
        </w:tc>
      </w:tr>
      <w:tr w:rsidR="00040C0D" w:rsidRPr="00A03D8C" w:rsidTr="00A03D8C">
        <w:trPr>
          <w:jc w:val="center"/>
        </w:trPr>
        <w:tc>
          <w:tcPr>
            <w:tcW w:w="3690" w:type="dxa"/>
          </w:tcPr>
          <w:p w:rsidR="00040C0D" w:rsidRPr="00A03D8C" w:rsidRDefault="00040C0D" w:rsidP="00A03D8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CHLB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Đức</w:t>
            </w:r>
            <w:proofErr w:type="spellEnd"/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2,5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1,9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1,9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-0,3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-0,2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-0,6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-0,1</w:t>
            </w:r>
          </w:p>
        </w:tc>
      </w:tr>
      <w:tr w:rsidR="00040C0D" w:rsidRPr="00A03D8C" w:rsidTr="00A03D8C">
        <w:trPr>
          <w:jc w:val="center"/>
        </w:trPr>
        <w:tc>
          <w:tcPr>
            <w:tcW w:w="3690" w:type="dxa"/>
          </w:tcPr>
          <w:p w:rsidR="00040C0D" w:rsidRPr="00A03D8C" w:rsidRDefault="00040C0D" w:rsidP="00A03D8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CH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Pháp</w:t>
            </w:r>
            <w:proofErr w:type="spellEnd"/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2,3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1,6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1,6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-0,2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-0,1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-0,5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-0,4</w:t>
            </w:r>
          </w:p>
        </w:tc>
      </w:tr>
      <w:tr w:rsidR="00040C0D" w:rsidRPr="00A03D8C" w:rsidTr="00A03D8C">
        <w:trPr>
          <w:jc w:val="center"/>
        </w:trPr>
        <w:tc>
          <w:tcPr>
            <w:tcW w:w="3690" w:type="dxa"/>
          </w:tcPr>
          <w:p w:rsidR="00040C0D" w:rsidRPr="00A03D8C" w:rsidRDefault="00040C0D" w:rsidP="00A03D8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Italia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1,5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1,2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1,0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0,0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0,0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-0,3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-0,1</w:t>
            </w:r>
          </w:p>
        </w:tc>
      </w:tr>
      <w:tr w:rsidR="00040C0D" w:rsidRPr="00A03D8C" w:rsidTr="00A03D8C">
        <w:trPr>
          <w:jc w:val="center"/>
        </w:trPr>
        <w:tc>
          <w:tcPr>
            <w:tcW w:w="3690" w:type="dxa"/>
          </w:tcPr>
          <w:p w:rsidR="00040C0D" w:rsidRPr="00A03D8C" w:rsidRDefault="00040C0D" w:rsidP="00A03D8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Tây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Ban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Nha</w:t>
            </w:r>
            <w:proofErr w:type="spellEnd"/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3,0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2,7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2,2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-0,1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0,0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-0,1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0,0</w:t>
            </w:r>
          </w:p>
        </w:tc>
      </w:tr>
      <w:tr w:rsidR="00040C0D" w:rsidRPr="00A03D8C" w:rsidTr="00A03D8C">
        <w:trPr>
          <w:jc w:val="center"/>
        </w:trPr>
        <w:tc>
          <w:tcPr>
            <w:tcW w:w="3690" w:type="dxa"/>
          </w:tcPr>
          <w:p w:rsidR="00040C0D" w:rsidRPr="00A03D8C" w:rsidRDefault="00040C0D" w:rsidP="00A03D8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Nhật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Bản</w:t>
            </w:r>
            <w:proofErr w:type="spellEnd"/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1,7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1,1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0,9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0,1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0,0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-0,1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0,0</w:t>
            </w:r>
          </w:p>
        </w:tc>
      </w:tr>
      <w:tr w:rsidR="00040C0D" w:rsidRPr="00A03D8C" w:rsidTr="00A03D8C">
        <w:trPr>
          <w:jc w:val="center"/>
        </w:trPr>
        <w:tc>
          <w:tcPr>
            <w:tcW w:w="3690" w:type="dxa"/>
          </w:tcPr>
          <w:p w:rsidR="00040C0D" w:rsidRPr="00A03D8C" w:rsidRDefault="00040C0D" w:rsidP="00A03D8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VQ Anh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1,7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1,4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1,5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0,0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0,0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-0,2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0,0</w:t>
            </w:r>
          </w:p>
        </w:tc>
      </w:tr>
      <w:tr w:rsidR="00040C0D" w:rsidRPr="00A03D8C" w:rsidTr="00A03D8C">
        <w:trPr>
          <w:jc w:val="center"/>
        </w:trPr>
        <w:tc>
          <w:tcPr>
            <w:tcW w:w="3690" w:type="dxa"/>
          </w:tcPr>
          <w:p w:rsidR="00040C0D" w:rsidRPr="00A03D8C" w:rsidRDefault="00040C0D" w:rsidP="00A03D8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Canada 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3,0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2,1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2,0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0,0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0,0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0,0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0,0</w:t>
            </w:r>
          </w:p>
        </w:tc>
      </w:tr>
      <w:tr w:rsidR="00040C0D" w:rsidRPr="00A03D8C" w:rsidTr="00A03D8C">
        <w:trPr>
          <w:jc w:val="center"/>
        </w:trPr>
        <w:tc>
          <w:tcPr>
            <w:tcW w:w="3690" w:type="dxa"/>
          </w:tcPr>
          <w:p w:rsidR="00040C0D" w:rsidRPr="00A03D8C" w:rsidRDefault="00040C0D" w:rsidP="00A03D8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Những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nước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phát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triển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khác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***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2,8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2,8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2,5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0,0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-0,2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0,1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-0,1</w:t>
            </w:r>
          </w:p>
        </w:tc>
      </w:tr>
      <w:tr w:rsidR="00040C0D" w:rsidRPr="00A03D8C" w:rsidTr="00A03D8C">
        <w:trPr>
          <w:jc w:val="center"/>
        </w:trPr>
        <w:tc>
          <w:tcPr>
            <w:tcW w:w="3690" w:type="dxa"/>
          </w:tcPr>
          <w:p w:rsidR="00040C0D" w:rsidRPr="00A03D8C" w:rsidRDefault="00040C0D" w:rsidP="00A03D8C">
            <w:pPr>
              <w:jc w:val="both"/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A03D8C"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  <w:t>Các</w:t>
            </w:r>
            <w:proofErr w:type="spellEnd"/>
            <w:r w:rsidRPr="00A03D8C"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  <w:t xml:space="preserve"> EMDE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  <w:t>4,7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  <w:t>4,7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  <w:t>4,7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  <w:t>-0,2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  <w:t>-0,4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  <w:t>-0,2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  <w:t>-0,4</w:t>
            </w:r>
          </w:p>
        </w:tc>
      </w:tr>
      <w:tr w:rsidR="00040C0D" w:rsidRPr="00A03D8C" w:rsidTr="00A03D8C">
        <w:trPr>
          <w:jc w:val="center"/>
        </w:trPr>
        <w:tc>
          <w:tcPr>
            <w:tcW w:w="3690" w:type="dxa"/>
          </w:tcPr>
          <w:p w:rsidR="00040C0D" w:rsidRPr="00A03D8C" w:rsidRDefault="00040C0D" w:rsidP="00A03D8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Cộng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đồng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các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quốc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gia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độc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lập</w:t>
            </w:r>
            <w:proofErr w:type="spellEnd"/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2,1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2,3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2,4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0,0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0,1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0,3</w:t>
            </w:r>
          </w:p>
        </w:tc>
      </w:tr>
      <w:tr w:rsidR="00040C0D" w:rsidRPr="00A03D8C" w:rsidTr="00A03D8C">
        <w:trPr>
          <w:jc w:val="center"/>
        </w:trPr>
        <w:tc>
          <w:tcPr>
            <w:tcW w:w="3690" w:type="dxa"/>
          </w:tcPr>
          <w:p w:rsidR="00040C0D" w:rsidRPr="00A03D8C" w:rsidRDefault="00040C0D" w:rsidP="00A03D8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CHLB Nga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1,5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1,7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1,8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0,0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0,3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0,0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0,3</w:t>
            </w:r>
          </w:p>
        </w:tc>
      </w:tr>
      <w:tr w:rsidR="00040C0D" w:rsidRPr="00A03D8C" w:rsidTr="00A03D8C">
        <w:trPr>
          <w:jc w:val="center"/>
        </w:trPr>
        <w:tc>
          <w:tcPr>
            <w:tcW w:w="3690" w:type="dxa"/>
          </w:tcPr>
          <w:p w:rsidR="00040C0D" w:rsidRPr="00A03D8C" w:rsidRDefault="00040C0D" w:rsidP="00A03D8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Các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EMDE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châu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Á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6,5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6,5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6,3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0,0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-0,2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0,0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-0,3</w:t>
            </w:r>
          </w:p>
        </w:tc>
      </w:tr>
      <w:tr w:rsidR="00040C0D" w:rsidRPr="00A03D8C" w:rsidTr="00A03D8C">
        <w:trPr>
          <w:jc w:val="center"/>
        </w:trPr>
        <w:tc>
          <w:tcPr>
            <w:tcW w:w="3690" w:type="dxa"/>
          </w:tcPr>
          <w:p w:rsidR="00040C0D" w:rsidRPr="00A03D8C" w:rsidRDefault="00040C0D" w:rsidP="00A03D8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Trung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Quốc</w:t>
            </w:r>
            <w:proofErr w:type="spellEnd"/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6,9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6,6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6,2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0,0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-0,2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0,0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-0,2</w:t>
            </w:r>
          </w:p>
        </w:tc>
      </w:tr>
      <w:tr w:rsidR="00040C0D" w:rsidRPr="00A03D8C" w:rsidTr="00A03D8C">
        <w:trPr>
          <w:jc w:val="center"/>
        </w:trPr>
        <w:tc>
          <w:tcPr>
            <w:tcW w:w="3690" w:type="dxa"/>
          </w:tcPr>
          <w:p w:rsidR="00040C0D" w:rsidRPr="00A03D8C" w:rsidRDefault="00040C0D" w:rsidP="00A03D8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Ấn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Độ</w:t>
            </w:r>
            <w:proofErr w:type="spellEnd"/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6,7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7,3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7,4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0,0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-0,1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-0,1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-0,4</w:t>
            </w:r>
          </w:p>
        </w:tc>
      </w:tr>
      <w:tr w:rsidR="00040C0D" w:rsidRPr="00A03D8C" w:rsidTr="00A03D8C">
        <w:trPr>
          <w:jc w:val="center"/>
        </w:trPr>
        <w:tc>
          <w:tcPr>
            <w:tcW w:w="3690" w:type="dxa"/>
          </w:tcPr>
          <w:p w:rsidR="00040C0D" w:rsidRPr="00A03D8C" w:rsidRDefault="00040C0D" w:rsidP="00A03D8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ASEAN 5 ****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5,3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5,3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5,2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0,0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-0,1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0,0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-0,2</w:t>
            </w:r>
          </w:p>
        </w:tc>
      </w:tr>
      <w:tr w:rsidR="00040C0D" w:rsidRPr="00A03D8C" w:rsidTr="00A03D8C">
        <w:trPr>
          <w:jc w:val="center"/>
        </w:trPr>
        <w:tc>
          <w:tcPr>
            <w:tcW w:w="3690" w:type="dxa"/>
          </w:tcPr>
          <w:p w:rsidR="00040C0D" w:rsidRPr="00A03D8C" w:rsidRDefault="00040C0D" w:rsidP="00A03D8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Các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EMDE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châu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Âu</w:t>
            </w:r>
            <w:proofErr w:type="spellEnd"/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6,0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3,8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2,0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-0,5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-1,6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-0,5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-1,7</w:t>
            </w:r>
          </w:p>
        </w:tc>
      </w:tr>
      <w:tr w:rsidR="00040C0D" w:rsidRPr="00A03D8C" w:rsidTr="00A03D8C">
        <w:trPr>
          <w:jc w:val="center"/>
        </w:trPr>
        <w:tc>
          <w:tcPr>
            <w:tcW w:w="3690" w:type="dxa"/>
          </w:tcPr>
          <w:p w:rsidR="00040C0D" w:rsidRPr="00A03D8C" w:rsidRDefault="00040C0D" w:rsidP="00A03D8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Các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nước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Mỹ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Latinh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và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Caribê</w:t>
            </w:r>
            <w:proofErr w:type="spellEnd"/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1,3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1,2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2,2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-0,4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-0,4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-0,8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-0,6</w:t>
            </w:r>
          </w:p>
        </w:tc>
      </w:tr>
      <w:tr w:rsidR="00040C0D" w:rsidRPr="00A03D8C" w:rsidTr="00A03D8C">
        <w:trPr>
          <w:jc w:val="center"/>
        </w:trPr>
        <w:tc>
          <w:tcPr>
            <w:tcW w:w="3690" w:type="dxa"/>
          </w:tcPr>
          <w:p w:rsidR="00040C0D" w:rsidRPr="00A03D8C" w:rsidRDefault="00040C0D" w:rsidP="00A03D8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Brazil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1,0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1,4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2,4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-0,4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-0,1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-0,9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-0,1</w:t>
            </w:r>
          </w:p>
        </w:tc>
      </w:tr>
      <w:tr w:rsidR="00040C0D" w:rsidRPr="00A03D8C" w:rsidTr="00A03D8C">
        <w:trPr>
          <w:jc w:val="center"/>
        </w:trPr>
        <w:tc>
          <w:tcPr>
            <w:tcW w:w="3690" w:type="dxa"/>
          </w:tcPr>
          <w:p w:rsidR="00040C0D" w:rsidRPr="00A03D8C" w:rsidRDefault="00040C0D" w:rsidP="00A03D8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Mêhicô</w:t>
            </w:r>
            <w:proofErr w:type="spellEnd"/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2,0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2,2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2,5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-0,1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-0,2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-0,1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-0,5</w:t>
            </w:r>
          </w:p>
        </w:tc>
      </w:tr>
      <w:tr w:rsidR="00040C0D" w:rsidRPr="00A03D8C" w:rsidTr="00A03D8C">
        <w:trPr>
          <w:jc w:val="center"/>
        </w:trPr>
        <w:tc>
          <w:tcPr>
            <w:tcW w:w="3690" w:type="dxa"/>
          </w:tcPr>
          <w:p w:rsidR="00040C0D" w:rsidRPr="00A03D8C" w:rsidRDefault="00040C0D" w:rsidP="00A03D8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Trung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Đông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Bắc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Phi *****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2,2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2,4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2,7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-1,1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-1,2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-1,0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-1,0</w:t>
            </w:r>
          </w:p>
        </w:tc>
      </w:tr>
      <w:tr w:rsidR="00040C0D" w:rsidRPr="00A03D8C" w:rsidTr="00A03D8C">
        <w:trPr>
          <w:jc w:val="center"/>
        </w:trPr>
        <w:tc>
          <w:tcPr>
            <w:tcW w:w="3690" w:type="dxa"/>
          </w:tcPr>
          <w:p w:rsidR="00040C0D" w:rsidRPr="00A03D8C" w:rsidRDefault="00040C0D" w:rsidP="00A03D8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Arập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Xê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út</w:t>
            </w:r>
            <w:proofErr w:type="spellEnd"/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0,9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2,2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2,4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0,3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0,5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0,5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0,5</w:t>
            </w:r>
          </w:p>
        </w:tc>
      </w:tr>
      <w:tr w:rsidR="00040C0D" w:rsidRPr="00A03D8C" w:rsidTr="00A03D8C">
        <w:trPr>
          <w:jc w:val="center"/>
        </w:trPr>
        <w:tc>
          <w:tcPr>
            <w:tcW w:w="3690" w:type="dxa"/>
          </w:tcPr>
          <w:p w:rsidR="00040C0D" w:rsidRPr="00A03D8C" w:rsidRDefault="00040C0D" w:rsidP="00A03D8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Khu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vực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Cận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Sahara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2,7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3,1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3,8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-0,3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0,0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-0,3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0,1</w:t>
            </w:r>
          </w:p>
        </w:tc>
      </w:tr>
      <w:tr w:rsidR="00040C0D" w:rsidRPr="00A03D8C" w:rsidTr="00A03D8C">
        <w:trPr>
          <w:jc w:val="center"/>
        </w:trPr>
        <w:tc>
          <w:tcPr>
            <w:tcW w:w="3690" w:type="dxa"/>
          </w:tcPr>
          <w:p w:rsidR="00040C0D" w:rsidRPr="00A03D8C" w:rsidRDefault="00040C0D" w:rsidP="00A03D8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Nigeria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0,8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1,9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2,3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-0,2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0,0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-0,2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0,4</w:t>
            </w:r>
          </w:p>
        </w:tc>
      </w:tr>
      <w:tr w:rsidR="00040C0D" w:rsidRPr="00A03D8C" w:rsidTr="00A03D8C">
        <w:trPr>
          <w:jc w:val="center"/>
        </w:trPr>
        <w:tc>
          <w:tcPr>
            <w:tcW w:w="3690" w:type="dxa"/>
          </w:tcPr>
          <w:p w:rsidR="00040C0D" w:rsidRPr="00A03D8C" w:rsidRDefault="00040C0D" w:rsidP="00A03D8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CH Nam Phi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1,3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0,8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1,4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-0,7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-0,3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-0,7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-0,3</w:t>
            </w:r>
          </w:p>
        </w:tc>
      </w:tr>
      <w:tr w:rsidR="00040C0D" w:rsidRPr="00A03D8C" w:rsidTr="00A03D8C">
        <w:trPr>
          <w:jc w:val="center"/>
        </w:trPr>
        <w:tc>
          <w:tcPr>
            <w:tcW w:w="3690" w:type="dxa"/>
          </w:tcPr>
          <w:p w:rsidR="00040C0D" w:rsidRPr="00A03D8C" w:rsidRDefault="00040C0D" w:rsidP="00A03D8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Liên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minh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châu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Âu</w:t>
            </w:r>
            <w:proofErr w:type="spellEnd"/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2,7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2,2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2,0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-0,2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-0,1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-0,3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-0,1</w:t>
            </w:r>
          </w:p>
        </w:tc>
      </w:tr>
      <w:tr w:rsidR="00040C0D" w:rsidRPr="00A03D8C" w:rsidTr="00A03D8C">
        <w:trPr>
          <w:jc w:val="center"/>
        </w:trPr>
        <w:tc>
          <w:tcPr>
            <w:tcW w:w="3690" w:type="dxa"/>
          </w:tcPr>
          <w:p w:rsidR="00040C0D" w:rsidRPr="00A03D8C" w:rsidRDefault="00040C0D" w:rsidP="00A03D8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Các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nước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thu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nhập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thấp</w:t>
            </w:r>
            <w:proofErr w:type="spellEnd"/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4,7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4,7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5,2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-0,3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-0,1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-0,3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-0,1</w:t>
            </w:r>
          </w:p>
        </w:tc>
      </w:tr>
      <w:tr w:rsidR="00040C0D" w:rsidRPr="00A03D8C" w:rsidTr="00A03D8C">
        <w:trPr>
          <w:jc w:val="center"/>
        </w:trPr>
        <w:tc>
          <w:tcPr>
            <w:tcW w:w="3690" w:type="dxa"/>
          </w:tcPr>
          <w:p w:rsidR="00040C0D" w:rsidRPr="00A03D8C" w:rsidRDefault="00040C0D" w:rsidP="00A03D8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Trung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Đông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và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Bắc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Phi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1,8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2,0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2,5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-1,2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-1,3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-1,2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-1,1</w:t>
            </w:r>
          </w:p>
        </w:tc>
      </w:tr>
      <w:tr w:rsidR="00040C0D" w:rsidRPr="00A03D8C" w:rsidTr="00A03D8C">
        <w:trPr>
          <w:jc w:val="center"/>
        </w:trPr>
        <w:tc>
          <w:tcPr>
            <w:tcW w:w="3690" w:type="dxa"/>
          </w:tcPr>
          <w:p w:rsidR="00040C0D" w:rsidRPr="00A03D8C" w:rsidRDefault="00040C0D" w:rsidP="00A03D8C">
            <w:pPr>
              <w:jc w:val="both"/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A03D8C"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  <w:t>Thương</w:t>
            </w:r>
            <w:proofErr w:type="spellEnd"/>
            <w:r w:rsidRPr="00A03D8C"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  <w:t>mại</w:t>
            </w:r>
            <w:proofErr w:type="spellEnd"/>
            <w:r w:rsidRPr="00A03D8C"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  <w:t>toàn</w:t>
            </w:r>
            <w:proofErr w:type="spellEnd"/>
            <w:r w:rsidRPr="00A03D8C"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  <w:t>cầu</w:t>
            </w:r>
            <w:proofErr w:type="spellEnd"/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  <w:t>5,2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  <w:t>4,2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  <w:t>4,0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  <w:t>-0,6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  <w:t>-0,5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  <w:t>-0,9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i/>
                <w:sz w:val="20"/>
                <w:szCs w:val="20"/>
                <w:bdr w:val="none" w:sz="0" w:space="0" w:color="auto" w:frame="1"/>
              </w:rPr>
              <w:t>-0,7</w:t>
            </w:r>
          </w:p>
        </w:tc>
      </w:tr>
      <w:tr w:rsidR="00040C0D" w:rsidRPr="00A03D8C" w:rsidTr="00A03D8C">
        <w:trPr>
          <w:jc w:val="center"/>
        </w:trPr>
        <w:tc>
          <w:tcPr>
            <w:tcW w:w="3690" w:type="dxa"/>
          </w:tcPr>
          <w:p w:rsidR="00040C0D" w:rsidRPr="00A03D8C" w:rsidRDefault="00040C0D" w:rsidP="00A03D8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Giá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dầu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(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tính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theo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USD)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23,3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31,4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-0,9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-1,6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0,9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13.4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5,6</w:t>
            </w:r>
          </w:p>
        </w:tc>
      </w:tr>
      <w:tr w:rsidR="00040C0D" w:rsidRPr="00A03D8C" w:rsidTr="00A03D8C">
        <w:trPr>
          <w:jc w:val="center"/>
        </w:trPr>
        <w:tc>
          <w:tcPr>
            <w:tcW w:w="3690" w:type="dxa"/>
          </w:tcPr>
          <w:p w:rsidR="00040C0D" w:rsidRPr="00A03D8C" w:rsidRDefault="00040C0D" w:rsidP="00A03D8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Giá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cả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hàng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hóa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khác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(USD)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6,8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2,7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-0,7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-3,3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-1,2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-2,9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-1,2</w:t>
            </w:r>
          </w:p>
        </w:tc>
      </w:tr>
      <w:tr w:rsidR="00040C0D" w:rsidRPr="00A03D8C" w:rsidTr="00A03D8C">
        <w:trPr>
          <w:jc w:val="center"/>
        </w:trPr>
        <w:tc>
          <w:tcPr>
            <w:tcW w:w="3690" w:type="dxa"/>
          </w:tcPr>
          <w:p w:rsidR="00040C0D" w:rsidRPr="00A03D8C" w:rsidRDefault="00040C0D" w:rsidP="00A03D8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Giá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cả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tại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các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nước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phát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triển</w:t>
            </w:r>
            <w:proofErr w:type="spellEnd"/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1,7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2,0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1,9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-0,2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-0,3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0,0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0,0</w:t>
            </w:r>
          </w:p>
        </w:tc>
      </w:tr>
      <w:tr w:rsidR="00A73F1B" w:rsidRPr="00A03D8C" w:rsidTr="00A03D8C">
        <w:trPr>
          <w:jc w:val="center"/>
        </w:trPr>
        <w:tc>
          <w:tcPr>
            <w:tcW w:w="3690" w:type="dxa"/>
          </w:tcPr>
          <w:p w:rsidR="00040C0D" w:rsidRPr="00A03D8C" w:rsidRDefault="00040C0D" w:rsidP="00A03D8C">
            <w:pPr>
              <w:spacing w:after="6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lastRenderedPageBreak/>
              <w:t>Giá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cả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tại</w:t>
            </w:r>
            <w:proofErr w:type="spellEnd"/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EMDEs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spacing w:after="6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4,3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spacing w:after="6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5,0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spacing w:after="6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5,2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spacing w:after="6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0,3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spacing w:after="6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0,7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spacing w:after="6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810" w:type="dxa"/>
          </w:tcPr>
          <w:p w:rsidR="00040C0D" w:rsidRPr="00A03D8C" w:rsidRDefault="00040C0D" w:rsidP="00A03D8C">
            <w:pPr>
              <w:spacing w:after="6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03D8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</w:rPr>
              <w:t>0,7</w:t>
            </w:r>
          </w:p>
        </w:tc>
      </w:tr>
    </w:tbl>
    <w:p w:rsidR="00040C0D" w:rsidRPr="00A03D8C" w:rsidRDefault="00040C0D" w:rsidP="00A03D8C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proofErr w:type="spellStart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>Nguồn</w:t>
      </w:r>
      <w:proofErr w:type="spellEnd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: IMF </w:t>
      </w:r>
      <w:proofErr w:type="spellStart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>tháng</w:t>
      </w:r>
      <w:proofErr w:type="spellEnd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10/2018</w:t>
      </w:r>
    </w:p>
    <w:p w:rsidR="00040C0D" w:rsidRPr="00A03D8C" w:rsidRDefault="00040C0D" w:rsidP="00A03D8C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(*): </w:t>
      </w:r>
      <w:proofErr w:type="spellStart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>Thay</w:t>
      </w:r>
      <w:proofErr w:type="spellEnd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>đổi</w:t>
      </w:r>
      <w:proofErr w:type="spellEnd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so </w:t>
      </w:r>
      <w:proofErr w:type="spellStart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>với</w:t>
      </w:r>
      <w:proofErr w:type="spellEnd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>dự</w:t>
      </w:r>
      <w:proofErr w:type="spellEnd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>báo</w:t>
      </w:r>
      <w:proofErr w:type="spellEnd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>tháng</w:t>
      </w:r>
      <w:proofErr w:type="spellEnd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7/2018;</w:t>
      </w:r>
    </w:p>
    <w:p w:rsidR="00040C0D" w:rsidRPr="00A03D8C" w:rsidRDefault="00040C0D" w:rsidP="00A03D8C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(**): </w:t>
      </w:r>
      <w:proofErr w:type="spellStart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>Thay</w:t>
      </w:r>
      <w:proofErr w:type="spellEnd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>đổi</w:t>
      </w:r>
      <w:proofErr w:type="spellEnd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so </w:t>
      </w:r>
      <w:proofErr w:type="spellStart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>với</w:t>
      </w:r>
      <w:proofErr w:type="spellEnd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>dự</w:t>
      </w:r>
      <w:proofErr w:type="spellEnd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>báo</w:t>
      </w:r>
      <w:proofErr w:type="spellEnd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>tháng</w:t>
      </w:r>
      <w:proofErr w:type="spellEnd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4/2018;</w:t>
      </w:r>
    </w:p>
    <w:p w:rsidR="00040C0D" w:rsidRPr="00A03D8C" w:rsidRDefault="00040C0D" w:rsidP="00A03D8C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(***): </w:t>
      </w:r>
      <w:proofErr w:type="spellStart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>Không</w:t>
      </w:r>
      <w:proofErr w:type="spellEnd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>tính</w:t>
      </w:r>
      <w:proofErr w:type="spellEnd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>các</w:t>
      </w:r>
      <w:proofErr w:type="spellEnd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>nước</w:t>
      </w:r>
      <w:proofErr w:type="spellEnd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G7 </w:t>
      </w:r>
      <w:proofErr w:type="spellStart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>và</w:t>
      </w:r>
      <w:proofErr w:type="spellEnd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>khu</w:t>
      </w:r>
      <w:proofErr w:type="spellEnd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>vực</w:t>
      </w:r>
      <w:proofErr w:type="spellEnd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euro;</w:t>
      </w:r>
    </w:p>
    <w:p w:rsidR="00040C0D" w:rsidRPr="00A03D8C" w:rsidRDefault="00040C0D" w:rsidP="00A03D8C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(****): Indonesia, Malaysia, Philippines, </w:t>
      </w:r>
      <w:proofErr w:type="spellStart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>Thái</w:t>
      </w:r>
      <w:proofErr w:type="spellEnd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Land, </w:t>
      </w:r>
      <w:proofErr w:type="spellStart"/>
      <w:proofErr w:type="gramStart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>Việt</w:t>
      </w:r>
      <w:proofErr w:type="spellEnd"/>
      <w:proofErr w:type="gramEnd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Nam;</w:t>
      </w:r>
    </w:p>
    <w:p w:rsidR="00040C0D" w:rsidRPr="00A03D8C" w:rsidRDefault="00040C0D" w:rsidP="00A03D8C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(*****): </w:t>
      </w:r>
      <w:proofErr w:type="spellStart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>Kể</w:t>
      </w:r>
      <w:proofErr w:type="spellEnd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>cả</w:t>
      </w:r>
      <w:proofErr w:type="spellEnd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>Afganistan</w:t>
      </w:r>
      <w:proofErr w:type="spellEnd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>và</w:t>
      </w:r>
      <w:proofErr w:type="spellEnd"/>
      <w:r w:rsidRPr="00A03D8C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Pakistan</w:t>
      </w:r>
    </w:p>
    <w:p w:rsidR="00040C0D" w:rsidRPr="00A03D8C" w:rsidRDefault="00040C0D" w:rsidP="00A03D8C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A03D8C">
        <w:rPr>
          <w:rFonts w:ascii="Arial" w:eastAsia="Times New Roman" w:hAnsi="Arial" w:cs="Arial"/>
          <w:sz w:val="20"/>
          <w:szCs w:val="20"/>
        </w:rPr>
        <w:t>Động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thái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giảm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dự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báo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GDP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toàn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cầu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bắt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nguồn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từ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tác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động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tiêu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cực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biện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pháp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bảo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hộ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thương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mại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từ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đầu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tháng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4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đến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giữa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tháng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9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vừa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qua,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hoạt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động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kinh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tế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trầm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lắng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những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tháng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đầu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năm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một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nước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phát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triển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chủ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chốt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triển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vọng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kinh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tế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yếu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ớt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một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r w:rsidR="00A73F1B" w:rsidRPr="00A03D8C">
        <w:rPr>
          <w:rFonts w:ascii="Arial" w:eastAsia="Times New Roman" w:hAnsi="Arial" w:cs="Arial"/>
          <w:sz w:val="20"/>
          <w:szCs w:val="20"/>
        </w:rPr>
        <w:t>EMDEs</w:t>
      </w:r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hàng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đầu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kiện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tài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ngày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càng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khắt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khe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khi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nước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phát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triển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rút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dần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sách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tiền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tệ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nới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lỏng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căng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thẳng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địa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trị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giá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dầu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cao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>.</w:t>
      </w:r>
    </w:p>
    <w:p w:rsidR="00040C0D" w:rsidRPr="00A03D8C" w:rsidRDefault="00040C0D" w:rsidP="00A03D8C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A03D8C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A73F1B" w:rsidRPr="00A03D8C">
        <w:rPr>
          <w:rFonts w:ascii="Arial" w:eastAsia="Times New Roman" w:hAnsi="Arial" w:cs="Arial"/>
          <w:sz w:val="20"/>
          <w:szCs w:val="20"/>
        </w:rPr>
        <w:t>giai</w:t>
      </w:r>
      <w:proofErr w:type="spellEnd"/>
      <w:r w:rsidR="00A73F1B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A73F1B" w:rsidRPr="00A03D8C">
        <w:rPr>
          <w:rFonts w:ascii="Arial" w:eastAsia="Times New Roman" w:hAnsi="Arial" w:cs="Arial"/>
          <w:sz w:val="20"/>
          <w:szCs w:val="20"/>
        </w:rPr>
        <w:t>đoạn</w:t>
      </w:r>
      <w:proofErr w:type="spellEnd"/>
      <w:r w:rsidR="00A73F1B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A73F1B" w:rsidRPr="00A03D8C">
        <w:rPr>
          <w:rFonts w:ascii="Arial" w:eastAsia="Times New Roman" w:hAnsi="Arial" w:cs="Arial"/>
          <w:sz w:val="20"/>
          <w:szCs w:val="20"/>
        </w:rPr>
        <w:t>trung</w:t>
      </w:r>
      <w:proofErr w:type="spellEnd"/>
      <w:r w:rsidR="00A73F1B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A73F1B" w:rsidRPr="00A03D8C">
        <w:rPr>
          <w:rFonts w:ascii="Arial" w:eastAsia="Times New Roman" w:hAnsi="Arial" w:cs="Arial"/>
          <w:sz w:val="20"/>
          <w:szCs w:val="20"/>
        </w:rPr>
        <w:t>hạn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khi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sách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tiền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tệ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trở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lại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trạng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thái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bình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thường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sau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thời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gian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nới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lỏng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kéo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dài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, GDP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hầu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hết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nước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phát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triển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được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dự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báo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sẽ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giảm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xuống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mức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trưởng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tiềm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năng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thấp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xa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tốc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độ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trưởng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trung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bình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A73F1B" w:rsidRPr="00A03D8C">
        <w:rPr>
          <w:rFonts w:ascii="Arial" w:eastAsia="Times New Roman" w:hAnsi="Arial" w:cs="Arial"/>
          <w:sz w:val="20"/>
          <w:szCs w:val="20"/>
        </w:rPr>
        <w:t>tr</w:t>
      </w:r>
      <w:r w:rsidRPr="00A03D8C">
        <w:rPr>
          <w:rFonts w:ascii="Arial" w:eastAsia="Times New Roman" w:hAnsi="Arial" w:cs="Arial"/>
          <w:sz w:val="20"/>
          <w:szCs w:val="20"/>
        </w:rPr>
        <w:t>o</w:t>
      </w:r>
      <w:r w:rsidR="00A73F1B" w:rsidRPr="00A03D8C">
        <w:rPr>
          <w:rFonts w:ascii="Arial" w:eastAsia="Times New Roman" w:hAnsi="Arial" w:cs="Arial"/>
          <w:sz w:val="20"/>
          <w:szCs w:val="20"/>
        </w:rPr>
        <w:t>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thời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kỳ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trước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khủng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hoảng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tài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toàn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cầu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2008.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Về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cơ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bản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kinh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tế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nước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mới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nổi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châu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Á </w:t>
      </w:r>
      <w:proofErr w:type="spellStart"/>
      <w:r w:rsidR="00A73F1B" w:rsidRPr="00A03D8C">
        <w:rPr>
          <w:rFonts w:ascii="Arial" w:eastAsia="Times New Roman" w:hAnsi="Arial" w:cs="Arial"/>
          <w:sz w:val="20"/>
          <w:szCs w:val="20"/>
        </w:rPr>
        <w:t>được</w:t>
      </w:r>
      <w:proofErr w:type="spellEnd"/>
      <w:r w:rsidR="00A73F1B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A73F1B" w:rsidRPr="00A03D8C">
        <w:rPr>
          <w:rFonts w:ascii="Arial" w:eastAsia="Times New Roman" w:hAnsi="Arial" w:cs="Arial"/>
          <w:sz w:val="20"/>
          <w:szCs w:val="20"/>
        </w:rPr>
        <w:t>dự</w:t>
      </w:r>
      <w:proofErr w:type="spellEnd"/>
      <w:r w:rsidR="00A73F1B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A73F1B" w:rsidRPr="00A03D8C">
        <w:rPr>
          <w:rFonts w:ascii="Arial" w:eastAsia="Times New Roman" w:hAnsi="Arial" w:cs="Arial"/>
          <w:sz w:val="20"/>
          <w:szCs w:val="20"/>
        </w:rPr>
        <w:t>báo</w:t>
      </w:r>
      <w:proofErr w:type="spellEnd"/>
      <w:r w:rsidR="00A73F1B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tiếp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tục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c</w:t>
      </w:r>
      <w:r w:rsidR="00A73F1B" w:rsidRPr="00A03D8C">
        <w:rPr>
          <w:rFonts w:ascii="Arial" w:eastAsia="Times New Roman" w:hAnsi="Arial" w:cs="Arial"/>
          <w:sz w:val="20"/>
          <w:szCs w:val="20"/>
        </w:rPr>
        <w:t>ao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nhưng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giảm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thấp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một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nước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đang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phát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triển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mới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nổi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nhất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là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về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GDP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bình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quân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đầu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người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bao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gồm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nước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xuất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khẩu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hàng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hóa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do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phải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tiếp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tục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củng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cố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tài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khóa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sau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những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thiệt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hại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do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xung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đột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chiến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tranh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gây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ra.</w:t>
      </w:r>
      <w:proofErr w:type="spellEnd"/>
    </w:p>
    <w:p w:rsidR="0056184D" w:rsidRPr="00A03D8C" w:rsidRDefault="0056184D" w:rsidP="00A03D8C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A03D8C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ngữ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cảnh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bất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sách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A03D8C">
        <w:rPr>
          <w:rFonts w:ascii="Arial" w:eastAsia="Times New Roman" w:hAnsi="Arial" w:cs="Arial"/>
          <w:sz w:val="20"/>
          <w:szCs w:val="20"/>
        </w:rPr>
        <w:t>leo</w:t>
      </w:r>
      <w:proofErr w:type="spellEnd"/>
      <w:proofErr w:type="gramEnd"/>
      <w:r w:rsidRPr="00A03D8C">
        <w:rPr>
          <w:rFonts w:ascii="Arial" w:eastAsia="Times New Roman" w:hAnsi="Arial" w:cs="Arial"/>
          <w:sz w:val="20"/>
          <w:szCs w:val="20"/>
        </w:rPr>
        <w:t xml:space="preserve"> thang,</w:t>
      </w:r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rủi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ro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xu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hướng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cao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trên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toàn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cầu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>.</w:t>
      </w:r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này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một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rủi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ro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đã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được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đề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cập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WEO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tháng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4/2018</w:t>
      </w:r>
      <w:r w:rsidRPr="00A03D8C">
        <w:rPr>
          <w:rFonts w:ascii="Arial" w:eastAsia="Times New Roman" w:hAnsi="Arial" w:cs="Arial"/>
          <w:sz w:val="20"/>
          <w:szCs w:val="20"/>
        </w:rPr>
        <w:t>,</w:t>
      </w:r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như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gia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cáo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rào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cản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thương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mại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dòng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vốn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đào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thoát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khỏi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một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nước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mới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nổi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do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nền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tảng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kinh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tế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yếu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ớt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rủi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ro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trị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cao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Tốc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độ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trưởng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tiềm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năng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cũng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giảm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dần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chủ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yếu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là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r w:rsidRPr="00A03D8C">
        <w:rPr>
          <w:rFonts w:ascii="Arial" w:eastAsia="Times New Roman" w:hAnsi="Arial" w:cs="Arial"/>
          <w:sz w:val="20"/>
          <w:szCs w:val="20"/>
        </w:rPr>
        <w:t xml:space="preserve">do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tình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hình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tài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một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nước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ngày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càng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khó</w:t>
      </w:r>
      <w:proofErr w:type="spellEnd"/>
      <w:r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sz w:val="20"/>
          <w:szCs w:val="20"/>
        </w:rPr>
        <w:t>khă</w:t>
      </w:r>
      <w:r w:rsidR="00040C0D" w:rsidRPr="00A03D8C">
        <w:rPr>
          <w:rFonts w:ascii="Arial" w:eastAsia="Times New Roman" w:hAnsi="Arial" w:cs="Arial"/>
          <w:sz w:val="20"/>
          <w:szCs w:val="20"/>
        </w:rPr>
        <w:t>n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, chi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phí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thương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mại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cao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proofErr w:type="gramStart"/>
      <w:r w:rsidR="00040C0D" w:rsidRPr="00A03D8C">
        <w:rPr>
          <w:rFonts w:ascii="Arial" w:eastAsia="Times New Roman" w:hAnsi="Arial" w:cs="Arial"/>
          <w:sz w:val="20"/>
          <w:szCs w:val="20"/>
        </w:rPr>
        <w:t>thiếu</w:t>
      </w:r>
      <w:proofErr w:type="spellEnd"/>
      <w:proofErr w:type="gram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nỗ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lực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cải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cách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những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năm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vừa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qua,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động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lượng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trưởng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yếu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dần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>.</w:t>
      </w:r>
      <w:r w:rsidR="001728FB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1728FB" w:rsidRPr="00A03D8C">
        <w:rPr>
          <w:rFonts w:ascii="Arial" w:eastAsia="Times New Roman" w:hAnsi="Arial" w:cs="Arial"/>
          <w:sz w:val="20"/>
          <w:szCs w:val="20"/>
        </w:rPr>
        <w:t>Đáng</w:t>
      </w:r>
      <w:proofErr w:type="spellEnd"/>
      <w:r w:rsidR="001728FB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1728FB" w:rsidRPr="00A03D8C">
        <w:rPr>
          <w:rFonts w:ascii="Arial" w:eastAsia="Times New Roman" w:hAnsi="Arial" w:cs="Arial"/>
          <w:sz w:val="20"/>
          <w:szCs w:val="20"/>
        </w:rPr>
        <w:t>chú</w:t>
      </w:r>
      <w:proofErr w:type="spellEnd"/>
      <w:r w:rsidR="001728FB" w:rsidRPr="00A03D8C">
        <w:rPr>
          <w:rFonts w:ascii="Arial" w:eastAsia="Times New Roman" w:hAnsi="Arial" w:cs="Arial"/>
          <w:sz w:val="20"/>
          <w:szCs w:val="20"/>
        </w:rPr>
        <w:t xml:space="preserve"> ý</w:t>
      </w:r>
      <w:r w:rsidR="00040C0D" w:rsidRPr="00A03D8C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động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thái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thắt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chặt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kiện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tài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nước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phát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triển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thể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dẫn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đến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những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rối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loạn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việc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chỉnh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danh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mục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đầu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tư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gây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áp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lực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tỷ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giá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làm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suy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giảm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dòng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vốn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vào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nước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mới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nổi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nhất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là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những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nước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mức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độ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thương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tổn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ở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mức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0C0D" w:rsidRPr="00A03D8C">
        <w:rPr>
          <w:rFonts w:ascii="Arial" w:eastAsia="Times New Roman" w:hAnsi="Arial" w:cs="Arial"/>
          <w:sz w:val="20"/>
          <w:szCs w:val="20"/>
        </w:rPr>
        <w:t>cao</w:t>
      </w:r>
      <w:proofErr w:type="spellEnd"/>
      <w:r w:rsidR="00040C0D" w:rsidRPr="00A03D8C">
        <w:rPr>
          <w:rFonts w:ascii="Arial" w:eastAsia="Times New Roman" w:hAnsi="Arial" w:cs="Arial"/>
          <w:sz w:val="20"/>
          <w:szCs w:val="20"/>
        </w:rPr>
        <w:t xml:space="preserve">. </w:t>
      </w:r>
    </w:p>
    <w:p w:rsidR="00FC1E42" w:rsidRPr="00A03D8C" w:rsidRDefault="009221FA" w:rsidP="00A03D8C">
      <w:pPr>
        <w:spacing w:after="60" w:line="240" w:lineRule="auto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proofErr w:type="spellStart"/>
      <w:r w:rsidRPr="00A03D8C">
        <w:rPr>
          <w:rFonts w:ascii="Arial" w:eastAsia="Times New Roman" w:hAnsi="Arial" w:cs="Arial"/>
          <w:b/>
          <w:i/>
          <w:sz w:val="20"/>
          <w:szCs w:val="20"/>
        </w:rPr>
        <w:t>Hoàng</w:t>
      </w:r>
      <w:proofErr w:type="spellEnd"/>
      <w:r w:rsidRPr="00A03D8C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b/>
          <w:i/>
          <w:sz w:val="20"/>
          <w:szCs w:val="20"/>
        </w:rPr>
        <w:t>Thế</w:t>
      </w:r>
      <w:proofErr w:type="spellEnd"/>
      <w:r w:rsidRPr="00A03D8C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A03D8C">
        <w:rPr>
          <w:rFonts w:ascii="Arial" w:eastAsia="Times New Roman" w:hAnsi="Arial" w:cs="Arial"/>
          <w:b/>
          <w:i/>
          <w:sz w:val="20"/>
          <w:szCs w:val="20"/>
        </w:rPr>
        <w:t>Thỏa</w:t>
      </w:r>
      <w:proofErr w:type="spellEnd"/>
    </w:p>
    <w:p w:rsidR="00040C0D" w:rsidRPr="00A03D8C" w:rsidRDefault="00A03D8C" w:rsidP="00A03D8C">
      <w:pPr>
        <w:spacing w:after="6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proofErr w:type="spellStart"/>
      <w:r w:rsidRPr="00A03D8C">
        <w:rPr>
          <w:rFonts w:ascii="Arial" w:eastAsia="Times New Roman" w:hAnsi="Arial" w:cs="Arial"/>
          <w:i/>
          <w:sz w:val="20"/>
          <w:szCs w:val="20"/>
        </w:rPr>
        <w:t>Nguồn</w:t>
      </w:r>
      <w:proofErr w:type="spellEnd"/>
      <w:r w:rsidRPr="00A03D8C">
        <w:rPr>
          <w:rFonts w:ascii="Arial" w:eastAsia="Times New Roman" w:hAnsi="Arial" w:cs="Arial"/>
          <w:i/>
          <w:sz w:val="20"/>
          <w:szCs w:val="20"/>
        </w:rPr>
        <w:t xml:space="preserve">: </w:t>
      </w:r>
      <w:r w:rsidR="0056184D" w:rsidRPr="00A03D8C">
        <w:rPr>
          <w:rFonts w:ascii="Arial" w:eastAsia="Times New Roman" w:hAnsi="Arial" w:cs="Arial"/>
          <w:i/>
          <w:sz w:val="20"/>
          <w:szCs w:val="20"/>
        </w:rPr>
        <w:t xml:space="preserve">IMF </w:t>
      </w:r>
      <w:proofErr w:type="spellStart"/>
      <w:r w:rsidR="0056184D" w:rsidRPr="00A03D8C">
        <w:rPr>
          <w:rFonts w:ascii="Arial" w:eastAsia="Times New Roman" w:hAnsi="Arial" w:cs="Arial"/>
          <w:i/>
          <w:sz w:val="20"/>
          <w:szCs w:val="20"/>
        </w:rPr>
        <w:t>tháng</w:t>
      </w:r>
      <w:proofErr w:type="spellEnd"/>
      <w:r w:rsidR="0056184D" w:rsidRPr="00A03D8C">
        <w:rPr>
          <w:rFonts w:ascii="Arial" w:eastAsia="Times New Roman" w:hAnsi="Arial" w:cs="Arial"/>
          <w:i/>
          <w:sz w:val="20"/>
          <w:szCs w:val="20"/>
        </w:rPr>
        <w:t xml:space="preserve"> 10/2018</w:t>
      </w:r>
    </w:p>
    <w:sectPr w:rsidR="00040C0D" w:rsidRPr="00A03D8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580" w:rsidRDefault="00890580" w:rsidP="0056184D">
      <w:pPr>
        <w:spacing w:after="0" w:line="240" w:lineRule="auto"/>
      </w:pPr>
      <w:r>
        <w:separator/>
      </w:r>
    </w:p>
  </w:endnote>
  <w:endnote w:type="continuationSeparator" w:id="0">
    <w:p w:rsidR="00890580" w:rsidRDefault="00890580" w:rsidP="00561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15778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184D" w:rsidRDefault="005618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32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184D" w:rsidRDefault="005618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580" w:rsidRDefault="00890580" w:rsidP="0056184D">
      <w:pPr>
        <w:spacing w:after="0" w:line="240" w:lineRule="auto"/>
      </w:pPr>
      <w:r>
        <w:separator/>
      </w:r>
    </w:p>
  </w:footnote>
  <w:footnote w:type="continuationSeparator" w:id="0">
    <w:p w:rsidR="00890580" w:rsidRDefault="00890580" w:rsidP="00561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B71B6"/>
    <w:multiLevelType w:val="hybridMultilevel"/>
    <w:tmpl w:val="2D906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2294C"/>
    <w:multiLevelType w:val="hybridMultilevel"/>
    <w:tmpl w:val="ED50B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C0D"/>
    <w:rsid w:val="00040C0D"/>
    <w:rsid w:val="000A7466"/>
    <w:rsid w:val="001728FB"/>
    <w:rsid w:val="001A4820"/>
    <w:rsid w:val="00256D97"/>
    <w:rsid w:val="002D4169"/>
    <w:rsid w:val="0055297F"/>
    <w:rsid w:val="0056184D"/>
    <w:rsid w:val="007472F8"/>
    <w:rsid w:val="00890580"/>
    <w:rsid w:val="009221FA"/>
    <w:rsid w:val="00A03D8C"/>
    <w:rsid w:val="00A73F1B"/>
    <w:rsid w:val="00BC3057"/>
    <w:rsid w:val="00BE70A1"/>
    <w:rsid w:val="00C756A6"/>
    <w:rsid w:val="00F55042"/>
    <w:rsid w:val="00FA3258"/>
    <w:rsid w:val="00FC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7D9267-E135-4262-8920-02D57C88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3F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1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84D"/>
  </w:style>
  <w:style w:type="paragraph" w:styleId="Footer">
    <w:name w:val="footer"/>
    <w:basedOn w:val="Normal"/>
    <w:link w:val="FooterChar"/>
    <w:uiPriority w:val="99"/>
    <w:unhideWhenUsed/>
    <w:rsid w:val="00561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DELL-TRAN ANH</dc:creator>
  <cp:lastModifiedBy>Hewlett-Packard Company</cp:lastModifiedBy>
  <cp:revision>3</cp:revision>
  <dcterms:created xsi:type="dcterms:W3CDTF">2018-10-10T09:03:00Z</dcterms:created>
  <dcterms:modified xsi:type="dcterms:W3CDTF">2018-10-10T09:04:00Z</dcterms:modified>
</cp:coreProperties>
</file>