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70" w:rsidRPr="005853C2" w:rsidRDefault="00537C70" w:rsidP="005853C2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liệu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COFER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nguyện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bí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mật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liệu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nay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cung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bao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thuộc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thành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nắm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COFER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bao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phiếu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tờ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thanh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toán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</w:p>
    <w:p w:rsidR="008F4DFE" w:rsidRPr="005853C2" w:rsidRDefault="008F4DFE" w:rsidP="005853C2">
      <w:pPr>
        <w:shd w:val="clear" w:color="auto" w:fill="FFFFFF"/>
        <w:spacing w:before="120" w:line="20" w:lineRule="atLeast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cấu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dữ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tế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phân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 w:rsidRPr="005853C2">
        <w:rPr>
          <w:rFonts w:ascii="Arial" w:eastAsia="Times New Roman" w:hAnsi="Arial" w:cs="Arial"/>
          <w:b/>
          <w:i/>
          <w:sz w:val="20"/>
          <w:szCs w:val="20"/>
        </w:rPr>
        <w:t>theo</w:t>
      </w:r>
      <w:proofErr w:type="spellEnd"/>
      <w:proofErr w:type="gram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loại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chủ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chốt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(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tỷ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USD)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080"/>
        <w:gridCol w:w="1080"/>
        <w:gridCol w:w="1170"/>
        <w:gridCol w:w="1170"/>
        <w:gridCol w:w="1080"/>
        <w:gridCol w:w="1080"/>
      </w:tblGrid>
      <w:tr w:rsidR="00F172FC" w:rsidRPr="005853C2" w:rsidTr="00F811F7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Năm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3420" w:type="dxa"/>
            <w:gridSpan w:val="3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Năm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2017</w:t>
            </w:r>
          </w:p>
        </w:tc>
        <w:tc>
          <w:tcPr>
            <w:tcW w:w="2160" w:type="dxa"/>
            <w:gridSpan w:val="2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Năm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2018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17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17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>Quý</w:t>
            </w:r>
            <w:proofErr w:type="spellEnd"/>
            <w:r w:rsidRPr="005853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ngoại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hối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11.793,40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11.117,86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11.291,23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11.441,12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11.604,54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11.482,38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đã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7.900,63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9.257,00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9.642,81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10.014,16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10.402,30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10.523,41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USD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5.052,94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5.909,13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6.125,49</w:t>
            </w:r>
          </w:p>
        </w:tc>
        <w:tc>
          <w:tcPr>
            <w:tcW w:w="117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6.280,71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6.498,14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6.551,16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uro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1.559,26</w:t>
            </w:r>
          </w:p>
        </w:tc>
        <w:tc>
          <w:tcPr>
            <w:tcW w:w="1080" w:type="dxa"/>
          </w:tcPr>
          <w:p w:rsidR="006F41CC" w:rsidRPr="005853C2" w:rsidRDefault="003C5DA2" w:rsidP="005853C2">
            <w:pPr>
              <w:spacing w:before="120" w:line="2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853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1.847,19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1.934,67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2.019,25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2.122,48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2.131,64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CNY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84,51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99,45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108,16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123,47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145,88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193,38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ên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Nhật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332,77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428,60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436,19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491,01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501,79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522,59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ảng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Anh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349,33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408,67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433,28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454,12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486,57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471,04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ollar Australia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146,12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161,87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170,76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180,01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177,34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179,31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ollar Canada </w:t>
            </w:r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160,83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178,77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192,84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202,80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193,78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200,79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rank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Thụy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Sỹ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13,73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16,03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16,53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18,09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18,25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16,91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FB5CF2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Một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đồng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tiền</w:t>
            </w:r>
            <w:proofErr w:type="spellEnd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F41CC" w:rsidRPr="005853C2">
              <w:rPr>
                <w:rFonts w:ascii="Arial" w:eastAsia="Times New Roman" w:hAnsi="Arial" w:cs="Arial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201,15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207,28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224,84</w:t>
            </w:r>
          </w:p>
        </w:tc>
        <w:tc>
          <w:tcPr>
            <w:tcW w:w="117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244,70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258,07</w:t>
            </w:r>
          </w:p>
        </w:tc>
        <w:tc>
          <w:tcPr>
            <w:tcW w:w="1080" w:type="dxa"/>
          </w:tcPr>
          <w:p w:rsidR="006F41CC" w:rsidRPr="005853C2" w:rsidRDefault="00FB5CF2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256,58</w:t>
            </w:r>
          </w:p>
        </w:tc>
      </w:tr>
      <w:tr w:rsidR="00F172FC" w:rsidRPr="005853C2" w:rsidTr="006F41CC">
        <w:tc>
          <w:tcPr>
            <w:tcW w:w="2700" w:type="dxa"/>
          </w:tcPr>
          <w:p w:rsidR="006F41CC" w:rsidRPr="005853C2" w:rsidRDefault="006F41CC" w:rsidP="005853C2">
            <w:pPr>
              <w:spacing w:before="1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Dự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trữ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chưa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phân</w:t>
            </w:r>
            <w:proofErr w:type="spellEnd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53C2">
              <w:rPr>
                <w:rFonts w:ascii="Arial" w:eastAsia="Times New Roman" w:hAnsi="Arial" w:cs="Arial"/>
                <w:sz w:val="20"/>
                <w:szCs w:val="20"/>
              </w:rPr>
              <w:t>bổ</w:t>
            </w:r>
            <w:proofErr w:type="spellEnd"/>
          </w:p>
        </w:tc>
        <w:tc>
          <w:tcPr>
            <w:tcW w:w="1080" w:type="dxa"/>
          </w:tcPr>
          <w:p w:rsidR="006F41CC" w:rsidRPr="005853C2" w:rsidRDefault="006F41CC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2.892,77</w:t>
            </w:r>
          </w:p>
        </w:tc>
        <w:tc>
          <w:tcPr>
            <w:tcW w:w="1080" w:type="dxa"/>
          </w:tcPr>
          <w:p w:rsidR="006F41CC" w:rsidRPr="005853C2" w:rsidRDefault="00537C70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1.860,87</w:t>
            </w:r>
          </w:p>
        </w:tc>
        <w:tc>
          <w:tcPr>
            <w:tcW w:w="1170" w:type="dxa"/>
          </w:tcPr>
          <w:p w:rsidR="006F41CC" w:rsidRPr="005853C2" w:rsidRDefault="00537C70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1.648,42</w:t>
            </w:r>
          </w:p>
        </w:tc>
        <w:tc>
          <w:tcPr>
            <w:tcW w:w="1170" w:type="dxa"/>
          </w:tcPr>
          <w:p w:rsidR="006F41CC" w:rsidRPr="005853C2" w:rsidRDefault="00537C70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1.426,96</w:t>
            </w:r>
          </w:p>
        </w:tc>
        <w:tc>
          <w:tcPr>
            <w:tcW w:w="1080" w:type="dxa"/>
          </w:tcPr>
          <w:p w:rsidR="006F41CC" w:rsidRPr="005853C2" w:rsidRDefault="00537C70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1.202,24</w:t>
            </w:r>
          </w:p>
        </w:tc>
        <w:tc>
          <w:tcPr>
            <w:tcW w:w="1080" w:type="dxa"/>
          </w:tcPr>
          <w:p w:rsidR="006F41CC" w:rsidRPr="005853C2" w:rsidRDefault="00537C70" w:rsidP="005853C2">
            <w:pPr>
              <w:spacing w:before="1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3C2">
              <w:rPr>
                <w:rFonts w:ascii="Arial" w:eastAsia="Times New Roman" w:hAnsi="Arial" w:cs="Arial"/>
                <w:sz w:val="20"/>
                <w:szCs w:val="20"/>
              </w:rPr>
              <w:t>958,97</w:t>
            </w:r>
          </w:p>
        </w:tc>
      </w:tr>
    </w:tbl>
    <w:p w:rsidR="00537C70" w:rsidRPr="005853C2" w:rsidRDefault="003C5DA2" w:rsidP="005853C2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16"/>
          <w:szCs w:val="20"/>
        </w:rPr>
      </w:pPr>
      <w:bookmarkStart w:id="0" w:name="_GoBack"/>
      <w:proofErr w:type="spellStart"/>
      <w:r w:rsidRPr="005853C2">
        <w:rPr>
          <w:rFonts w:ascii="Arial" w:eastAsia="Times New Roman" w:hAnsi="Arial" w:cs="Arial"/>
          <w:sz w:val="16"/>
          <w:szCs w:val="20"/>
        </w:rPr>
        <w:t>Nguồn</w:t>
      </w:r>
      <w:proofErr w:type="spellEnd"/>
      <w:r w:rsidRPr="005853C2">
        <w:rPr>
          <w:rFonts w:ascii="Arial" w:eastAsia="Times New Roman" w:hAnsi="Arial" w:cs="Arial"/>
          <w:sz w:val="16"/>
          <w:szCs w:val="20"/>
        </w:rPr>
        <w:t xml:space="preserve">: IMF </w:t>
      </w:r>
      <w:proofErr w:type="spellStart"/>
      <w:r w:rsidRPr="005853C2">
        <w:rPr>
          <w:rFonts w:ascii="Arial" w:eastAsia="Times New Roman" w:hAnsi="Arial" w:cs="Arial"/>
          <w:sz w:val="16"/>
          <w:szCs w:val="20"/>
        </w:rPr>
        <w:t>tháng</w:t>
      </w:r>
      <w:proofErr w:type="spellEnd"/>
      <w:r w:rsidRPr="005853C2">
        <w:rPr>
          <w:rFonts w:ascii="Arial" w:eastAsia="Times New Roman" w:hAnsi="Arial" w:cs="Arial"/>
          <w:sz w:val="16"/>
          <w:szCs w:val="20"/>
        </w:rPr>
        <w:t xml:space="preserve"> 9/2018</w:t>
      </w:r>
    </w:p>
    <w:bookmarkEnd w:id="0"/>
    <w:p w:rsidR="00537C70" w:rsidRPr="005853C2" w:rsidRDefault="008F4DFE" w:rsidP="005853C2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26/02/2016,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Lãnh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đạo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COFER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nhằm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tuyệt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CNY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COFER,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giỏ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gọi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Quyền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Rút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vốn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đặc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biệt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- SDR)</w:t>
      </w:r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IMF,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hiệu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01/10/2016.      </w:t>
      </w:r>
    </w:p>
    <w:p w:rsidR="008F4DFE" w:rsidRPr="005853C2" w:rsidRDefault="00537C70" w:rsidP="005853C2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sz w:val="20"/>
          <w:szCs w:val="20"/>
        </w:rPr>
        <w:t>Kể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IV/2016, CNY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nằm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giỏ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SDR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cùng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7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chủ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chốt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Bao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gồm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: USD, euro,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yên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Nhật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bảng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Anh, dollar Australia, dollar Canada, frank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Thụy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Sỹ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Ngoài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ra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COFER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kê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gộp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chung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nhóm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“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.”  </w:t>
      </w:r>
    </w:p>
    <w:p w:rsidR="008F4DFE" w:rsidRPr="005853C2" w:rsidRDefault="008F4DFE" w:rsidP="005853C2">
      <w:pPr>
        <w:shd w:val="clear" w:color="auto" w:fill="FFFFFF"/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quả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thấy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dưới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dạng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CNY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84</w:t>
      </w:r>
      <w:proofErr w:type="gramStart"/>
      <w:r w:rsidR="00537C70" w:rsidRPr="005853C2">
        <w:rPr>
          <w:rFonts w:ascii="Arial" w:eastAsia="Times New Roman" w:hAnsi="Arial" w:cs="Arial"/>
          <w:sz w:val="20"/>
          <w:szCs w:val="20"/>
        </w:rPr>
        <w:t>,5</w:t>
      </w:r>
      <w:proofErr w:type="gram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USD (1,07%)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2016</w:t>
      </w:r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193,38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USD (1,84%)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II/2018,</w:t>
      </w:r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phản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ánh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phần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nào</w:t>
      </w:r>
      <w:proofErr w:type="spellEnd"/>
      <w:r w:rsidR="00537C70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37C70" w:rsidRPr="005853C2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nỗ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hóa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CNY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cải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cách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vận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Ngay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giỏ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SDR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IMF,</w:t>
      </w:r>
      <w:r w:rsidRPr="005853C2">
        <w:rPr>
          <w:rFonts w:ascii="Arial" w:eastAsia="Times New Roman" w:hAnsi="Arial" w:cs="Arial"/>
          <w:sz w:val="20"/>
          <w:szCs w:val="20"/>
        </w:rPr>
        <w:t xml:space="preserve"> CNY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thứ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7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giỏ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8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mạnh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bậc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trí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thứ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6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II/2018,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vượt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xa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r w:rsidR="002B49B4" w:rsidRPr="005853C2">
        <w:rPr>
          <w:rFonts w:ascii="Arial" w:eastAsia="Times New Roman" w:hAnsi="Arial" w:cs="Arial"/>
          <w:sz w:val="20"/>
          <w:szCs w:val="20"/>
        </w:rPr>
        <w:t xml:space="preserve">Frank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Thụy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Sỹ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nhắc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dollar New Zealand, peso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Mêhicô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Nhìn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435F88" w:rsidRPr="005853C2">
        <w:rPr>
          <w:rFonts w:ascii="Arial" w:eastAsia="Times New Roman" w:hAnsi="Arial" w:cs="Arial"/>
          <w:sz w:val="20"/>
          <w:szCs w:val="20"/>
        </w:rPr>
        <w:t>chung</w:t>
      </w:r>
      <w:proofErr w:type="spellEnd"/>
      <w:proofErr w:type="gram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CNY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cả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lẫn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trọng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dưới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dạng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còn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xu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C5579" w:rsidRPr="005853C2" w:rsidRDefault="008F4DFE" w:rsidP="005853C2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5853C2">
        <w:rPr>
          <w:rFonts w:ascii="Arial" w:eastAsia="Times New Roman" w:hAnsi="Arial" w:cs="Arial"/>
          <w:sz w:val="20"/>
          <w:szCs w:val="20"/>
        </w:rPr>
        <w:t xml:space="preserve">Cho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nay, USD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vẫn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chiếm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vị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áp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đảo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cấu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mặc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dù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trọng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63</w:t>
      </w:r>
      <w:proofErr w:type="gramStart"/>
      <w:r w:rsidR="002B49B4" w:rsidRPr="005853C2">
        <w:rPr>
          <w:rFonts w:ascii="Arial" w:eastAsia="Times New Roman" w:hAnsi="Arial" w:cs="Arial"/>
          <w:sz w:val="20"/>
          <w:szCs w:val="20"/>
        </w:rPr>
        <w:t>,96</w:t>
      </w:r>
      <w:proofErr w:type="gramEnd"/>
      <w:r w:rsidR="002B49B4" w:rsidRPr="005853C2">
        <w:rPr>
          <w:rFonts w:ascii="Arial" w:eastAsia="Times New Roman" w:hAnsi="Arial" w:cs="Arial"/>
          <w:sz w:val="20"/>
          <w:szCs w:val="20"/>
        </w:rPr>
        <w:t>%</w:t>
      </w:r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2016</w:t>
      </w:r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62,25%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II/2018,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thay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thế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thỏa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thuận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thanh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toán</w:t>
      </w:r>
      <w:proofErr w:type="spellEnd"/>
      <w:r w:rsidR="002B49B4" w:rsidRPr="005853C2">
        <w:rPr>
          <w:rFonts w:ascii="Arial" w:eastAsia="Times New Roman" w:hAnsi="Arial" w:cs="Arial"/>
          <w:sz w:val="20"/>
          <w:szCs w:val="20"/>
        </w:rPr>
        <w:t xml:space="preserve"> song </w:t>
      </w:r>
      <w:proofErr w:type="spellStart"/>
      <w:r w:rsidR="002B49B4" w:rsidRPr="005853C2">
        <w:rPr>
          <w:rFonts w:ascii="Arial" w:eastAsia="Times New Roman" w:hAnsi="Arial" w:cs="Arial"/>
          <w:sz w:val="20"/>
          <w:szCs w:val="20"/>
        </w:rPr>
        <w:t>phương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>,</w:t>
      </w:r>
      <w:r w:rsidR="002B49B4" w:rsidRPr="005853C2">
        <w:rPr>
          <w:rFonts w:ascii="Arial" w:eastAsia="Times New Roman" w:hAnsi="Arial" w:cs="Arial"/>
          <w:sz w:val="20"/>
          <w:szCs w:val="20"/>
        </w:rPr>
        <w:t xml:space="preserve"> v.v.</w:t>
      </w:r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Đứng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thứ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euro,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chiếm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19,74%</w:t>
      </w:r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2016</w:t>
      </w:r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20,26%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F88" w:rsidRPr="005853C2">
        <w:rPr>
          <w:rFonts w:ascii="Arial" w:eastAsia="Times New Roman" w:hAnsi="Arial" w:cs="Arial"/>
          <w:sz w:val="20"/>
          <w:szCs w:val="20"/>
        </w:rPr>
        <w:t>quý</w:t>
      </w:r>
      <w:proofErr w:type="spellEnd"/>
      <w:r w:rsidR="00435F88" w:rsidRPr="005853C2">
        <w:rPr>
          <w:rFonts w:ascii="Arial" w:eastAsia="Times New Roman" w:hAnsi="Arial" w:cs="Arial"/>
          <w:sz w:val="20"/>
          <w:szCs w:val="20"/>
        </w:rPr>
        <w:t xml:space="preserve"> II/2018</w:t>
      </w:r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</w:p>
    <w:p w:rsidR="008F4DFE" w:rsidRPr="005853C2" w:rsidRDefault="00DC5579" w:rsidP="005853C2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5853C2">
        <w:rPr>
          <w:rFonts w:ascii="Arial" w:eastAsia="Times New Roman" w:hAnsi="Arial" w:cs="Arial"/>
          <w:sz w:val="20"/>
          <w:szCs w:val="20"/>
        </w:rPr>
        <w:lastRenderedPageBreak/>
        <w:t xml:space="preserve">Theo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trang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tin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Bofit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CHLB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cấu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nhằm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lực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thanh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khoản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3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thập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kỷ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qua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gần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18%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cuối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5/2018,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cường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sản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dễ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quỹ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dầu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thô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khoảng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40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USD. CHLB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nâng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dưới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CNY,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nhưng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Euro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vẫn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ưu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tiên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cấu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gia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Hiện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dữ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ngoại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hối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CHLB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Nga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đương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khoảng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17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5853C2">
        <w:rPr>
          <w:rFonts w:ascii="Arial" w:eastAsia="Times New Roman" w:hAnsi="Arial" w:cs="Arial"/>
          <w:sz w:val="20"/>
          <w:szCs w:val="20"/>
        </w:rPr>
        <w:t>.</w:t>
      </w:r>
    </w:p>
    <w:p w:rsidR="00A73E93" w:rsidRPr="005853C2" w:rsidRDefault="00A73E93" w:rsidP="005853C2">
      <w:pPr>
        <w:spacing w:before="120" w:after="0" w:line="20" w:lineRule="atLeast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Hoàng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Thế</w:t>
      </w:r>
      <w:proofErr w:type="spellEnd"/>
      <w:r w:rsidRPr="005853C2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5853C2">
        <w:rPr>
          <w:rFonts w:ascii="Arial" w:eastAsia="Times New Roman" w:hAnsi="Arial" w:cs="Arial"/>
          <w:b/>
          <w:i/>
          <w:sz w:val="20"/>
          <w:szCs w:val="20"/>
        </w:rPr>
        <w:t>Thỏa</w:t>
      </w:r>
      <w:proofErr w:type="spellEnd"/>
    </w:p>
    <w:p w:rsidR="003F5A3F" w:rsidRPr="005853C2" w:rsidRDefault="00435F88" w:rsidP="005853C2">
      <w:pPr>
        <w:spacing w:before="120" w:after="0" w:line="20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5853C2">
        <w:rPr>
          <w:rFonts w:ascii="Arial" w:eastAsia="Times New Roman" w:hAnsi="Arial" w:cs="Arial"/>
          <w:i/>
          <w:sz w:val="20"/>
          <w:szCs w:val="20"/>
        </w:rPr>
        <w:t>Nguồn</w:t>
      </w:r>
      <w:proofErr w:type="spellEnd"/>
      <w:r w:rsidRPr="005853C2">
        <w:rPr>
          <w:rFonts w:ascii="Arial" w:eastAsia="Times New Roman" w:hAnsi="Arial" w:cs="Arial"/>
          <w:i/>
          <w:sz w:val="20"/>
          <w:szCs w:val="20"/>
        </w:rPr>
        <w:t xml:space="preserve">: </w:t>
      </w:r>
      <w:proofErr w:type="spellStart"/>
      <w:r w:rsidR="00DC5579" w:rsidRPr="005853C2">
        <w:rPr>
          <w:rFonts w:ascii="Arial" w:eastAsia="Times New Roman" w:hAnsi="Arial" w:cs="Arial"/>
          <w:i/>
          <w:sz w:val="20"/>
          <w:szCs w:val="20"/>
        </w:rPr>
        <w:t>Bofit</w:t>
      </w:r>
      <w:proofErr w:type="spellEnd"/>
      <w:r w:rsidR="00DC5579" w:rsidRPr="005853C2">
        <w:rPr>
          <w:rFonts w:ascii="Arial" w:eastAsia="Times New Roman" w:hAnsi="Arial" w:cs="Arial"/>
          <w:i/>
          <w:sz w:val="20"/>
          <w:szCs w:val="20"/>
        </w:rPr>
        <w:t xml:space="preserve">, </w:t>
      </w:r>
      <w:r w:rsidRPr="005853C2">
        <w:rPr>
          <w:rFonts w:ascii="Arial" w:eastAsia="Times New Roman" w:hAnsi="Arial" w:cs="Arial"/>
          <w:i/>
          <w:sz w:val="20"/>
          <w:szCs w:val="20"/>
        </w:rPr>
        <w:t>IMF</w:t>
      </w:r>
    </w:p>
    <w:p w:rsidR="00DC5579" w:rsidRPr="005853C2" w:rsidRDefault="00DC5579" w:rsidP="005853C2">
      <w:pPr>
        <w:spacing w:before="120" w:after="0" w:line="20" w:lineRule="atLeast"/>
        <w:jc w:val="both"/>
        <w:rPr>
          <w:rFonts w:ascii="Arial" w:eastAsia="Times New Roman" w:hAnsi="Arial" w:cs="Arial"/>
          <w:sz w:val="20"/>
          <w:szCs w:val="20"/>
        </w:rPr>
      </w:pPr>
    </w:p>
    <w:sectPr w:rsidR="00DC5579" w:rsidRPr="005853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35" w:rsidRDefault="00CB0735" w:rsidP="00DC5579">
      <w:pPr>
        <w:spacing w:after="0" w:line="240" w:lineRule="auto"/>
      </w:pPr>
      <w:r>
        <w:separator/>
      </w:r>
    </w:p>
  </w:endnote>
  <w:endnote w:type="continuationSeparator" w:id="0">
    <w:p w:rsidR="00CB0735" w:rsidRDefault="00CB0735" w:rsidP="00DC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72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579" w:rsidRDefault="00DC55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579" w:rsidRDefault="00DC5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35" w:rsidRDefault="00CB0735" w:rsidP="00DC5579">
      <w:pPr>
        <w:spacing w:after="0" w:line="240" w:lineRule="auto"/>
      </w:pPr>
      <w:r>
        <w:separator/>
      </w:r>
    </w:p>
  </w:footnote>
  <w:footnote w:type="continuationSeparator" w:id="0">
    <w:p w:rsidR="00CB0735" w:rsidRDefault="00CB0735" w:rsidP="00DC5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FE"/>
    <w:rsid w:val="0023606C"/>
    <w:rsid w:val="002B49B4"/>
    <w:rsid w:val="003C5DA2"/>
    <w:rsid w:val="003F5A3F"/>
    <w:rsid w:val="00435F88"/>
    <w:rsid w:val="004C6B19"/>
    <w:rsid w:val="00537C70"/>
    <w:rsid w:val="005853C2"/>
    <w:rsid w:val="006F41CC"/>
    <w:rsid w:val="008F4DFE"/>
    <w:rsid w:val="00A73E93"/>
    <w:rsid w:val="00B51805"/>
    <w:rsid w:val="00CB0735"/>
    <w:rsid w:val="00DB6356"/>
    <w:rsid w:val="00DC5579"/>
    <w:rsid w:val="00F172FC"/>
    <w:rsid w:val="00F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AF9C3-A58B-44B5-84AB-7DBF067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FE"/>
  </w:style>
  <w:style w:type="paragraph" w:styleId="Heading2">
    <w:name w:val="heading 2"/>
    <w:basedOn w:val="Normal"/>
    <w:link w:val="Heading2Char"/>
    <w:uiPriority w:val="9"/>
    <w:qFormat/>
    <w:rsid w:val="008F4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4DF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F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579"/>
  </w:style>
  <w:style w:type="paragraph" w:styleId="Footer">
    <w:name w:val="footer"/>
    <w:basedOn w:val="Normal"/>
    <w:link w:val="FooterChar"/>
    <w:uiPriority w:val="99"/>
    <w:unhideWhenUsed/>
    <w:rsid w:val="00D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anh tran</cp:lastModifiedBy>
  <cp:revision>4</cp:revision>
  <dcterms:created xsi:type="dcterms:W3CDTF">2018-11-20T03:49:00Z</dcterms:created>
  <dcterms:modified xsi:type="dcterms:W3CDTF">2018-11-20T04:31:00Z</dcterms:modified>
</cp:coreProperties>
</file>