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25" w:rsidRPr="0048487A" w:rsidRDefault="00875F25" w:rsidP="0048487A">
      <w:pPr>
        <w:pStyle w:val="NormalWeb"/>
        <w:spacing w:before="0" w:beforeAutospacing="0" w:after="60" w:afterAutospacing="0"/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bookmarkStart w:id="0" w:name="_GoBack"/>
      <w:bookmarkEnd w:id="0"/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Nguyên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nhân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65716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chủ</w:t>
      </w:r>
      <w:proofErr w:type="spellEnd"/>
      <w:r w:rsidR="0065716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65716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yếu</w:t>
      </w:r>
      <w:proofErr w:type="spellEnd"/>
      <w:r w:rsidR="0065716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dẫn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đến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kết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quả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bi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quan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trên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đây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bắt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nguồn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từ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những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r w:rsidR="0065716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lo </w:t>
      </w:r>
      <w:proofErr w:type="spellStart"/>
      <w:r w:rsidR="0065716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lắng</w:t>
      </w:r>
      <w:proofErr w:type="spellEnd"/>
      <w:r w:rsidR="0065716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của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các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nhà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đầu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tư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về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65716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tình</w:t>
      </w:r>
      <w:proofErr w:type="spellEnd"/>
      <w:r w:rsidR="0065716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65716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trạng</w:t>
      </w:r>
      <w:proofErr w:type="spellEnd"/>
      <w:r w:rsidR="0065716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căng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thẳng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thương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mại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65716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triền</w:t>
      </w:r>
      <w:proofErr w:type="spellEnd"/>
      <w:r w:rsidR="0065716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65716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miên</w:t>
      </w:r>
      <w:proofErr w:type="spellEnd"/>
      <w:r w:rsidR="0065716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,</w:t>
      </w:r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kinh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tế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toàn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cầu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giảm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tốc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,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thị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trường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chứng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khoán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châu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Âu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và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châu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Á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trầm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lắng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trong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phần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lớn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thời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gian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kéo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theo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xu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hướng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giảm</w:t>
      </w:r>
      <w:proofErr w:type="spellEnd"/>
      <w:r w:rsidR="00C26DCD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điểm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trên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các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thị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trường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chứng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khoán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Mỹ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trong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những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tháng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cuối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năm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. </w:t>
      </w:r>
    </w:p>
    <w:p w:rsidR="00C77278" w:rsidRPr="0048487A" w:rsidRDefault="00C77278" w:rsidP="0048487A">
      <w:pPr>
        <w:spacing w:after="6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48487A">
        <w:rPr>
          <w:rFonts w:ascii="Arial" w:hAnsi="Arial" w:cs="Arial"/>
          <w:b/>
          <w:i/>
          <w:sz w:val="20"/>
          <w:szCs w:val="20"/>
        </w:rPr>
        <w:t>Chỉ</w:t>
      </w:r>
      <w:proofErr w:type="spellEnd"/>
      <w:r w:rsidRPr="004848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b/>
          <w:i/>
          <w:sz w:val="20"/>
          <w:szCs w:val="20"/>
        </w:rPr>
        <w:t>số</w:t>
      </w:r>
      <w:proofErr w:type="spellEnd"/>
      <w:r w:rsidRPr="004848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b/>
          <w:i/>
          <w:sz w:val="20"/>
          <w:szCs w:val="20"/>
        </w:rPr>
        <w:t>chứng</w:t>
      </w:r>
      <w:proofErr w:type="spellEnd"/>
      <w:r w:rsidRPr="004848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b/>
          <w:i/>
          <w:sz w:val="20"/>
          <w:szCs w:val="20"/>
        </w:rPr>
        <w:t>khoán</w:t>
      </w:r>
      <w:proofErr w:type="spellEnd"/>
      <w:r w:rsidRPr="004848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b/>
          <w:i/>
          <w:sz w:val="20"/>
          <w:szCs w:val="20"/>
        </w:rPr>
        <w:t>chủ</w:t>
      </w:r>
      <w:proofErr w:type="spellEnd"/>
      <w:r w:rsidRPr="004848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b/>
          <w:i/>
          <w:sz w:val="20"/>
          <w:szCs w:val="20"/>
        </w:rPr>
        <w:t>chốt</w:t>
      </w:r>
      <w:proofErr w:type="spellEnd"/>
      <w:r w:rsidRPr="004848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b/>
          <w:i/>
          <w:sz w:val="20"/>
          <w:szCs w:val="20"/>
        </w:rPr>
        <w:t>trên</w:t>
      </w:r>
      <w:proofErr w:type="spellEnd"/>
      <w:r w:rsidRPr="004848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b/>
          <w:i/>
          <w:sz w:val="20"/>
          <w:szCs w:val="20"/>
        </w:rPr>
        <w:t>thế</w:t>
      </w:r>
      <w:proofErr w:type="spellEnd"/>
      <w:r w:rsidRPr="004848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b/>
          <w:i/>
          <w:sz w:val="20"/>
          <w:szCs w:val="20"/>
        </w:rPr>
        <w:t>giới</w:t>
      </w:r>
      <w:proofErr w:type="spellEnd"/>
      <w:r w:rsidRPr="004848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b/>
          <w:i/>
          <w:sz w:val="20"/>
          <w:szCs w:val="20"/>
        </w:rPr>
        <w:t>cuối</w:t>
      </w:r>
      <w:proofErr w:type="spellEnd"/>
      <w:r w:rsidRPr="004848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b/>
          <w:i/>
          <w:sz w:val="20"/>
          <w:szCs w:val="20"/>
        </w:rPr>
        <w:t>năm</w:t>
      </w:r>
      <w:proofErr w:type="spellEnd"/>
      <w:r w:rsidRPr="0048487A">
        <w:rPr>
          <w:rFonts w:ascii="Arial" w:hAnsi="Arial" w:cs="Arial"/>
          <w:b/>
          <w:i/>
          <w:sz w:val="20"/>
          <w:szCs w:val="20"/>
        </w:rPr>
        <w:t xml:space="preserve"> 2017 </w:t>
      </w:r>
      <w:proofErr w:type="spellStart"/>
      <w:r w:rsidRPr="0048487A">
        <w:rPr>
          <w:rFonts w:ascii="Arial" w:hAnsi="Arial" w:cs="Arial"/>
          <w:b/>
          <w:i/>
          <w:sz w:val="20"/>
          <w:szCs w:val="20"/>
        </w:rPr>
        <w:t>và</w:t>
      </w:r>
      <w:proofErr w:type="spellEnd"/>
      <w:r w:rsidRPr="004848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b/>
          <w:i/>
          <w:sz w:val="20"/>
          <w:szCs w:val="20"/>
        </w:rPr>
        <w:t>cuối</w:t>
      </w:r>
      <w:proofErr w:type="spellEnd"/>
      <w:r w:rsidRPr="004848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b/>
          <w:i/>
          <w:sz w:val="20"/>
          <w:szCs w:val="20"/>
        </w:rPr>
        <w:t>năm</w:t>
      </w:r>
      <w:proofErr w:type="spellEnd"/>
      <w:r w:rsidRPr="0048487A">
        <w:rPr>
          <w:rFonts w:ascii="Arial" w:hAnsi="Arial" w:cs="Arial"/>
          <w:b/>
          <w:i/>
          <w:sz w:val="20"/>
          <w:szCs w:val="20"/>
        </w:rPr>
        <w:t xml:space="preserve"> 2018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6"/>
        <w:gridCol w:w="1529"/>
        <w:gridCol w:w="1438"/>
        <w:gridCol w:w="1439"/>
        <w:gridCol w:w="1438"/>
      </w:tblGrid>
      <w:tr w:rsidR="00657163" w:rsidRPr="0048487A" w:rsidTr="0048487A">
        <w:trPr>
          <w:jc w:val="center"/>
        </w:trPr>
        <w:tc>
          <w:tcPr>
            <w:tcW w:w="3510" w:type="dxa"/>
          </w:tcPr>
          <w:p w:rsidR="00C77278" w:rsidRPr="0048487A" w:rsidRDefault="00C77278" w:rsidP="00713D59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487A">
              <w:rPr>
                <w:rFonts w:ascii="Arial" w:hAnsi="Arial" w:cs="Arial"/>
                <w:b/>
                <w:sz w:val="20"/>
                <w:szCs w:val="20"/>
              </w:rPr>
              <w:t>Chỉ</w:t>
            </w:r>
            <w:proofErr w:type="spellEnd"/>
            <w:r w:rsidRPr="004848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487A">
              <w:rPr>
                <w:rFonts w:ascii="Arial" w:hAnsi="Arial" w:cs="Arial"/>
                <w:b/>
                <w:sz w:val="20"/>
                <w:szCs w:val="20"/>
              </w:rPr>
              <w:t>số</w:t>
            </w:r>
            <w:proofErr w:type="spellEnd"/>
            <w:r w:rsidRPr="004848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487A">
              <w:rPr>
                <w:rFonts w:ascii="Arial" w:hAnsi="Arial" w:cs="Arial"/>
                <w:b/>
                <w:sz w:val="20"/>
                <w:szCs w:val="20"/>
              </w:rPr>
              <w:t>chứng</w:t>
            </w:r>
            <w:proofErr w:type="spellEnd"/>
            <w:r w:rsidRPr="004848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487A">
              <w:rPr>
                <w:rFonts w:ascii="Arial" w:hAnsi="Arial" w:cs="Arial"/>
                <w:b/>
                <w:sz w:val="20"/>
                <w:szCs w:val="20"/>
              </w:rPr>
              <w:t>khoán</w:t>
            </w:r>
            <w:proofErr w:type="spellEnd"/>
          </w:p>
        </w:tc>
        <w:tc>
          <w:tcPr>
            <w:tcW w:w="2970" w:type="dxa"/>
            <w:gridSpan w:val="2"/>
          </w:tcPr>
          <w:p w:rsidR="00C77278" w:rsidRPr="0048487A" w:rsidRDefault="00C77278" w:rsidP="00713D59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487A">
              <w:rPr>
                <w:rFonts w:ascii="Arial" w:hAnsi="Arial" w:cs="Arial"/>
                <w:b/>
                <w:sz w:val="20"/>
                <w:szCs w:val="20"/>
              </w:rPr>
              <w:t>Năm</w:t>
            </w:r>
            <w:proofErr w:type="spellEnd"/>
            <w:r w:rsidRPr="0048487A">
              <w:rPr>
                <w:rFonts w:ascii="Arial" w:hAnsi="Arial" w:cs="Arial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2880" w:type="dxa"/>
            <w:gridSpan w:val="2"/>
          </w:tcPr>
          <w:p w:rsidR="00C77278" w:rsidRPr="0048487A" w:rsidRDefault="00C77278" w:rsidP="00713D59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487A">
              <w:rPr>
                <w:rFonts w:ascii="Arial" w:hAnsi="Arial" w:cs="Arial"/>
                <w:b/>
                <w:sz w:val="20"/>
                <w:szCs w:val="20"/>
              </w:rPr>
              <w:t>Năm</w:t>
            </w:r>
            <w:proofErr w:type="spellEnd"/>
            <w:r w:rsidRPr="0048487A">
              <w:rPr>
                <w:rFonts w:ascii="Arial" w:hAnsi="Arial" w:cs="Arial"/>
                <w:b/>
                <w:sz w:val="20"/>
                <w:szCs w:val="20"/>
              </w:rPr>
              <w:t xml:space="preserve"> 2017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C77278" w:rsidRPr="0048487A" w:rsidRDefault="00C77278" w:rsidP="00713D59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C77278" w:rsidRPr="0048487A" w:rsidRDefault="00C77278" w:rsidP="00713D5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487A">
              <w:rPr>
                <w:rFonts w:ascii="Arial" w:hAnsi="Arial" w:cs="Arial"/>
                <w:b/>
                <w:sz w:val="20"/>
                <w:szCs w:val="20"/>
              </w:rPr>
              <w:t>Đóng</w:t>
            </w:r>
            <w:proofErr w:type="spellEnd"/>
            <w:r w:rsidRPr="004848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487A">
              <w:rPr>
                <w:rFonts w:ascii="Arial" w:hAnsi="Arial" w:cs="Arial"/>
                <w:b/>
                <w:sz w:val="20"/>
                <w:szCs w:val="20"/>
              </w:rPr>
              <w:t>cửa</w:t>
            </w:r>
            <w:proofErr w:type="spellEnd"/>
          </w:p>
        </w:tc>
        <w:tc>
          <w:tcPr>
            <w:tcW w:w="1440" w:type="dxa"/>
          </w:tcPr>
          <w:p w:rsidR="00C77278" w:rsidRPr="0048487A" w:rsidRDefault="00C77278" w:rsidP="00713D5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487A">
              <w:rPr>
                <w:rFonts w:ascii="Arial" w:hAnsi="Arial" w:cs="Arial"/>
                <w:b/>
                <w:sz w:val="20"/>
                <w:szCs w:val="20"/>
              </w:rPr>
              <w:t>Tăng</w:t>
            </w:r>
            <w:proofErr w:type="spellEnd"/>
            <w:r w:rsidRPr="004848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487A">
              <w:rPr>
                <w:rFonts w:ascii="Arial" w:hAnsi="Arial" w:cs="Arial"/>
                <w:b/>
                <w:sz w:val="20"/>
                <w:szCs w:val="20"/>
              </w:rPr>
              <w:t>giảm</w:t>
            </w:r>
            <w:proofErr w:type="spellEnd"/>
            <w:r w:rsidR="0030405D" w:rsidRPr="0048487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440" w:type="dxa"/>
          </w:tcPr>
          <w:p w:rsidR="00C77278" w:rsidRPr="0048487A" w:rsidRDefault="00C77278" w:rsidP="00713D5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487A">
              <w:rPr>
                <w:rFonts w:ascii="Arial" w:hAnsi="Arial" w:cs="Arial"/>
                <w:b/>
                <w:sz w:val="20"/>
                <w:szCs w:val="20"/>
              </w:rPr>
              <w:t>Đóng</w:t>
            </w:r>
            <w:proofErr w:type="spellEnd"/>
            <w:r w:rsidRPr="004848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487A">
              <w:rPr>
                <w:rFonts w:ascii="Arial" w:hAnsi="Arial" w:cs="Arial"/>
                <w:b/>
                <w:sz w:val="20"/>
                <w:szCs w:val="20"/>
              </w:rPr>
              <w:t>cửa</w:t>
            </w:r>
            <w:proofErr w:type="spellEnd"/>
          </w:p>
        </w:tc>
        <w:tc>
          <w:tcPr>
            <w:tcW w:w="1440" w:type="dxa"/>
          </w:tcPr>
          <w:p w:rsidR="00C77278" w:rsidRPr="0048487A" w:rsidRDefault="00C77278" w:rsidP="00713D5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487A">
              <w:rPr>
                <w:rFonts w:ascii="Arial" w:hAnsi="Arial" w:cs="Arial"/>
                <w:b/>
                <w:sz w:val="20"/>
                <w:szCs w:val="20"/>
              </w:rPr>
              <w:t>Tăng</w:t>
            </w:r>
            <w:proofErr w:type="spellEnd"/>
            <w:r w:rsidRPr="004848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487A">
              <w:rPr>
                <w:rFonts w:ascii="Arial" w:hAnsi="Arial" w:cs="Arial"/>
                <w:b/>
                <w:sz w:val="20"/>
                <w:szCs w:val="20"/>
              </w:rPr>
              <w:t>giảm</w:t>
            </w:r>
            <w:proofErr w:type="spellEnd"/>
            <w:r w:rsidRPr="0048487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C77278" w:rsidRPr="0048487A" w:rsidRDefault="00C77278" w:rsidP="00F848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 xml:space="preserve">MSCI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toàn</w:t>
            </w:r>
            <w:proofErr w:type="spellEnd"/>
            <w:r w:rsidRPr="004848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cầu</w:t>
            </w:r>
            <w:proofErr w:type="spellEnd"/>
          </w:p>
        </w:tc>
        <w:tc>
          <w:tcPr>
            <w:tcW w:w="1530" w:type="dxa"/>
          </w:tcPr>
          <w:p w:rsidR="00C77278" w:rsidRPr="0048487A" w:rsidRDefault="000F30DB" w:rsidP="00F8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457,42</w:t>
            </w:r>
          </w:p>
        </w:tc>
        <w:tc>
          <w:tcPr>
            <w:tcW w:w="1440" w:type="dxa"/>
          </w:tcPr>
          <w:p w:rsidR="00C77278" w:rsidRPr="0048487A" w:rsidRDefault="002D213E" w:rsidP="00F8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-11,1</w:t>
            </w:r>
          </w:p>
        </w:tc>
        <w:tc>
          <w:tcPr>
            <w:tcW w:w="1440" w:type="dxa"/>
          </w:tcPr>
          <w:p w:rsidR="00C77278" w:rsidRPr="0048487A" w:rsidRDefault="00C77278" w:rsidP="00F8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514,53</w:t>
            </w:r>
          </w:p>
        </w:tc>
        <w:tc>
          <w:tcPr>
            <w:tcW w:w="1440" w:type="dxa"/>
          </w:tcPr>
          <w:p w:rsidR="00C77278" w:rsidRPr="0048487A" w:rsidRDefault="00C77278" w:rsidP="00F8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C77278" w:rsidRPr="0048487A" w:rsidRDefault="00C77278" w:rsidP="00F848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Global Dow</w:t>
            </w:r>
          </w:p>
        </w:tc>
        <w:tc>
          <w:tcPr>
            <w:tcW w:w="1530" w:type="dxa"/>
          </w:tcPr>
          <w:p w:rsidR="00C77278" w:rsidRPr="0048487A" w:rsidRDefault="002D213E" w:rsidP="00F8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2.734,4</w:t>
            </w:r>
          </w:p>
        </w:tc>
        <w:tc>
          <w:tcPr>
            <w:tcW w:w="1440" w:type="dxa"/>
          </w:tcPr>
          <w:p w:rsidR="00C77278" w:rsidRPr="0048487A" w:rsidRDefault="002D213E" w:rsidP="00F8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-11,4</w:t>
            </w:r>
          </w:p>
        </w:tc>
        <w:tc>
          <w:tcPr>
            <w:tcW w:w="1440" w:type="dxa"/>
          </w:tcPr>
          <w:p w:rsidR="00C77278" w:rsidRPr="0048487A" w:rsidRDefault="00C77278" w:rsidP="00F8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3.085,41</w:t>
            </w:r>
          </w:p>
        </w:tc>
        <w:tc>
          <w:tcPr>
            <w:tcW w:w="1440" w:type="dxa"/>
          </w:tcPr>
          <w:p w:rsidR="00C77278" w:rsidRPr="0048487A" w:rsidRDefault="00C77278" w:rsidP="00F8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22,15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2D213E" w:rsidRPr="0048487A" w:rsidRDefault="002D213E" w:rsidP="00F848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Dow Jones</w:t>
            </w:r>
          </w:p>
        </w:tc>
        <w:tc>
          <w:tcPr>
            <w:tcW w:w="1530" w:type="dxa"/>
          </w:tcPr>
          <w:p w:rsidR="002D213E" w:rsidRPr="0048487A" w:rsidRDefault="002D213E" w:rsidP="00F8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23.327,46</w:t>
            </w:r>
          </w:p>
        </w:tc>
        <w:tc>
          <w:tcPr>
            <w:tcW w:w="1440" w:type="dxa"/>
          </w:tcPr>
          <w:p w:rsidR="002D213E" w:rsidRPr="0048487A" w:rsidRDefault="002D213E" w:rsidP="002D2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-5,6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24.719,22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25,08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2D213E" w:rsidRPr="0048487A" w:rsidRDefault="002D213E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Nasdaq composite</w:t>
            </w:r>
          </w:p>
        </w:tc>
        <w:tc>
          <w:tcPr>
            <w:tcW w:w="153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6.635,28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-3,9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6.903,39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28,24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2D213E" w:rsidRPr="0048487A" w:rsidRDefault="002D213E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S&amp;P 500</w:t>
            </w:r>
          </w:p>
        </w:tc>
        <w:tc>
          <w:tcPr>
            <w:tcW w:w="153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2.506,85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-6,2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2.673,61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18,42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2D213E" w:rsidRPr="0048487A" w:rsidRDefault="002D213E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Russell 2000</w:t>
            </w:r>
          </w:p>
        </w:tc>
        <w:tc>
          <w:tcPr>
            <w:tcW w:w="153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1.348,56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-12,2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1.535,51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13,14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2D213E" w:rsidRPr="0048487A" w:rsidRDefault="002D213E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NYSE composite</w:t>
            </w:r>
          </w:p>
        </w:tc>
        <w:tc>
          <w:tcPr>
            <w:tcW w:w="1530" w:type="dxa"/>
          </w:tcPr>
          <w:p w:rsidR="002D213E" w:rsidRPr="0048487A" w:rsidRDefault="00FD121D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11.374,39</w:t>
            </w:r>
          </w:p>
        </w:tc>
        <w:tc>
          <w:tcPr>
            <w:tcW w:w="1440" w:type="dxa"/>
          </w:tcPr>
          <w:p w:rsidR="002D213E" w:rsidRPr="0048487A" w:rsidRDefault="00FD121D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-11,2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12.808,84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15,84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2D213E" w:rsidRPr="0048487A" w:rsidRDefault="002D213E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Canada S&amp;P/TSE composite</w:t>
            </w:r>
          </w:p>
        </w:tc>
        <w:tc>
          <w:tcPr>
            <w:tcW w:w="153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14.322,86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-11,6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16.209,13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5,32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2D213E" w:rsidRPr="0048487A" w:rsidRDefault="002D213E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 xml:space="preserve">Brazil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Bovespa</w:t>
            </w:r>
            <w:proofErr w:type="spellEnd"/>
          </w:p>
        </w:tc>
        <w:tc>
          <w:tcPr>
            <w:tcW w:w="153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87.887,27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76.402,08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24,23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2D213E" w:rsidRPr="0048487A" w:rsidRDefault="002D213E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Merval</w:t>
            </w:r>
            <w:proofErr w:type="spellEnd"/>
            <w:r w:rsidRPr="0048487A">
              <w:rPr>
                <w:rFonts w:ascii="Arial" w:hAnsi="Arial" w:cs="Arial"/>
                <w:sz w:val="20"/>
                <w:szCs w:val="20"/>
              </w:rPr>
              <w:t xml:space="preserve"> Argentina</w:t>
            </w:r>
          </w:p>
        </w:tc>
        <w:tc>
          <w:tcPr>
            <w:tcW w:w="153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30.292,55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30.065,61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77,7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2D213E" w:rsidRPr="0048487A" w:rsidRDefault="002D213E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Mêhicô</w:t>
            </w:r>
            <w:proofErr w:type="spellEnd"/>
            <w:r w:rsidRPr="0048487A">
              <w:rPr>
                <w:rFonts w:ascii="Arial" w:hAnsi="Arial" w:cs="Arial"/>
                <w:sz w:val="20"/>
                <w:szCs w:val="20"/>
              </w:rPr>
              <w:t>: IPC All-share</w:t>
            </w:r>
          </w:p>
        </w:tc>
        <w:tc>
          <w:tcPr>
            <w:tcW w:w="153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41.640,27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-15,6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49.354,42</w:t>
            </w:r>
          </w:p>
        </w:tc>
        <w:tc>
          <w:tcPr>
            <w:tcW w:w="1440" w:type="dxa"/>
          </w:tcPr>
          <w:p w:rsidR="002D213E" w:rsidRPr="0048487A" w:rsidRDefault="002D213E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8,01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Europe Dow</w:t>
            </w:r>
          </w:p>
        </w:tc>
        <w:tc>
          <w:tcPr>
            <w:tcW w:w="1530" w:type="dxa"/>
          </w:tcPr>
          <w:p w:rsidR="00094789" w:rsidRPr="0048487A" w:rsidRDefault="00FD121D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1.501,4</w:t>
            </w:r>
          </w:p>
        </w:tc>
        <w:tc>
          <w:tcPr>
            <w:tcW w:w="1440" w:type="dxa"/>
          </w:tcPr>
          <w:p w:rsidR="00094789" w:rsidRPr="0048487A" w:rsidRDefault="00657163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-21,7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1.917,42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21,92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9D7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Stoxx</w:t>
            </w:r>
            <w:proofErr w:type="spellEnd"/>
            <w:r w:rsidRPr="0048487A">
              <w:rPr>
                <w:rFonts w:ascii="Arial" w:hAnsi="Arial" w:cs="Arial"/>
                <w:sz w:val="20"/>
                <w:szCs w:val="20"/>
              </w:rPr>
              <w:t xml:space="preserve"> Europe 50 (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Europre</w:t>
            </w:r>
            <w:proofErr w:type="spellEnd"/>
            <w:r w:rsidRPr="004848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:rsidR="00094789" w:rsidRPr="0048487A" w:rsidRDefault="00094789" w:rsidP="009D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2.760,06</w:t>
            </w:r>
          </w:p>
        </w:tc>
        <w:tc>
          <w:tcPr>
            <w:tcW w:w="1440" w:type="dxa"/>
          </w:tcPr>
          <w:p w:rsidR="00094789" w:rsidRPr="0048487A" w:rsidRDefault="00094789" w:rsidP="009D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-13,1</w:t>
            </w:r>
          </w:p>
        </w:tc>
        <w:tc>
          <w:tcPr>
            <w:tcW w:w="1440" w:type="dxa"/>
          </w:tcPr>
          <w:p w:rsidR="00094789" w:rsidRPr="0048487A" w:rsidRDefault="00094789" w:rsidP="009D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3.177,84</w:t>
            </w:r>
          </w:p>
        </w:tc>
        <w:tc>
          <w:tcPr>
            <w:tcW w:w="1440" w:type="dxa"/>
          </w:tcPr>
          <w:p w:rsidR="00094789" w:rsidRPr="0048487A" w:rsidRDefault="00094789" w:rsidP="009D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5,56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 xml:space="preserve">Euro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Stoxx</w:t>
            </w:r>
            <w:proofErr w:type="spellEnd"/>
            <w:r w:rsidRPr="0048487A">
              <w:rPr>
                <w:rFonts w:ascii="Arial" w:hAnsi="Arial" w:cs="Arial"/>
                <w:sz w:val="20"/>
                <w:szCs w:val="20"/>
              </w:rPr>
              <w:t xml:space="preserve"> 50 (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Khu</w:t>
            </w:r>
            <w:proofErr w:type="spellEnd"/>
            <w:r w:rsidRPr="004848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vực</w:t>
            </w:r>
            <w:proofErr w:type="spellEnd"/>
            <w:r w:rsidRPr="0048487A">
              <w:rPr>
                <w:rFonts w:ascii="Arial" w:hAnsi="Arial" w:cs="Arial"/>
                <w:sz w:val="20"/>
                <w:szCs w:val="20"/>
              </w:rPr>
              <w:t xml:space="preserve"> euro)</w:t>
            </w:r>
          </w:p>
        </w:tc>
        <w:tc>
          <w:tcPr>
            <w:tcW w:w="153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3.001,42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-14,3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3.503,96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6,49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 xml:space="preserve">FTSE 100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Luân</w:t>
            </w:r>
            <w:proofErr w:type="spellEnd"/>
            <w:r w:rsidRPr="004848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Đôn</w:t>
            </w:r>
            <w:proofErr w:type="spellEnd"/>
          </w:p>
        </w:tc>
        <w:tc>
          <w:tcPr>
            <w:tcW w:w="153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6.728,13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-12,5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7.687,77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7,63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 xml:space="preserve">CAC 40 Paris, CH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Pháp</w:t>
            </w:r>
            <w:proofErr w:type="spellEnd"/>
          </w:p>
        </w:tc>
        <w:tc>
          <w:tcPr>
            <w:tcW w:w="153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4.730,69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-11,0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5.312,56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9,26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 xml:space="preserve">DAX Frankfurt, CHLB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Đức</w:t>
            </w:r>
            <w:proofErr w:type="spellEnd"/>
          </w:p>
        </w:tc>
        <w:tc>
          <w:tcPr>
            <w:tcW w:w="153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10.558,96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-18,3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12.917,64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12,51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FTSE MIB, Italia</w:t>
            </w:r>
          </w:p>
        </w:tc>
        <w:tc>
          <w:tcPr>
            <w:tcW w:w="153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18.324,03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-16,1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21.853,34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13,61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 xml:space="preserve">IBEX 35,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Tây</w:t>
            </w:r>
            <w:proofErr w:type="spellEnd"/>
            <w:r w:rsidRPr="0048487A">
              <w:rPr>
                <w:rFonts w:ascii="Arial" w:hAnsi="Arial" w:cs="Arial"/>
                <w:sz w:val="20"/>
                <w:szCs w:val="20"/>
              </w:rPr>
              <w:t xml:space="preserve"> Ban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Nha</w:t>
            </w:r>
            <w:proofErr w:type="spellEnd"/>
          </w:p>
        </w:tc>
        <w:tc>
          <w:tcPr>
            <w:tcW w:w="153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8.539,9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-15,0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10.043,9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7,04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 xml:space="preserve">PSI 20,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Bồ</w:t>
            </w:r>
            <w:proofErr w:type="spellEnd"/>
            <w:r w:rsidRPr="004848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Đào</w:t>
            </w:r>
            <w:proofErr w:type="spellEnd"/>
            <w:r w:rsidRPr="004848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Nha</w:t>
            </w:r>
            <w:proofErr w:type="spellEnd"/>
          </w:p>
        </w:tc>
        <w:tc>
          <w:tcPr>
            <w:tcW w:w="153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4.731,47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-12,2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5.388,33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15,15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RTS, CHLB Nga</w:t>
            </w:r>
          </w:p>
        </w:tc>
        <w:tc>
          <w:tcPr>
            <w:tcW w:w="153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1.066,13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-7,6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1.154,43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-2,93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 xml:space="preserve">BIST 100,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Thổ</w:t>
            </w:r>
            <w:proofErr w:type="spellEnd"/>
            <w:r w:rsidRPr="004848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Nhĩ</w:t>
            </w:r>
            <w:proofErr w:type="spellEnd"/>
            <w:r w:rsidRPr="004848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Kỳ</w:t>
            </w:r>
            <w:proofErr w:type="spellEnd"/>
          </w:p>
        </w:tc>
        <w:tc>
          <w:tcPr>
            <w:tcW w:w="153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91.270,48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-20,9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115.333,01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47,6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ATX index, Austria</w:t>
            </w:r>
          </w:p>
        </w:tc>
        <w:tc>
          <w:tcPr>
            <w:tcW w:w="153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2.745,78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-19,7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3.420,14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30,62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Asia Dow</w:t>
            </w:r>
          </w:p>
        </w:tc>
        <w:tc>
          <w:tcPr>
            <w:tcW w:w="1530" w:type="dxa"/>
          </w:tcPr>
          <w:p w:rsidR="00094789" w:rsidRPr="0048487A" w:rsidRDefault="00BB6705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3.145</w:t>
            </w:r>
            <w:r w:rsidR="00A34CEB" w:rsidRPr="0048487A">
              <w:rPr>
                <w:rFonts w:ascii="Arial" w:hAnsi="Arial" w:cs="Arial"/>
                <w:sz w:val="20"/>
                <w:szCs w:val="20"/>
              </w:rPr>
              <w:t>,</w:t>
            </w:r>
            <w:r w:rsidRPr="0048487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40" w:type="dxa"/>
          </w:tcPr>
          <w:p w:rsidR="00094789" w:rsidRPr="0048487A" w:rsidRDefault="00BB6705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3.676,49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25,71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All ordinaries, Australia</w:t>
            </w:r>
          </w:p>
        </w:tc>
        <w:tc>
          <w:tcPr>
            <w:tcW w:w="153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5.709,4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-7,4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6.167,30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7,84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S&amp;P/ASX, Australia</w:t>
            </w:r>
          </w:p>
        </w:tc>
        <w:tc>
          <w:tcPr>
            <w:tcW w:w="153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5.646,4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-6,9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6.065,1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7,05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Nikkei 225</w:t>
            </w:r>
            <w:r w:rsidR="00A34CEB" w:rsidRPr="0048487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34CEB" w:rsidRPr="0048487A">
              <w:rPr>
                <w:rFonts w:ascii="Arial" w:hAnsi="Arial" w:cs="Arial"/>
                <w:sz w:val="20"/>
                <w:szCs w:val="20"/>
              </w:rPr>
              <w:t>Nhật</w:t>
            </w:r>
            <w:proofErr w:type="spellEnd"/>
            <w:r w:rsidR="00A34CEB" w:rsidRPr="004848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4CEB" w:rsidRPr="0048487A">
              <w:rPr>
                <w:rFonts w:ascii="Arial" w:hAnsi="Arial" w:cs="Arial"/>
                <w:sz w:val="20"/>
                <w:szCs w:val="20"/>
              </w:rPr>
              <w:t>Bản</w:t>
            </w:r>
            <w:proofErr w:type="spellEnd"/>
          </w:p>
        </w:tc>
        <w:tc>
          <w:tcPr>
            <w:tcW w:w="153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20.014,77</w:t>
            </w:r>
          </w:p>
        </w:tc>
        <w:tc>
          <w:tcPr>
            <w:tcW w:w="144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-12,1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22.764,94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19,10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Japan TOPIX</w:t>
            </w:r>
            <w:r w:rsidR="00A34CEB" w:rsidRPr="0048487A">
              <w:rPr>
                <w:rFonts w:ascii="Arial" w:hAnsi="Arial" w:cs="Arial"/>
                <w:sz w:val="20"/>
                <w:szCs w:val="20"/>
              </w:rPr>
              <w:t>, Tokyo</w:t>
            </w:r>
          </w:p>
        </w:tc>
        <w:tc>
          <w:tcPr>
            <w:tcW w:w="153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1.494,09</w:t>
            </w:r>
          </w:p>
        </w:tc>
        <w:tc>
          <w:tcPr>
            <w:tcW w:w="144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-17,8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1.817,56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19,69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Hangseng</w:t>
            </w:r>
            <w:proofErr w:type="spellEnd"/>
            <w:r w:rsidR="00A34CEB" w:rsidRPr="0048487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34CEB" w:rsidRPr="0048487A">
              <w:rPr>
                <w:rFonts w:ascii="Arial" w:hAnsi="Arial" w:cs="Arial"/>
                <w:sz w:val="20"/>
                <w:szCs w:val="20"/>
              </w:rPr>
              <w:t>Hongkong</w:t>
            </w:r>
            <w:proofErr w:type="spellEnd"/>
          </w:p>
        </w:tc>
        <w:tc>
          <w:tcPr>
            <w:tcW w:w="153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25.845,7</w:t>
            </w:r>
          </w:p>
        </w:tc>
        <w:tc>
          <w:tcPr>
            <w:tcW w:w="144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-13,6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29.919,15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35,99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Shanghai composite</w:t>
            </w:r>
          </w:p>
        </w:tc>
        <w:tc>
          <w:tcPr>
            <w:tcW w:w="153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2.493,9</w:t>
            </w:r>
          </w:p>
        </w:tc>
        <w:tc>
          <w:tcPr>
            <w:tcW w:w="144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-24,6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3.307,17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6,56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Thâm</w:t>
            </w:r>
            <w:proofErr w:type="spellEnd"/>
            <w:r w:rsidRPr="004848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Quyến</w:t>
            </w:r>
            <w:proofErr w:type="spellEnd"/>
            <w:r w:rsidRPr="0048487A">
              <w:rPr>
                <w:rFonts w:ascii="Arial" w:hAnsi="Arial" w:cs="Arial"/>
                <w:sz w:val="20"/>
                <w:szCs w:val="20"/>
              </w:rPr>
              <w:t xml:space="preserve"> composite</w:t>
            </w:r>
          </w:p>
        </w:tc>
        <w:tc>
          <w:tcPr>
            <w:tcW w:w="1530" w:type="dxa"/>
          </w:tcPr>
          <w:p w:rsidR="00094789" w:rsidRPr="0048487A" w:rsidRDefault="00BB6705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1.267,87</w:t>
            </w:r>
          </w:p>
        </w:tc>
        <w:tc>
          <w:tcPr>
            <w:tcW w:w="1440" w:type="dxa"/>
          </w:tcPr>
          <w:p w:rsidR="00094789" w:rsidRPr="0048487A" w:rsidRDefault="00BB6705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-33,25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1.899,34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-3,54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BSE Sensex</w:t>
            </w:r>
            <w:r w:rsidR="00A34CEB" w:rsidRPr="0048487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34CEB" w:rsidRPr="0048487A">
              <w:rPr>
                <w:rFonts w:ascii="Arial" w:hAnsi="Arial" w:cs="Arial"/>
                <w:sz w:val="20"/>
                <w:szCs w:val="20"/>
              </w:rPr>
              <w:t>Ấn</w:t>
            </w:r>
            <w:proofErr w:type="spellEnd"/>
            <w:r w:rsidR="00A34CEB" w:rsidRPr="004848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4CEB" w:rsidRPr="0048487A">
              <w:rPr>
                <w:rFonts w:ascii="Arial" w:hAnsi="Arial" w:cs="Arial"/>
                <w:sz w:val="20"/>
                <w:szCs w:val="20"/>
              </w:rPr>
              <w:t>Độ</w:t>
            </w:r>
            <w:proofErr w:type="spellEnd"/>
          </w:p>
        </w:tc>
        <w:tc>
          <w:tcPr>
            <w:tcW w:w="153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36.068,33</w:t>
            </w:r>
          </w:p>
        </w:tc>
        <w:tc>
          <w:tcPr>
            <w:tcW w:w="144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34.056,83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27,91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JSX Index</w:t>
            </w:r>
            <w:r w:rsidR="00A34CEB" w:rsidRPr="0048487A">
              <w:rPr>
                <w:rFonts w:ascii="Arial" w:hAnsi="Arial" w:cs="Arial"/>
                <w:sz w:val="20"/>
                <w:szCs w:val="20"/>
              </w:rPr>
              <w:t>, Indonesia</w:t>
            </w:r>
          </w:p>
        </w:tc>
        <w:tc>
          <w:tcPr>
            <w:tcW w:w="153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6.194,5</w:t>
            </w:r>
          </w:p>
        </w:tc>
        <w:tc>
          <w:tcPr>
            <w:tcW w:w="144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-2,5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6.355,65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19,99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Kopsi</w:t>
            </w:r>
            <w:proofErr w:type="spellEnd"/>
            <w:r w:rsidR="00A34CEB" w:rsidRPr="0048487A">
              <w:rPr>
                <w:rFonts w:ascii="Arial" w:hAnsi="Arial" w:cs="Arial"/>
                <w:sz w:val="20"/>
                <w:szCs w:val="20"/>
              </w:rPr>
              <w:t>,</w:t>
            </w:r>
            <w:r w:rsidRPr="004848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Hàn</w:t>
            </w:r>
            <w:proofErr w:type="spellEnd"/>
            <w:r w:rsidRPr="004848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Quốc</w:t>
            </w:r>
            <w:proofErr w:type="spellEnd"/>
          </w:p>
        </w:tc>
        <w:tc>
          <w:tcPr>
            <w:tcW w:w="153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2.041,04</w:t>
            </w:r>
          </w:p>
        </w:tc>
        <w:tc>
          <w:tcPr>
            <w:tcW w:w="144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-17,3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2.467,49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21,76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Straits Times</w:t>
            </w:r>
            <w:r w:rsidR="00A34CEB" w:rsidRPr="0048487A">
              <w:rPr>
                <w:rFonts w:ascii="Arial" w:hAnsi="Arial" w:cs="Arial"/>
                <w:sz w:val="20"/>
                <w:szCs w:val="20"/>
              </w:rPr>
              <w:t>, Singapore</w:t>
            </w:r>
          </w:p>
        </w:tc>
        <w:tc>
          <w:tcPr>
            <w:tcW w:w="153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3.068,76</w:t>
            </w:r>
          </w:p>
        </w:tc>
        <w:tc>
          <w:tcPr>
            <w:tcW w:w="144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-9,8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3.402,92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18,13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PSE Composite</w:t>
            </w:r>
            <w:r w:rsidR="00A34CEB" w:rsidRPr="0048487A">
              <w:rPr>
                <w:rFonts w:ascii="Arial" w:hAnsi="Arial" w:cs="Arial"/>
                <w:sz w:val="20"/>
                <w:szCs w:val="20"/>
              </w:rPr>
              <w:t>, Philippines</w:t>
            </w:r>
          </w:p>
        </w:tc>
        <w:tc>
          <w:tcPr>
            <w:tcW w:w="153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7.466,02</w:t>
            </w:r>
          </w:p>
        </w:tc>
        <w:tc>
          <w:tcPr>
            <w:tcW w:w="144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-12,8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8.558,42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25,11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SET</w:t>
            </w:r>
            <w:r w:rsidR="00A34CEB" w:rsidRPr="0048487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34CEB" w:rsidRPr="0048487A">
              <w:rPr>
                <w:rFonts w:ascii="Arial" w:hAnsi="Arial" w:cs="Arial"/>
                <w:sz w:val="20"/>
                <w:szCs w:val="20"/>
              </w:rPr>
              <w:t>Thái</w:t>
            </w:r>
            <w:proofErr w:type="spellEnd"/>
            <w:r w:rsidR="00A34CEB" w:rsidRPr="0048487A">
              <w:rPr>
                <w:rFonts w:ascii="Arial" w:hAnsi="Arial" w:cs="Arial"/>
                <w:sz w:val="20"/>
                <w:szCs w:val="20"/>
              </w:rPr>
              <w:t xml:space="preserve"> Lan</w:t>
            </w:r>
          </w:p>
        </w:tc>
        <w:tc>
          <w:tcPr>
            <w:tcW w:w="153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1.563,88</w:t>
            </w:r>
          </w:p>
        </w:tc>
        <w:tc>
          <w:tcPr>
            <w:tcW w:w="144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-10,8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1.753,71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13,65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A34CEB" w:rsidP="00A34C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 xml:space="preserve">FTSE/JSE, </w:t>
            </w:r>
            <w:r w:rsidR="00094789" w:rsidRPr="0048487A">
              <w:rPr>
                <w:rFonts w:ascii="Arial" w:hAnsi="Arial" w:cs="Arial"/>
                <w:sz w:val="20"/>
                <w:szCs w:val="20"/>
              </w:rPr>
              <w:t xml:space="preserve">CH Nam Phi </w:t>
            </w:r>
          </w:p>
        </w:tc>
        <w:tc>
          <w:tcPr>
            <w:tcW w:w="153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52.736,86</w:t>
            </w:r>
          </w:p>
        </w:tc>
        <w:tc>
          <w:tcPr>
            <w:tcW w:w="1440" w:type="dxa"/>
          </w:tcPr>
          <w:p w:rsidR="00094789" w:rsidRPr="0048487A" w:rsidRDefault="00A34CEB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-11,4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59.504,67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17,47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487A">
              <w:rPr>
                <w:rFonts w:ascii="Arial" w:hAnsi="Arial" w:cs="Arial"/>
                <w:sz w:val="20"/>
                <w:szCs w:val="20"/>
              </w:rPr>
              <w:t>Vn</w:t>
            </w:r>
            <w:proofErr w:type="spellEnd"/>
            <w:r w:rsidRPr="0048487A">
              <w:rPr>
                <w:rFonts w:ascii="Arial" w:hAnsi="Arial" w:cs="Arial"/>
                <w:sz w:val="20"/>
                <w:szCs w:val="20"/>
              </w:rPr>
              <w:t xml:space="preserve"> Index</w:t>
            </w:r>
          </w:p>
        </w:tc>
        <w:tc>
          <w:tcPr>
            <w:tcW w:w="1530" w:type="dxa"/>
          </w:tcPr>
          <w:p w:rsidR="00094789" w:rsidRPr="0048487A" w:rsidRDefault="00BB6705" w:rsidP="00B97FCC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892,54</w:t>
            </w:r>
          </w:p>
        </w:tc>
        <w:tc>
          <w:tcPr>
            <w:tcW w:w="1440" w:type="dxa"/>
          </w:tcPr>
          <w:p w:rsidR="00094789" w:rsidRPr="0048487A" w:rsidRDefault="00BB6705" w:rsidP="00B97FCC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8487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-9,32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984,24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48,03</w:t>
            </w:r>
          </w:p>
        </w:tc>
      </w:tr>
      <w:tr w:rsidR="00657163" w:rsidRPr="0048487A" w:rsidTr="0048487A">
        <w:trPr>
          <w:jc w:val="center"/>
        </w:trPr>
        <w:tc>
          <w:tcPr>
            <w:tcW w:w="3510" w:type="dxa"/>
          </w:tcPr>
          <w:p w:rsidR="00094789" w:rsidRPr="0048487A" w:rsidRDefault="00094789" w:rsidP="00B97FC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HNX Index</w:t>
            </w:r>
          </w:p>
        </w:tc>
        <w:tc>
          <w:tcPr>
            <w:tcW w:w="1530" w:type="dxa"/>
          </w:tcPr>
          <w:p w:rsidR="00094789" w:rsidRPr="0048487A" w:rsidRDefault="00BB6705" w:rsidP="00B97FC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8487A">
              <w:rPr>
                <w:rFonts w:ascii="Arial" w:hAnsi="Arial" w:cs="Arial"/>
                <w:sz w:val="20"/>
                <w:szCs w:val="20"/>
              </w:rPr>
              <w:t>104,23</w:t>
            </w:r>
          </w:p>
        </w:tc>
        <w:tc>
          <w:tcPr>
            <w:tcW w:w="1440" w:type="dxa"/>
          </w:tcPr>
          <w:p w:rsidR="00094789" w:rsidRPr="0048487A" w:rsidRDefault="00BB6705" w:rsidP="00B97FC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8487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-10,81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116,86</w:t>
            </w:r>
          </w:p>
        </w:tc>
        <w:tc>
          <w:tcPr>
            <w:tcW w:w="1440" w:type="dxa"/>
          </w:tcPr>
          <w:p w:rsidR="00094789" w:rsidRPr="0048487A" w:rsidRDefault="00094789" w:rsidP="00B97FC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87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45,86</w:t>
            </w:r>
          </w:p>
        </w:tc>
      </w:tr>
    </w:tbl>
    <w:p w:rsidR="00C77278" w:rsidRPr="0048487A" w:rsidRDefault="00C77278" w:rsidP="00C77278">
      <w:pPr>
        <w:pStyle w:val="ListParagraph"/>
        <w:spacing w:after="60" w:line="240" w:lineRule="auto"/>
        <w:ind w:left="360"/>
        <w:jc w:val="both"/>
        <w:rPr>
          <w:rFonts w:ascii="Arial" w:eastAsia="Times New Roman" w:hAnsi="Arial" w:cs="Arial"/>
          <w:i/>
          <w:sz w:val="16"/>
          <w:szCs w:val="16"/>
        </w:rPr>
      </w:pPr>
      <w:proofErr w:type="spellStart"/>
      <w:r w:rsidRPr="0048487A">
        <w:rPr>
          <w:rFonts w:ascii="Arial" w:eastAsia="Times New Roman" w:hAnsi="Arial" w:cs="Arial"/>
          <w:i/>
          <w:sz w:val="16"/>
          <w:szCs w:val="16"/>
        </w:rPr>
        <w:t>Nguồn</w:t>
      </w:r>
      <w:proofErr w:type="spellEnd"/>
      <w:r w:rsidRPr="0048487A">
        <w:rPr>
          <w:rFonts w:ascii="Arial" w:eastAsia="Times New Roman" w:hAnsi="Arial" w:cs="Arial"/>
          <w:i/>
          <w:sz w:val="16"/>
          <w:szCs w:val="16"/>
        </w:rPr>
        <w:t>: WS. Journal</w:t>
      </w:r>
    </w:p>
    <w:p w:rsidR="00C77278" w:rsidRPr="0048487A" w:rsidRDefault="0030405D" w:rsidP="00657163">
      <w:pPr>
        <w:pStyle w:val="ListParagraph"/>
        <w:spacing w:after="60" w:line="240" w:lineRule="auto"/>
        <w:ind w:left="360"/>
        <w:jc w:val="both"/>
        <w:rPr>
          <w:rFonts w:ascii="Arial" w:eastAsia="Times New Roman" w:hAnsi="Arial" w:cs="Arial"/>
          <w:i/>
          <w:sz w:val="16"/>
          <w:szCs w:val="16"/>
        </w:rPr>
      </w:pPr>
      <w:r w:rsidRPr="0048487A">
        <w:rPr>
          <w:rFonts w:ascii="Arial" w:eastAsia="Times New Roman" w:hAnsi="Arial" w:cs="Arial"/>
          <w:i/>
          <w:sz w:val="16"/>
          <w:szCs w:val="16"/>
        </w:rPr>
        <w:t xml:space="preserve">(*): </w:t>
      </w:r>
      <w:proofErr w:type="spellStart"/>
      <w:r w:rsidRPr="0048487A">
        <w:rPr>
          <w:rFonts w:ascii="Arial" w:eastAsia="Times New Roman" w:hAnsi="Arial" w:cs="Arial"/>
          <w:i/>
          <w:sz w:val="16"/>
          <w:szCs w:val="16"/>
        </w:rPr>
        <w:t>Tăng</w:t>
      </w:r>
      <w:proofErr w:type="spellEnd"/>
      <w:r w:rsidRPr="0048487A">
        <w:rPr>
          <w:rFonts w:ascii="Arial" w:eastAsia="Times New Roman" w:hAnsi="Arial" w:cs="Arial"/>
          <w:i/>
          <w:sz w:val="16"/>
          <w:szCs w:val="16"/>
        </w:rPr>
        <w:t xml:space="preserve">, </w:t>
      </w:r>
      <w:proofErr w:type="spellStart"/>
      <w:r w:rsidRPr="0048487A">
        <w:rPr>
          <w:rFonts w:ascii="Arial" w:eastAsia="Times New Roman" w:hAnsi="Arial" w:cs="Arial"/>
          <w:i/>
          <w:sz w:val="16"/>
          <w:szCs w:val="16"/>
        </w:rPr>
        <w:t>giảm</w:t>
      </w:r>
      <w:proofErr w:type="spellEnd"/>
      <w:r w:rsidRPr="0048487A">
        <w:rPr>
          <w:rFonts w:ascii="Arial" w:eastAsia="Times New Roman" w:hAnsi="Arial" w:cs="Arial"/>
          <w:i/>
          <w:sz w:val="16"/>
          <w:szCs w:val="16"/>
        </w:rPr>
        <w:t xml:space="preserve"> so </w:t>
      </w:r>
      <w:proofErr w:type="spellStart"/>
      <w:r w:rsidRPr="0048487A">
        <w:rPr>
          <w:rFonts w:ascii="Arial" w:eastAsia="Times New Roman" w:hAnsi="Arial" w:cs="Arial"/>
          <w:i/>
          <w:sz w:val="16"/>
          <w:szCs w:val="16"/>
        </w:rPr>
        <w:t>với</w:t>
      </w:r>
      <w:proofErr w:type="spellEnd"/>
      <w:r w:rsidRPr="0048487A">
        <w:rPr>
          <w:rFonts w:ascii="Arial" w:eastAsia="Times New Roman" w:hAnsi="Arial" w:cs="Arial"/>
          <w:i/>
          <w:sz w:val="16"/>
          <w:szCs w:val="16"/>
        </w:rPr>
        <w:t xml:space="preserve"> </w:t>
      </w:r>
      <w:proofErr w:type="spellStart"/>
      <w:r w:rsidRPr="0048487A">
        <w:rPr>
          <w:rFonts w:ascii="Arial" w:eastAsia="Times New Roman" w:hAnsi="Arial" w:cs="Arial"/>
          <w:i/>
          <w:sz w:val="16"/>
          <w:szCs w:val="16"/>
        </w:rPr>
        <w:t>năm</w:t>
      </w:r>
      <w:proofErr w:type="spellEnd"/>
      <w:r w:rsidRPr="0048487A">
        <w:rPr>
          <w:rFonts w:ascii="Arial" w:eastAsia="Times New Roman" w:hAnsi="Arial" w:cs="Arial"/>
          <w:i/>
          <w:sz w:val="16"/>
          <w:szCs w:val="16"/>
        </w:rPr>
        <w:t xml:space="preserve"> </w:t>
      </w:r>
      <w:proofErr w:type="spellStart"/>
      <w:r w:rsidRPr="0048487A">
        <w:rPr>
          <w:rFonts w:ascii="Arial" w:eastAsia="Times New Roman" w:hAnsi="Arial" w:cs="Arial"/>
          <w:i/>
          <w:sz w:val="16"/>
          <w:szCs w:val="16"/>
        </w:rPr>
        <w:t>trước</w:t>
      </w:r>
      <w:proofErr w:type="spellEnd"/>
      <w:r w:rsidRPr="0048487A">
        <w:rPr>
          <w:rFonts w:ascii="Arial" w:eastAsia="Times New Roman" w:hAnsi="Arial" w:cs="Arial"/>
          <w:i/>
          <w:sz w:val="16"/>
          <w:szCs w:val="16"/>
        </w:rPr>
        <w:t xml:space="preserve"> (%).</w:t>
      </w:r>
    </w:p>
    <w:p w:rsidR="00D90614" w:rsidRPr="0048487A" w:rsidRDefault="006A1784" w:rsidP="006A1784">
      <w:pPr>
        <w:pStyle w:val="NormalWeb"/>
        <w:spacing w:before="0" w:beforeAutospacing="0" w:after="6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Trên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thị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trường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chứng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khoán</w:t>
      </w:r>
      <w:proofErr w:type="spellEnd"/>
      <w:r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5B26E1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Phố</w:t>
      </w:r>
      <w:proofErr w:type="spellEnd"/>
      <w:r w:rsidR="005B26E1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Wall</w:t>
      </w:r>
      <w:r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8487A">
        <w:rPr>
          <w:rFonts w:ascii="Arial" w:hAnsi="Arial" w:cs="Arial"/>
          <w:sz w:val="20"/>
          <w:szCs w:val="20"/>
        </w:rPr>
        <w:t>chỉ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số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công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nghiệp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Dow Jones </w:t>
      </w:r>
      <w:proofErr w:type="spellStart"/>
      <w:r w:rsidRPr="0048487A">
        <w:rPr>
          <w:rFonts w:ascii="Arial" w:hAnsi="Arial" w:cs="Arial"/>
          <w:sz w:val="20"/>
          <w:szCs w:val="20"/>
        </w:rPr>
        <w:t>đóng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cửa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Pr="0048487A">
        <w:rPr>
          <w:rFonts w:ascii="Arial" w:hAnsi="Arial" w:cs="Arial"/>
          <w:sz w:val="20"/>
          <w:szCs w:val="20"/>
        </w:rPr>
        <w:t>mức</w:t>
      </w:r>
      <w:proofErr w:type="spellEnd"/>
      <w:r w:rsidR="00657163" w:rsidRPr="0048487A">
        <w:rPr>
          <w:rFonts w:ascii="Arial" w:hAnsi="Arial" w:cs="Arial"/>
          <w:sz w:val="20"/>
          <w:szCs w:val="20"/>
        </w:rPr>
        <w:t xml:space="preserve"> </w:t>
      </w:r>
      <w:r w:rsidRPr="0048487A">
        <w:rPr>
          <w:rFonts w:ascii="Arial" w:hAnsi="Arial" w:cs="Arial"/>
          <w:sz w:val="20"/>
          <w:szCs w:val="20"/>
        </w:rPr>
        <w:t xml:space="preserve">23.327,46 </w:t>
      </w:r>
      <w:proofErr w:type="spellStart"/>
      <w:r w:rsidRPr="0048487A">
        <w:rPr>
          <w:rFonts w:ascii="Arial" w:hAnsi="Arial" w:cs="Arial"/>
          <w:sz w:val="20"/>
          <w:szCs w:val="20"/>
        </w:rPr>
        <w:t>điểm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8487A">
        <w:rPr>
          <w:rFonts w:ascii="Arial" w:hAnsi="Arial" w:cs="Arial"/>
          <w:sz w:val="20"/>
          <w:szCs w:val="20"/>
        </w:rPr>
        <w:t>giảm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5,6% so </w:t>
      </w:r>
      <w:proofErr w:type="spellStart"/>
      <w:r w:rsidRPr="0048487A">
        <w:rPr>
          <w:rFonts w:ascii="Arial" w:hAnsi="Arial" w:cs="Arial"/>
          <w:sz w:val="20"/>
          <w:szCs w:val="20"/>
        </w:rPr>
        <w:t>với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đầu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năm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48487A">
        <w:rPr>
          <w:rFonts w:ascii="Arial" w:hAnsi="Arial" w:cs="Arial"/>
          <w:sz w:val="20"/>
          <w:szCs w:val="20"/>
        </w:rPr>
        <w:t>chỉ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số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công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nghệ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Nasdaq Composite </w:t>
      </w:r>
      <w:proofErr w:type="spellStart"/>
      <w:r w:rsidRPr="0048487A">
        <w:rPr>
          <w:rFonts w:ascii="Arial" w:hAnsi="Arial" w:cs="Arial"/>
          <w:sz w:val="20"/>
          <w:szCs w:val="20"/>
        </w:rPr>
        <w:t>đóng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cửa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Pr="0048487A">
        <w:rPr>
          <w:rFonts w:ascii="Arial" w:hAnsi="Arial" w:cs="Arial"/>
          <w:sz w:val="20"/>
          <w:szCs w:val="20"/>
        </w:rPr>
        <w:t>mức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6.635,28 </w:t>
      </w:r>
      <w:proofErr w:type="spellStart"/>
      <w:r w:rsidRPr="0048487A">
        <w:rPr>
          <w:rFonts w:ascii="Arial" w:hAnsi="Arial" w:cs="Arial"/>
          <w:sz w:val="20"/>
          <w:szCs w:val="20"/>
        </w:rPr>
        <w:t>điểm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8487A">
        <w:rPr>
          <w:rFonts w:ascii="Arial" w:hAnsi="Arial" w:cs="Arial"/>
          <w:sz w:val="20"/>
          <w:szCs w:val="20"/>
        </w:rPr>
        <w:t>giảm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3,9%; </w:t>
      </w:r>
      <w:proofErr w:type="spellStart"/>
      <w:r w:rsidRPr="0048487A">
        <w:rPr>
          <w:rFonts w:ascii="Arial" w:hAnsi="Arial" w:cs="Arial"/>
          <w:sz w:val="20"/>
          <w:szCs w:val="20"/>
        </w:rPr>
        <w:t>chỉ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số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S&amp;P 500 </w:t>
      </w:r>
      <w:proofErr w:type="spellStart"/>
      <w:r w:rsidRPr="0048487A">
        <w:rPr>
          <w:rFonts w:ascii="Arial" w:hAnsi="Arial" w:cs="Arial"/>
          <w:sz w:val="20"/>
          <w:szCs w:val="20"/>
        </w:rPr>
        <w:t>đóng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cửa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Pr="0048487A">
        <w:rPr>
          <w:rFonts w:ascii="Arial" w:hAnsi="Arial" w:cs="Arial"/>
          <w:sz w:val="20"/>
          <w:szCs w:val="20"/>
        </w:rPr>
        <w:t>mức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2.506,85 </w:t>
      </w:r>
      <w:proofErr w:type="spellStart"/>
      <w:r w:rsidRPr="0048487A">
        <w:rPr>
          <w:rFonts w:ascii="Arial" w:hAnsi="Arial" w:cs="Arial"/>
          <w:sz w:val="20"/>
          <w:szCs w:val="20"/>
        </w:rPr>
        <w:t>điểm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8487A">
        <w:rPr>
          <w:rFonts w:ascii="Arial" w:hAnsi="Arial" w:cs="Arial"/>
          <w:sz w:val="20"/>
          <w:szCs w:val="20"/>
        </w:rPr>
        <w:t>giảm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6,2%</w:t>
      </w:r>
      <w:r w:rsidR="00D90614" w:rsidRPr="0048487A">
        <w:rPr>
          <w:rFonts w:ascii="Arial" w:hAnsi="Arial" w:cs="Arial"/>
          <w:sz w:val="20"/>
          <w:szCs w:val="20"/>
        </w:rPr>
        <w:t>.</w:t>
      </w:r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7163" w:rsidRPr="0048487A">
        <w:rPr>
          <w:rFonts w:ascii="Arial" w:hAnsi="Arial" w:cs="Arial"/>
          <w:sz w:val="20"/>
          <w:szCs w:val="20"/>
        </w:rPr>
        <w:t>Kể</w:t>
      </w:r>
      <w:proofErr w:type="spellEnd"/>
      <w:r w:rsidR="0065716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7163" w:rsidRPr="0048487A">
        <w:rPr>
          <w:rFonts w:ascii="Arial" w:hAnsi="Arial" w:cs="Arial"/>
          <w:sz w:val="20"/>
          <w:szCs w:val="20"/>
        </w:rPr>
        <w:t>từ</w:t>
      </w:r>
      <w:proofErr w:type="spellEnd"/>
      <w:r w:rsidR="0065716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7163" w:rsidRPr="0048487A">
        <w:rPr>
          <w:rFonts w:ascii="Arial" w:hAnsi="Arial" w:cs="Arial"/>
          <w:sz w:val="20"/>
          <w:szCs w:val="20"/>
        </w:rPr>
        <w:t>năm</w:t>
      </w:r>
      <w:proofErr w:type="spellEnd"/>
      <w:r w:rsidR="00657163" w:rsidRPr="0048487A">
        <w:rPr>
          <w:rFonts w:ascii="Arial" w:hAnsi="Arial" w:cs="Arial"/>
          <w:sz w:val="20"/>
          <w:szCs w:val="20"/>
        </w:rPr>
        <w:t xml:space="preserve"> 2008, </w:t>
      </w:r>
      <w:proofErr w:type="spellStart"/>
      <w:r w:rsidR="00657163" w:rsidRPr="0048487A">
        <w:rPr>
          <w:rFonts w:ascii="Arial" w:hAnsi="Arial" w:cs="Arial"/>
          <w:sz w:val="20"/>
          <w:szCs w:val="20"/>
        </w:rPr>
        <w:t>đ</w:t>
      </w:r>
      <w:r w:rsidRPr="0048487A">
        <w:rPr>
          <w:rFonts w:ascii="Arial" w:hAnsi="Arial" w:cs="Arial"/>
          <w:sz w:val="20"/>
          <w:szCs w:val="20"/>
        </w:rPr>
        <w:t>ây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là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mức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suy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giảm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sâu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nhất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của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ba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chỉ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số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chứng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khoán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chủ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chốt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7163" w:rsidRPr="0048487A">
        <w:rPr>
          <w:rFonts w:ascii="Arial" w:hAnsi="Arial" w:cs="Arial"/>
          <w:sz w:val="20"/>
          <w:szCs w:val="20"/>
        </w:rPr>
        <w:t>này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với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mức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giảm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tương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ứng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38</w:t>
      </w:r>
      <w:proofErr w:type="gramStart"/>
      <w:r w:rsidRPr="0048487A">
        <w:rPr>
          <w:rFonts w:ascii="Arial" w:hAnsi="Arial" w:cs="Arial"/>
          <w:sz w:val="20"/>
          <w:szCs w:val="20"/>
        </w:rPr>
        <w:t>,5</w:t>
      </w:r>
      <w:proofErr w:type="gramEnd"/>
      <w:r w:rsidRPr="0048487A">
        <w:rPr>
          <w:rFonts w:ascii="Arial" w:hAnsi="Arial" w:cs="Arial"/>
          <w:sz w:val="20"/>
          <w:szCs w:val="20"/>
        </w:rPr>
        <w:t xml:space="preserve">%; 33,8%; </w:t>
      </w:r>
      <w:proofErr w:type="spellStart"/>
      <w:r w:rsidRPr="0048487A">
        <w:rPr>
          <w:rFonts w:ascii="Arial" w:hAnsi="Arial" w:cs="Arial"/>
          <w:sz w:val="20"/>
          <w:szCs w:val="20"/>
        </w:rPr>
        <w:t>và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40%.</w:t>
      </w:r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Năm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r w:rsidR="00D90614" w:rsidRPr="0048487A">
        <w:rPr>
          <w:rFonts w:ascii="Arial" w:hAnsi="Arial" w:cs="Arial"/>
          <w:sz w:val="20"/>
          <w:szCs w:val="20"/>
        </w:rPr>
        <w:lastRenderedPageBreak/>
        <w:t xml:space="preserve">2018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cũng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chứng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kiến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chuỗi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ngày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giảm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điểm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triền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miên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của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chỉ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số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S&amp;P 500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kể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từ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năm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1948,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và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của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chỉ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số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Dow Jones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kể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từ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năm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1978.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Chỉ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số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Nasdag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cũng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ghi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nhận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lần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thứ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hai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trong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lịch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sử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kể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từ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năm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1978,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khi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đà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giảm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của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chỉ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số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chứng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khoán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này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trong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những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tháng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cuối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năm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đã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xóa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sạch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kết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quả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tăng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điểm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từ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đầu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năm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cho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đến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614" w:rsidRPr="0048487A">
        <w:rPr>
          <w:rFonts w:ascii="Arial" w:hAnsi="Arial" w:cs="Arial"/>
          <w:sz w:val="20"/>
          <w:szCs w:val="20"/>
        </w:rPr>
        <w:t>tháng</w:t>
      </w:r>
      <w:proofErr w:type="spellEnd"/>
      <w:r w:rsidR="00D90614" w:rsidRPr="0048487A">
        <w:rPr>
          <w:rFonts w:ascii="Arial" w:hAnsi="Arial" w:cs="Arial"/>
          <w:sz w:val="20"/>
          <w:szCs w:val="20"/>
        </w:rPr>
        <w:t xml:space="preserve"> 9/2018.</w:t>
      </w:r>
    </w:p>
    <w:p w:rsidR="00875F25" w:rsidRPr="0048487A" w:rsidRDefault="00657163" w:rsidP="0048487A">
      <w:pPr>
        <w:pStyle w:val="NormalWeb"/>
        <w:spacing w:before="0" w:beforeAutospacing="0" w:after="6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48487A">
        <w:rPr>
          <w:rFonts w:ascii="Arial" w:hAnsi="Arial" w:cs="Arial"/>
          <w:sz w:val="20"/>
          <w:szCs w:val="20"/>
        </w:rPr>
        <w:t>Trong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năm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2018, </w:t>
      </w:r>
      <w:proofErr w:type="spellStart"/>
      <w:r w:rsidRPr="0048487A">
        <w:rPr>
          <w:rFonts w:ascii="Arial" w:hAnsi="Arial" w:cs="Arial"/>
          <w:sz w:val="20"/>
          <w:szCs w:val="20"/>
        </w:rPr>
        <w:t>các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nhà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đầu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tư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chứng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khoán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Mỹ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phải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đối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mặt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với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nhiều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khó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khăn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từ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cuộc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chiến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thương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mại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Mỹ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Trung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mặt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bằng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lãi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suất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tăng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nhanh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tín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h</w:t>
      </w:r>
      <w:r w:rsidRPr="0048487A">
        <w:rPr>
          <w:rFonts w:ascii="Arial" w:hAnsi="Arial" w:cs="Arial"/>
          <w:sz w:val="20"/>
          <w:szCs w:val="20"/>
        </w:rPr>
        <w:t>iệu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suy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giảm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tăng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trưởng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GDP</w:t>
      </w:r>
      <w:r w:rsidR="00C26DCD"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bấp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bênh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chính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trị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tại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Washington,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khả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năng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suy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giảm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tốc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độ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tăng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trưởng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lợi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nhuận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của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các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doanh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nghiệp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niêm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yết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Ngoài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ra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giới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đầu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tư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cũng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thận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trọng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khi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tình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trạng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đóng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cửa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một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phần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Chính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phủ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Mỹ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đã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bước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sang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ngày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6DCD" w:rsidRPr="0048487A">
        <w:rPr>
          <w:rFonts w:ascii="Arial" w:hAnsi="Arial" w:cs="Arial"/>
          <w:sz w:val="20"/>
          <w:szCs w:val="20"/>
        </w:rPr>
        <w:t>thứ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 xml:space="preserve"> 10</w:t>
      </w:r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liên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tiếp</w:t>
      </w:r>
      <w:proofErr w:type="spellEnd"/>
      <w:r w:rsidR="00C26DCD" w:rsidRPr="0048487A">
        <w:rPr>
          <w:rFonts w:ascii="Arial" w:hAnsi="Arial" w:cs="Arial"/>
          <w:sz w:val="20"/>
          <w:szCs w:val="20"/>
        </w:rPr>
        <w:t>.</w:t>
      </w:r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Lợi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suất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trái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phiếu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chính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phủ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Mỹ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kỳ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hạn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10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năm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giảm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xuống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2,686%,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mức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thấp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nhất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kể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từ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ngày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26/01/2018</w:t>
      </w:r>
      <w:r w:rsidRPr="0048487A">
        <w:rPr>
          <w:rFonts w:ascii="Arial" w:hAnsi="Arial" w:cs="Arial"/>
          <w:sz w:val="20"/>
          <w:szCs w:val="20"/>
        </w:rPr>
        <w:t>;</w:t>
      </w:r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lợi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suất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trái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phiếu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kỳ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hạn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2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năm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giảm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xuống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2,496%,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mức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thấp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nhất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kể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từ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F25" w:rsidRPr="0048487A">
        <w:rPr>
          <w:rFonts w:ascii="Arial" w:hAnsi="Arial" w:cs="Arial"/>
          <w:sz w:val="20"/>
          <w:szCs w:val="20"/>
        </w:rPr>
        <w:t>ngày</w:t>
      </w:r>
      <w:proofErr w:type="spellEnd"/>
      <w:r w:rsidR="00875F25" w:rsidRPr="0048487A">
        <w:rPr>
          <w:rFonts w:ascii="Arial" w:hAnsi="Arial" w:cs="Arial"/>
          <w:sz w:val="20"/>
          <w:szCs w:val="20"/>
        </w:rPr>
        <w:t xml:space="preserve"> 08/6/2018</w:t>
      </w:r>
      <w:r w:rsidRPr="0048487A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48487A">
        <w:rPr>
          <w:rFonts w:ascii="Arial" w:hAnsi="Arial" w:cs="Arial"/>
          <w:sz w:val="20"/>
          <w:szCs w:val="20"/>
        </w:rPr>
        <w:t>g</w:t>
      </w:r>
      <w:r w:rsidR="00B319C3" w:rsidRPr="0048487A">
        <w:rPr>
          <w:rFonts w:ascii="Arial" w:hAnsi="Arial" w:cs="Arial"/>
          <w:sz w:val="20"/>
          <w:szCs w:val="20"/>
        </w:rPr>
        <w:t>iá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dầu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WTI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đóng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cửa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mức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45</w:t>
      </w:r>
      <w:proofErr w:type="gramStart"/>
      <w:r w:rsidR="00B319C3" w:rsidRPr="0048487A">
        <w:rPr>
          <w:rFonts w:ascii="Arial" w:hAnsi="Arial" w:cs="Arial"/>
          <w:sz w:val="20"/>
          <w:szCs w:val="20"/>
        </w:rPr>
        <w:t>,41</w:t>
      </w:r>
      <w:proofErr w:type="gramEnd"/>
      <w:r w:rsidR="00B319C3" w:rsidRPr="0048487A">
        <w:rPr>
          <w:rFonts w:ascii="Arial" w:hAnsi="Arial" w:cs="Arial"/>
          <w:sz w:val="20"/>
          <w:szCs w:val="20"/>
        </w:rPr>
        <w:t xml:space="preserve"> USD/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thùng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giảm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24,8% so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với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đầu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năm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dầu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thô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Brent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đóng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cửa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mức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53,80 USD/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thùng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giảm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19,5%. Sau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chuỗi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ngày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giảm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giá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kéo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dài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giá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vàng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thế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giới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phục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hồi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trở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lại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và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đóng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cửa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năm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mức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giá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1.281,41 USD/oz.</w:t>
      </w:r>
      <w:r w:rsidR="00B319C3" w:rsidRPr="0048487A">
        <w:rPr>
          <w:rFonts w:ascii="Arial" w:hAnsi="Arial" w:cs="Arial"/>
          <w:sz w:val="20"/>
          <w:szCs w:val="20"/>
        </w:rPr>
        <w:t xml:space="preserve"> </w:t>
      </w:r>
    </w:p>
    <w:p w:rsidR="00C26DCD" w:rsidRPr="0048487A" w:rsidRDefault="00875F25" w:rsidP="0048487A">
      <w:pPr>
        <w:pStyle w:val="NormalWeb"/>
        <w:spacing w:before="0" w:beforeAutospacing="0" w:after="6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48487A">
        <w:rPr>
          <w:rFonts w:ascii="Arial" w:hAnsi="Arial" w:cs="Arial"/>
          <w:sz w:val="20"/>
          <w:szCs w:val="20"/>
        </w:rPr>
        <w:t>Tại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châu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Âu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8487A">
        <w:rPr>
          <w:rFonts w:ascii="Arial" w:hAnsi="Arial" w:cs="Arial"/>
          <w:sz w:val="20"/>
          <w:szCs w:val="20"/>
        </w:rPr>
        <w:t>thị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trường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chứng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khoán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suy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giảm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khá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sâu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48487A">
        <w:rPr>
          <w:rFonts w:ascii="Arial" w:hAnsi="Arial" w:cs="Arial"/>
          <w:sz w:val="20"/>
          <w:szCs w:val="20"/>
        </w:rPr>
        <w:t>những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lo </w:t>
      </w:r>
      <w:proofErr w:type="spellStart"/>
      <w:r w:rsidRPr="0048487A">
        <w:rPr>
          <w:rFonts w:ascii="Arial" w:hAnsi="Arial" w:cs="Arial"/>
          <w:sz w:val="20"/>
          <w:szCs w:val="20"/>
        </w:rPr>
        <w:t>ngại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xung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quanh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sự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kiện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Brexit, </w:t>
      </w:r>
      <w:proofErr w:type="spellStart"/>
      <w:r w:rsidRPr="0048487A">
        <w:rPr>
          <w:rFonts w:ascii="Arial" w:hAnsi="Arial" w:cs="Arial"/>
          <w:sz w:val="20"/>
          <w:szCs w:val="20"/>
        </w:rPr>
        <w:t>kinh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tế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giảm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tốc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8487A">
        <w:rPr>
          <w:rFonts w:ascii="Arial" w:hAnsi="Arial" w:cs="Arial"/>
          <w:sz w:val="20"/>
          <w:szCs w:val="20"/>
        </w:rPr>
        <w:t>căng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thẳng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tài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khóa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tại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Italia</w:t>
      </w:r>
      <w:r w:rsidR="00B319C3"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34CEB" w:rsidRPr="0048487A">
        <w:rPr>
          <w:rFonts w:ascii="Arial" w:hAnsi="Arial" w:cs="Arial"/>
          <w:sz w:val="20"/>
          <w:szCs w:val="20"/>
        </w:rPr>
        <w:t>rối</w:t>
      </w:r>
      <w:proofErr w:type="spellEnd"/>
      <w:r w:rsidR="00A34CE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CEB" w:rsidRPr="0048487A">
        <w:rPr>
          <w:rFonts w:ascii="Arial" w:hAnsi="Arial" w:cs="Arial"/>
          <w:sz w:val="20"/>
          <w:szCs w:val="20"/>
        </w:rPr>
        <w:t>loạn</w:t>
      </w:r>
      <w:proofErr w:type="spellEnd"/>
      <w:r w:rsidR="00A34CE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CEB" w:rsidRPr="0048487A">
        <w:rPr>
          <w:rFonts w:ascii="Arial" w:hAnsi="Arial" w:cs="Arial"/>
          <w:sz w:val="20"/>
          <w:szCs w:val="20"/>
        </w:rPr>
        <w:t>chính</w:t>
      </w:r>
      <w:proofErr w:type="spellEnd"/>
      <w:r w:rsidR="00A34CE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CEB" w:rsidRPr="0048487A">
        <w:rPr>
          <w:rFonts w:ascii="Arial" w:hAnsi="Arial" w:cs="Arial"/>
          <w:sz w:val="20"/>
          <w:szCs w:val="20"/>
        </w:rPr>
        <w:t>trị</w:t>
      </w:r>
      <w:proofErr w:type="spellEnd"/>
      <w:r w:rsidR="00A34CE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CEB" w:rsidRPr="0048487A">
        <w:rPr>
          <w:rFonts w:ascii="Arial" w:hAnsi="Arial" w:cs="Arial"/>
          <w:sz w:val="20"/>
          <w:szCs w:val="20"/>
        </w:rPr>
        <w:t>tại</w:t>
      </w:r>
      <w:proofErr w:type="spellEnd"/>
      <w:r w:rsidR="00A34CEB" w:rsidRPr="0048487A">
        <w:rPr>
          <w:rFonts w:ascii="Arial" w:hAnsi="Arial" w:cs="Arial"/>
          <w:sz w:val="20"/>
          <w:szCs w:val="20"/>
        </w:rPr>
        <w:t xml:space="preserve"> CH </w:t>
      </w:r>
      <w:proofErr w:type="spellStart"/>
      <w:r w:rsidR="00A34CEB" w:rsidRPr="0048487A">
        <w:rPr>
          <w:rFonts w:ascii="Arial" w:hAnsi="Arial" w:cs="Arial"/>
          <w:sz w:val="20"/>
          <w:szCs w:val="20"/>
        </w:rPr>
        <w:t>Pháp</w:t>
      </w:r>
      <w:proofErr w:type="spellEnd"/>
      <w:r w:rsidR="00A34CEB" w:rsidRPr="0048487A">
        <w:rPr>
          <w:rFonts w:ascii="Arial" w:hAnsi="Arial" w:cs="Arial"/>
          <w:sz w:val="20"/>
          <w:szCs w:val="20"/>
        </w:rPr>
        <w:t xml:space="preserve">, </w:t>
      </w:r>
      <w:r w:rsidR="00B319C3" w:rsidRPr="0048487A">
        <w:rPr>
          <w:rFonts w:ascii="Arial" w:hAnsi="Arial" w:cs="Arial"/>
          <w:sz w:val="20"/>
          <w:szCs w:val="20"/>
        </w:rPr>
        <w:t xml:space="preserve">v.v.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Tính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từ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đầu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năm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2018</w:t>
      </w:r>
      <w:r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đồng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tiền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chung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euro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giảm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gần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5,0% so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với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USD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xuống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tỷ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giá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1,1459 USD. </w:t>
      </w:r>
    </w:p>
    <w:p w:rsidR="00064C23" w:rsidRPr="0048487A" w:rsidRDefault="00875F25" w:rsidP="0048487A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48487A">
        <w:rPr>
          <w:rFonts w:ascii="Arial" w:hAnsi="Arial" w:cs="Arial"/>
          <w:sz w:val="20"/>
          <w:szCs w:val="20"/>
        </w:rPr>
        <w:t>Tại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châu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Á, </w:t>
      </w:r>
      <w:proofErr w:type="spellStart"/>
      <w:r w:rsidRPr="0048487A">
        <w:rPr>
          <w:rFonts w:ascii="Arial" w:hAnsi="Arial" w:cs="Arial"/>
          <w:sz w:val="20"/>
          <w:szCs w:val="20"/>
        </w:rPr>
        <w:t>chỉ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số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r w:rsidR="00B319C3" w:rsidRPr="0048487A">
        <w:rPr>
          <w:rFonts w:ascii="Arial" w:hAnsi="Arial" w:cs="Arial"/>
          <w:sz w:val="20"/>
          <w:szCs w:val="20"/>
        </w:rPr>
        <w:t xml:space="preserve">MSCI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châu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Á -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Thái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Bình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Dương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không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kể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Nhật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Bản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giảm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16,0%,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vượt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xa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mức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suy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giảm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11,1% </w:t>
      </w:r>
      <w:proofErr w:type="spellStart"/>
      <w:r w:rsidR="00B319C3" w:rsidRPr="0048487A">
        <w:rPr>
          <w:rFonts w:ascii="Arial" w:hAnsi="Arial" w:cs="Arial"/>
          <w:sz w:val="20"/>
          <w:szCs w:val="20"/>
        </w:rPr>
        <w:t>của</w:t>
      </w:r>
      <w:proofErr w:type="spellEnd"/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9C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chỉ</w:t>
      </w:r>
      <w:proofErr w:type="spellEnd"/>
      <w:r w:rsidR="00B319C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B319C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số</w:t>
      </w:r>
      <w:proofErr w:type="spellEnd"/>
      <w:r w:rsidR="00B319C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MSCI </w:t>
      </w:r>
      <w:proofErr w:type="spellStart"/>
      <w:r w:rsidR="00B319C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toàn</w:t>
      </w:r>
      <w:proofErr w:type="spellEnd"/>
      <w:r w:rsidR="00B319C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B319C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cầu</w:t>
      </w:r>
      <w:proofErr w:type="spellEnd"/>
      <w:r w:rsidR="00B319C3" w:rsidRPr="0048487A">
        <w:rPr>
          <w:rFonts w:ascii="Arial" w:hAnsi="Arial" w:cs="Arial"/>
          <w:bCs/>
          <w:sz w:val="20"/>
          <w:szCs w:val="20"/>
          <w:bdr w:val="none" w:sz="0" w:space="0" w:color="auto" w:frame="1"/>
        </w:rPr>
        <w:t>.</w:t>
      </w:r>
      <w:r w:rsidR="00B319C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Trong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đó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thị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trường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chứng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khoán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Trung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Quố</w:t>
      </w:r>
      <w:r w:rsidR="0030405D" w:rsidRPr="0048487A">
        <w:rPr>
          <w:rFonts w:ascii="Arial" w:hAnsi="Arial" w:cs="Arial"/>
          <w:sz w:val="20"/>
          <w:szCs w:val="20"/>
        </w:rPr>
        <w:t>c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ghi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nhận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mức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suy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giảm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CEB" w:rsidRPr="0048487A">
        <w:rPr>
          <w:rFonts w:ascii="Arial" w:hAnsi="Arial" w:cs="Arial"/>
          <w:sz w:val="20"/>
          <w:szCs w:val="20"/>
        </w:rPr>
        <w:t>khá</w:t>
      </w:r>
      <w:proofErr w:type="spellEnd"/>
      <w:r w:rsidR="00A34CE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CEB" w:rsidRPr="0048487A">
        <w:rPr>
          <w:rFonts w:ascii="Arial" w:hAnsi="Arial" w:cs="Arial"/>
          <w:sz w:val="20"/>
          <w:szCs w:val="20"/>
        </w:rPr>
        <w:t>sâu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r w:rsidR="0030405D" w:rsidRPr="0048487A">
        <w:rPr>
          <w:rFonts w:ascii="Arial" w:hAnsi="Arial" w:cs="Arial"/>
          <w:sz w:val="20"/>
          <w:szCs w:val="20"/>
        </w:rPr>
        <w:t xml:space="preserve">so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với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hầu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hết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các</w:t>
      </w:r>
      <w:proofErr w:type="spellEnd"/>
      <w:r w:rsidR="00A34CE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CEB" w:rsidRPr="0048487A">
        <w:rPr>
          <w:rFonts w:ascii="Arial" w:hAnsi="Arial" w:cs="Arial"/>
          <w:sz w:val="20"/>
          <w:szCs w:val="20"/>
        </w:rPr>
        <w:t>thị</w:t>
      </w:r>
      <w:proofErr w:type="spellEnd"/>
      <w:r w:rsidR="00A34CE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CEB" w:rsidRPr="0048487A">
        <w:rPr>
          <w:rFonts w:ascii="Arial" w:hAnsi="Arial" w:cs="Arial"/>
          <w:sz w:val="20"/>
          <w:szCs w:val="20"/>
        </w:rPr>
        <w:t>trường</w:t>
      </w:r>
      <w:proofErr w:type="spellEnd"/>
      <w:r w:rsidR="00A34CE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CEB" w:rsidRPr="0048487A">
        <w:rPr>
          <w:rFonts w:ascii="Arial" w:hAnsi="Arial" w:cs="Arial"/>
          <w:sz w:val="20"/>
          <w:szCs w:val="20"/>
        </w:rPr>
        <w:t>chứng</w:t>
      </w:r>
      <w:proofErr w:type="spellEnd"/>
      <w:r w:rsidR="00A34CE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CEB" w:rsidRPr="0048487A">
        <w:rPr>
          <w:rFonts w:ascii="Arial" w:hAnsi="Arial" w:cs="Arial"/>
          <w:sz w:val="20"/>
          <w:szCs w:val="20"/>
        </w:rPr>
        <w:t>khoán</w:t>
      </w:r>
      <w:proofErr w:type="spellEnd"/>
      <w:r w:rsidR="00A34CE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CEB" w:rsidRPr="0048487A">
        <w:rPr>
          <w:rFonts w:ascii="Arial" w:hAnsi="Arial" w:cs="Arial"/>
          <w:sz w:val="20"/>
          <w:szCs w:val="20"/>
        </w:rPr>
        <w:t>thế</w:t>
      </w:r>
      <w:proofErr w:type="spellEnd"/>
      <w:r w:rsidR="00A34CE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CEB" w:rsidRPr="0048487A">
        <w:rPr>
          <w:rFonts w:ascii="Arial" w:hAnsi="Arial" w:cs="Arial"/>
          <w:sz w:val="20"/>
          <w:szCs w:val="20"/>
        </w:rPr>
        <w:t>giới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khi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chỉ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số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chứng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khoán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Thượng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Hải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giảm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gần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2</w:t>
      </w:r>
      <w:r w:rsidR="0030405D" w:rsidRPr="0048487A">
        <w:rPr>
          <w:rFonts w:ascii="Arial" w:hAnsi="Arial" w:cs="Arial"/>
          <w:sz w:val="20"/>
          <w:szCs w:val="20"/>
        </w:rPr>
        <w:t>5</w:t>
      </w:r>
      <w:proofErr w:type="gramStart"/>
      <w:r w:rsidR="00A34CEB" w:rsidRPr="0048487A">
        <w:rPr>
          <w:rFonts w:ascii="Arial" w:hAnsi="Arial" w:cs="Arial"/>
          <w:sz w:val="20"/>
          <w:szCs w:val="20"/>
        </w:rPr>
        <w:t>,0</w:t>
      </w:r>
      <w:proofErr w:type="gramEnd"/>
      <w:r w:rsidR="0030405D" w:rsidRPr="0048487A">
        <w:rPr>
          <w:rFonts w:ascii="Arial" w:hAnsi="Arial" w:cs="Arial"/>
          <w:sz w:val="20"/>
          <w:szCs w:val="20"/>
        </w:rPr>
        <w:t xml:space="preserve">% so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với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đầu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năm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chỉ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số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chứng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khoán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Thâm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405D" w:rsidRPr="0048487A">
        <w:rPr>
          <w:rFonts w:ascii="Arial" w:hAnsi="Arial" w:cs="Arial"/>
          <w:sz w:val="20"/>
          <w:szCs w:val="20"/>
        </w:rPr>
        <w:t>Quyến</w:t>
      </w:r>
      <w:proofErr w:type="spellEnd"/>
      <w:r w:rsidR="0030405D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giảm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33,25</w:t>
      </w:r>
      <w:r w:rsidR="0030405D" w:rsidRPr="0048487A">
        <w:rPr>
          <w:rFonts w:ascii="Arial" w:hAnsi="Arial" w:cs="Arial"/>
          <w:sz w:val="20"/>
          <w:szCs w:val="20"/>
        </w:rPr>
        <w:t>%</w:t>
      </w:r>
      <w:r w:rsidR="000F30DB" w:rsidRPr="0048487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Sự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bùng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nổ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của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cuộc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chiến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thương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mại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Mỹ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-</w:t>
      </w:r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Trung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Quốc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đã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lấy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đi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2.300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tỉ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r w:rsidR="000F30DB" w:rsidRPr="0048487A">
        <w:rPr>
          <w:rFonts w:ascii="Arial" w:hAnsi="Arial" w:cs="Arial"/>
          <w:sz w:val="20"/>
          <w:szCs w:val="20"/>
        </w:rPr>
        <w:t xml:space="preserve">USD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trong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năm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nay,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nhường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lại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vị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trí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là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thị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trường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chứng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khoán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lớn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thứ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hai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thế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giới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cho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Nhật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Bản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vào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đầu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năm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nay.</w:t>
      </w:r>
    </w:p>
    <w:p w:rsidR="00C77278" w:rsidRPr="0048487A" w:rsidRDefault="0030405D" w:rsidP="0048487A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48487A">
        <w:rPr>
          <w:rFonts w:ascii="Arial" w:hAnsi="Arial" w:cs="Arial"/>
          <w:sz w:val="20"/>
          <w:szCs w:val="20"/>
        </w:rPr>
        <w:t>Mặc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dù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tiếp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tục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đổ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tiền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vào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cổ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phiếu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Trung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Quốc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đ</w:t>
      </w:r>
      <w:r w:rsidR="00C77278" w:rsidRPr="0048487A">
        <w:rPr>
          <w:rFonts w:ascii="Arial" w:hAnsi="Arial" w:cs="Arial"/>
          <w:sz w:val="20"/>
          <w:szCs w:val="20"/>
        </w:rPr>
        <w:t>ại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lục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thông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qua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các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kết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nối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chứng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khoán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và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các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quỹ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nhà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nước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được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cho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là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đã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mua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lại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các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quỹ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giao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dịch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để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giải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cứu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cổ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phiếu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, </w:t>
      </w:r>
      <w:r w:rsidRPr="0048487A">
        <w:rPr>
          <w:rFonts w:ascii="Arial" w:hAnsi="Arial" w:cs="Arial"/>
          <w:sz w:val="20"/>
          <w:szCs w:val="20"/>
        </w:rPr>
        <w:t xml:space="preserve">song </w:t>
      </w:r>
      <w:proofErr w:type="spellStart"/>
      <w:r w:rsidRPr="0048487A">
        <w:rPr>
          <w:rFonts w:ascii="Arial" w:hAnsi="Arial" w:cs="Arial"/>
          <w:sz w:val="20"/>
          <w:szCs w:val="20"/>
        </w:rPr>
        <w:t>các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nhà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đầu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tư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nước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ngoài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đã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làm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rất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ít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để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kiềm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chế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đà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sụt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giảm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trên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thị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trường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chứng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khoán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Trung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Quốc</w:t>
      </w:r>
      <w:proofErr w:type="spellEnd"/>
      <w:r w:rsidRPr="0048487A">
        <w:rPr>
          <w:rFonts w:ascii="Arial" w:hAnsi="Arial" w:cs="Arial"/>
          <w:sz w:val="20"/>
          <w:szCs w:val="20"/>
        </w:rPr>
        <w:t>.</w:t>
      </w:r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Đáng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chú</w:t>
      </w:r>
      <w:proofErr w:type="spellEnd"/>
      <w:r w:rsidR="000F30DB" w:rsidRPr="0048487A">
        <w:rPr>
          <w:rFonts w:ascii="Arial" w:hAnsi="Arial" w:cs="Arial"/>
          <w:sz w:val="20"/>
          <w:szCs w:val="20"/>
        </w:rPr>
        <w:t xml:space="preserve"> ý, </w:t>
      </w:r>
      <w:proofErr w:type="spellStart"/>
      <w:r w:rsidR="000F30DB" w:rsidRPr="0048487A">
        <w:rPr>
          <w:rFonts w:ascii="Arial" w:hAnsi="Arial" w:cs="Arial"/>
          <w:sz w:val="20"/>
          <w:szCs w:val="20"/>
        </w:rPr>
        <w:t>x</w:t>
      </w:r>
      <w:r w:rsidRPr="0048487A">
        <w:rPr>
          <w:rFonts w:ascii="Arial" w:hAnsi="Arial" w:cs="Arial"/>
          <w:sz w:val="20"/>
          <w:szCs w:val="20"/>
        </w:rPr>
        <w:t>u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hướng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tăng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chậm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lại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của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kinh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tế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Trung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Quốc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đã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tác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động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tiêu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cực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đến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cuộc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sống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và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mức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tiêu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gây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áp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lực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giảm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giá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các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cổ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phiếu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tiêu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dùng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trong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khi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vụ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bê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bối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vắc-xin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và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tranh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cãi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về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chỉnh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sửa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gen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đã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dẫn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đến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làn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sóng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bán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tháo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trong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lĩnh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vực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r w:rsidR="00064C23" w:rsidRPr="0048487A">
        <w:rPr>
          <w:rFonts w:ascii="Arial" w:hAnsi="Arial" w:cs="Arial"/>
          <w:sz w:val="20"/>
          <w:szCs w:val="20"/>
        </w:rPr>
        <w:t xml:space="preserve">y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tế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23" w:rsidRPr="0048487A">
        <w:rPr>
          <w:rFonts w:ascii="Arial" w:hAnsi="Arial" w:cs="Arial"/>
          <w:sz w:val="20"/>
          <w:szCs w:val="20"/>
        </w:rPr>
        <w:t>và</w:t>
      </w:r>
      <w:proofErr w:type="spellEnd"/>
      <w:r w:rsidR="00064C23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chăm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sóc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sức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7278" w:rsidRPr="0048487A">
        <w:rPr>
          <w:rFonts w:ascii="Arial" w:hAnsi="Arial" w:cs="Arial"/>
          <w:sz w:val="20"/>
          <w:szCs w:val="20"/>
        </w:rPr>
        <w:t>khỏe</w:t>
      </w:r>
      <w:proofErr w:type="spellEnd"/>
      <w:r w:rsidR="00C77278" w:rsidRPr="0048487A">
        <w:rPr>
          <w:rFonts w:ascii="Arial" w:hAnsi="Arial" w:cs="Arial"/>
          <w:sz w:val="20"/>
          <w:szCs w:val="20"/>
        </w:rPr>
        <w:t>.</w:t>
      </w:r>
      <w:r w:rsidR="00064C23" w:rsidRPr="0048487A">
        <w:rPr>
          <w:rFonts w:ascii="Arial" w:hAnsi="Arial" w:cs="Arial"/>
          <w:sz w:val="20"/>
          <w:szCs w:val="20"/>
        </w:rPr>
        <w:t>     </w:t>
      </w:r>
    </w:p>
    <w:p w:rsidR="00064C23" w:rsidRPr="0048487A" w:rsidRDefault="00064C23" w:rsidP="0048487A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8487A">
        <w:rPr>
          <w:rFonts w:ascii="Arial" w:hAnsi="Arial" w:cs="Arial"/>
          <w:sz w:val="20"/>
          <w:szCs w:val="20"/>
        </w:rPr>
        <w:t>Tại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Việt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Nam, </w:t>
      </w:r>
      <w:proofErr w:type="spellStart"/>
      <w:r w:rsidRPr="0048487A">
        <w:rPr>
          <w:rFonts w:ascii="Arial" w:hAnsi="Arial" w:cs="Arial"/>
          <w:sz w:val="20"/>
          <w:szCs w:val="20"/>
        </w:rPr>
        <w:t>chỉ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số</w:t>
      </w:r>
      <w:proofErr w:type="spellEnd"/>
      <w:r w:rsidR="00BB6705" w:rsidRPr="0048487A">
        <w:rPr>
          <w:rFonts w:ascii="Arial" w:hAnsi="Arial" w:cs="Arial"/>
          <w:sz w:val="20"/>
          <w:szCs w:val="20"/>
        </w:rPr>
        <w:t xml:space="preserve"> VN i</w:t>
      </w:r>
      <w:r w:rsidRPr="0048487A">
        <w:rPr>
          <w:rFonts w:ascii="Arial" w:hAnsi="Arial" w:cs="Arial"/>
          <w:sz w:val="20"/>
          <w:szCs w:val="20"/>
        </w:rPr>
        <w:t xml:space="preserve">ndex </w:t>
      </w:r>
      <w:proofErr w:type="spellStart"/>
      <w:r w:rsidRPr="0048487A">
        <w:rPr>
          <w:rFonts w:ascii="Arial" w:hAnsi="Arial" w:cs="Arial"/>
          <w:sz w:val="20"/>
          <w:szCs w:val="20"/>
        </w:rPr>
        <w:t>cũng</w:t>
      </w:r>
      <w:proofErr w:type="spellEnd"/>
      <w:r w:rsidR="005B26E1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26E1" w:rsidRPr="0048487A">
        <w:rPr>
          <w:rFonts w:ascii="Arial" w:hAnsi="Arial" w:cs="Arial"/>
          <w:sz w:val="20"/>
          <w:szCs w:val="20"/>
        </w:rPr>
        <w:t>nằm</w:t>
      </w:r>
      <w:proofErr w:type="spellEnd"/>
      <w:r w:rsidR="005B26E1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26E1" w:rsidRPr="0048487A">
        <w:rPr>
          <w:rFonts w:ascii="Arial" w:hAnsi="Arial" w:cs="Arial"/>
          <w:sz w:val="20"/>
          <w:szCs w:val="20"/>
        </w:rPr>
        <w:t>trong</w:t>
      </w:r>
      <w:proofErr w:type="spellEnd"/>
      <w:r w:rsidR="005B26E1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26E1" w:rsidRPr="0048487A">
        <w:rPr>
          <w:rFonts w:ascii="Arial" w:hAnsi="Arial" w:cs="Arial"/>
          <w:sz w:val="20"/>
          <w:szCs w:val="20"/>
        </w:rPr>
        <w:t>số</w:t>
      </w:r>
      <w:proofErr w:type="spellEnd"/>
      <w:r w:rsidR="005B26E1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26E1" w:rsidRPr="0048487A">
        <w:rPr>
          <w:rFonts w:ascii="Arial" w:hAnsi="Arial" w:cs="Arial"/>
          <w:sz w:val="20"/>
          <w:szCs w:val="20"/>
        </w:rPr>
        <w:t>những</w:t>
      </w:r>
      <w:proofErr w:type="spellEnd"/>
      <w:r w:rsidR="005B26E1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26E1" w:rsidRPr="0048487A">
        <w:rPr>
          <w:rFonts w:ascii="Arial" w:hAnsi="Arial" w:cs="Arial"/>
          <w:sz w:val="20"/>
          <w:szCs w:val="20"/>
        </w:rPr>
        <w:t>chỉ</w:t>
      </w:r>
      <w:proofErr w:type="spellEnd"/>
      <w:r w:rsidR="005B26E1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26E1" w:rsidRPr="0048487A">
        <w:rPr>
          <w:rFonts w:ascii="Arial" w:hAnsi="Arial" w:cs="Arial"/>
          <w:sz w:val="20"/>
          <w:szCs w:val="20"/>
        </w:rPr>
        <w:t>số</w:t>
      </w:r>
      <w:proofErr w:type="spellEnd"/>
      <w:r w:rsidR="005B26E1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26E1" w:rsidRPr="0048487A">
        <w:rPr>
          <w:rFonts w:ascii="Arial" w:hAnsi="Arial" w:cs="Arial"/>
          <w:sz w:val="20"/>
          <w:szCs w:val="20"/>
        </w:rPr>
        <w:t>chứn</w:t>
      </w:r>
      <w:r w:rsidRPr="0048487A">
        <w:rPr>
          <w:rFonts w:ascii="Arial" w:hAnsi="Arial" w:cs="Arial"/>
          <w:sz w:val="20"/>
          <w:szCs w:val="20"/>
        </w:rPr>
        <w:t>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khoán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khu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vực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có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mức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giảm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sâu</w:t>
      </w:r>
      <w:proofErr w:type="spellEnd"/>
      <w:r w:rsidR="005B26E1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26E1" w:rsidRPr="0048487A">
        <w:rPr>
          <w:rFonts w:ascii="Arial" w:hAnsi="Arial" w:cs="Arial"/>
          <w:sz w:val="20"/>
          <w:szCs w:val="20"/>
        </w:rPr>
        <w:t>nhất</w:t>
      </w:r>
      <w:proofErr w:type="spellEnd"/>
      <w:r w:rsidR="005B26E1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trong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26E1" w:rsidRPr="0048487A">
        <w:rPr>
          <w:rFonts w:ascii="Arial" w:hAnsi="Arial" w:cs="Arial"/>
          <w:sz w:val="20"/>
          <w:szCs w:val="20"/>
        </w:rPr>
        <w:t>năm</w:t>
      </w:r>
      <w:proofErr w:type="spellEnd"/>
      <w:r w:rsidR="005B26E1" w:rsidRPr="0048487A">
        <w:rPr>
          <w:rFonts w:ascii="Arial" w:hAnsi="Arial" w:cs="Arial"/>
          <w:sz w:val="20"/>
          <w:szCs w:val="20"/>
        </w:rPr>
        <w:t xml:space="preserve"> nay</w:t>
      </w:r>
      <w:r w:rsidRPr="0048487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8487A">
        <w:rPr>
          <w:rFonts w:ascii="Arial" w:hAnsi="Arial" w:cs="Arial"/>
          <w:sz w:val="20"/>
          <w:szCs w:val="20"/>
        </w:rPr>
        <w:t>Kết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thúc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phiên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giao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dị</w:t>
      </w:r>
      <w:r w:rsidR="00BB6705" w:rsidRPr="0048487A">
        <w:rPr>
          <w:rFonts w:ascii="Arial" w:hAnsi="Arial" w:cs="Arial"/>
          <w:sz w:val="20"/>
          <w:szCs w:val="20"/>
        </w:rPr>
        <w:t>ch</w:t>
      </w:r>
      <w:proofErr w:type="spellEnd"/>
      <w:r w:rsidR="00BB6705"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6705" w:rsidRPr="0048487A">
        <w:rPr>
          <w:rFonts w:ascii="Arial" w:hAnsi="Arial" w:cs="Arial"/>
          <w:sz w:val="20"/>
          <w:szCs w:val="20"/>
        </w:rPr>
        <w:t>ngày</w:t>
      </w:r>
      <w:proofErr w:type="spellEnd"/>
      <w:r w:rsidR="00BB6705" w:rsidRPr="0048487A">
        <w:rPr>
          <w:rFonts w:ascii="Arial" w:hAnsi="Arial" w:cs="Arial"/>
          <w:sz w:val="20"/>
          <w:szCs w:val="20"/>
        </w:rPr>
        <w:t xml:space="preserve"> 28/12, VN i</w:t>
      </w:r>
      <w:r w:rsidRPr="0048487A">
        <w:rPr>
          <w:rFonts w:ascii="Arial" w:hAnsi="Arial" w:cs="Arial"/>
          <w:sz w:val="20"/>
          <w:szCs w:val="20"/>
        </w:rPr>
        <w:t xml:space="preserve">ndex </w:t>
      </w:r>
      <w:proofErr w:type="spellStart"/>
      <w:r w:rsidRPr="0048487A">
        <w:rPr>
          <w:rFonts w:ascii="Arial" w:hAnsi="Arial" w:cs="Arial"/>
          <w:sz w:val="20"/>
          <w:szCs w:val="20"/>
        </w:rPr>
        <w:t>đóng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cửa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Pr="0048487A">
        <w:rPr>
          <w:rFonts w:ascii="Arial" w:hAnsi="Arial" w:cs="Arial"/>
          <w:sz w:val="20"/>
          <w:szCs w:val="20"/>
        </w:rPr>
        <w:t>mức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892</w:t>
      </w:r>
      <w:proofErr w:type="gramStart"/>
      <w:r w:rsidRPr="0048487A">
        <w:rPr>
          <w:rFonts w:ascii="Arial" w:hAnsi="Arial" w:cs="Arial"/>
          <w:sz w:val="20"/>
          <w:szCs w:val="20"/>
        </w:rPr>
        <w:t>,54</w:t>
      </w:r>
      <w:proofErr w:type="gram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điểm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8487A">
        <w:rPr>
          <w:rFonts w:ascii="Arial" w:hAnsi="Arial" w:cs="Arial"/>
          <w:sz w:val="20"/>
          <w:szCs w:val="20"/>
        </w:rPr>
        <w:t>giảm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so </w:t>
      </w:r>
      <w:proofErr w:type="spellStart"/>
      <w:r w:rsidRPr="0048487A">
        <w:rPr>
          <w:rFonts w:ascii="Arial" w:hAnsi="Arial" w:cs="Arial"/>
          <w:sz w:val="20"/>
          <w:szCs w:val="20"/>
        </w:rPr>
        <w:t>với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đầu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năm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; </w:t>
      </w:r>
      <w:r w:rsidR="00BB6705" w:rsidRPr="0048487A">
        <w:rPr>
          <w:rFonts w:ascii="Arial" w:hAnsi="Arial" w:cs="Arial"/>
          <w:sz w:val="20"/>
          <w:szCs w:val="20"/>
        </w:rPr>
        <w:t>HNX i</w:t>
      </w:r>
      <w:r w:rsidRPr="0048487A">
        <w:rPr>
          <w:rFonts w:ascii="Arial" w:hAnsi="Arial" w:cs="Arial"/>
          <w:sz w:val="20"/>
          <w:szCs w:val="20"/>
        </w:rPr>
        <w:t xml:space="preserve">ndex </w:t>
      </w:r>
      <w:proofErr w:type="spellStart"/>
      <w:r w:rsidRPr="0048487A">
        <w:rPr>
          <w:rFonts w:ascii="Arial" w:hAnsi="Arial" w:cs="Arial"/>
          <w:sz w:val="20"/>
          <w:szCs w:val="20"/>
        </w:rPr>
        <w:t>đóng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sz w:val="20"/>
          <w:szCs w:val="20"/>
        </w:rPr>
        <w:t>cửa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Pr="0048487A">
        <w:rPr>
          <w:rFonts w:ascii="Arial" w:hAnsi="Arial" w:cs="Arial"/>
          <w:sz w:val="20"/>
          <w:szCs w:val="20"/>
        </w:rPr>
        <w:t>mức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104,23 </w:t>
      </w:r>
      <w:proofErr w:type="spellStart"/>
      <w:r w:rsidRPr="0048487A">
        <w:rPr>
          <w:rFonts w:ascii="Arial" w:hAnsi="Arial" w:cs="Arial"/>
          <w:sz w:val="20"/>
          <w:szCs w:val="20"/>
        </w:rPr>
        <w:t>điểm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8487A">
        <w:rPr>
          <w:rFonts w:ascii="Arial" w:hAnsi="Arial" w:cs="Arial"/>
          <w:sz w:val="20"/>
          <w:szCs w:val="20"/>
        </w:rPr>
        <w:t>giảm</w:t>
      </w:r>
      <w:proofErr w:type="spellEnd"/>
      <w:r w:rsidRPr="0048487A">
        <w:rPr>
          <w:rFonts w:ascii="Arial" w:hAnsi="Arial" w:cs="Arial"/>
          <w:sz w:val="20"/>
          <w:szCs w:val="20"/>
        </w:rPr>
        <w:t xml:space="preserve"> 0,25%.</w:t>
      </w:r>
    </w:p>
    <w:p w:rsidR="00F93488" w:rsidRPr="0048487A" w:rsidRDefault="00F93488" w:rsidP="0048487A">
      <w:pPr>
        <w:spacing w:after="6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48487A">
        <w:rPr>
          <w:rFonts w:ascii="Arial" w:hAnsi="Arial" w:cs="Arial"/>
          <w:b/>
          <w:i/>
          <w:sz w:val="20"/>
          <w:szCs w:val="20"/>
        </w:rPr>
        <w:t>Hoàng</w:t>
      </w:r>
      <w:proofErr w:type="spellEnd"/>
      <w:r w:rsidRPr="004848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b/>
          <w:i/>
          <w:sz w:val="20"/>
          <w:szCs w:val="20"/>
        </w:rPr>
        <w:t>Thế</w:t>
      </w:r>
      <w:proofErr w:type="spellEnd"/>
      <w:r w:rsidRPr="0048487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8487A">
        <w:rPr>
          <w:rFonts w:ascii="Arial" w:hAnsi="Arial" w:cs="Arial"/>
          <w:b/>
          <w:i/>
          <w:sz w:val="20"/>
          <w:szCs w:val="20"/>
        </w:rPr>
        <w:t>Thỏa</w:t>
      </w:r>
      <w:proofErr w:type="spellEnd"/>
    </w:p>
    <w:p w:rsidR="00064C23" w:rsidRPr="0048487A" w:rsidRDefault="000F30DB" w:rsidP="0048487A">
      <w:pPr>
        <w:pStyle w:val="NormalWeb"/>
        <w:spacing w:before="0" w:beforeAutospacing="0" w:after="60" w:afterAutospacing="0"/>
        <w:jc w:val="both"/>
        <w:rPr>
          <w:rFonts w:ascii="Arial" w:hAnsi="Arial" w:cs="Arial"/>
          <w:i/>
          <w:sz w:val="16"/>
          <w:szCs w:val="16"/>
        </w:rPr>
      </w:pPr>
      <w:proofErr w:type="spellStart"/>
      <w:r w:rsidRPr="0048487A">
        <w:rPr>
          <w:rFonts w:ascii="Arial" w:hAnsi="Arial" w:cs="Arial"/>
          <w:i/>
          <w:sz w:val="16"/>
          <w:szCs w:val="16"/>
        </w:rPr>
        <w:t>Nguồn</w:t>
      </w:r>
      <w:proofErr w:type="spellEnd"/>
      <w:r w:rsidRPr="0048487A">
        <w:rPr>
          <w:rFonts w:ascii="Arial" w:hAnsi="Arial" w:cs="Arial"/>
          <w:i/>
          <w:sz w:val="16"/>
          <w:szCs w:val="16"/>
        </w:rPr>
        <w:t>: WS. Journal</w:t>
      </w:r>
    </w:p>
    <w:sectPr w:rsidR="00064C23" w:rsidRPr="004848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5DA" w:rsidRDefault="00B435DA" w:rsidP="000F30DB">
      <w:pPr>
        <w:spacing w:after="0" w:line="240" w:lineRule="auto"/>
      </w:pPr>
      <w:r>
        <w:separator/>
      </w:r>
    </w:p>
  </w:endnote>
  <w:endnote w:type="continuationSeparator" w:id="0">
    <w:p w:rsidR="00B435DA" w:rsidRDefault="00B435DA" w:rsidP="000F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2354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30DB" w:rsidRDefault="000F30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E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30DB" w:rsidRDefault="000F3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5DA" w:rsidRDefault="00B435DA" w:rsidP="000F30DB">
      <w:pPr>
        <w:spacing w:after="0" w:line="240" w:lineRule="auto"/>
      </w:pPr>
      <w:r>
        <w:separator/>
      </w:r>
    </w:p>
  </w:footnote>
  <w:footnote w:type="continuationSeparator" w:id="0">
    <w:p w:rsidR="00B435DA" w:rsidRDefault="00B435DA" w:rsidP="000F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F56EF"/>
    <w:multiLevelType w:val="hybridMultilevel"/>
    <w:tmpl w:val="C8E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D01FA"/>
    <w:multiLevelType w:val="hybridMultilevel"/>
    <w:tmpl w:val="11DC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2F"/>
    <w:rsid w:val="00064C23"/>
    <w:rsid w:val="00094789"/>
    <w:rsid w:val="000F30DB"/>
    <w:rsid w:val="001B0B27"/>
    <w:rsid w:val="002C7F2F"/>
    <w:rsid w:val="002D213E"/>
    <w:rsid w:val="002D63F6"/>
    <w:rsid w:val="0030405D"/>
    <w:rsid w:val="00336579"/>
    <w:rsid w:val="0048487A"/>
    <w:rsid w:val="004C608E"/>
    <w:rsid w:val="00543A44"/>
    <w:rsid w:val="005B26E1"/>
    <w:rsid w:val="005D7E15"/>
    <w:rsid w:val="00657163"/>
    <w:rsid w:val="006A1784"/>
    <w:rsid w:val="006D012C"/>
    <w:rsid w:val="00713D59"/>
    <w:rsid w:val="00875F25"/>
    <w:rsid w:val="008E750B"/>
    <w:rsid w:val="00956892"/>
    <w:rsid w:val="009A190A"/>
    <w:rsid w:val="00A2785A"/>
    <w:rsid w:val="00A34CEB"/>
    <w:rsid w:val="00A56595"/>
    <w:rsid w:val="00B1391A"/>
    <w:rsid w:val="00B319C3"/>
    <w:rsid w:val="00B435DA"/>
    <w:rsid w:val="00BB6705"/>
    <w:rsid w:val="00C26DCD"/>
    <w:rsid w:val="00C77278"/>
    <w:rsid w:val="00D90614"/>
    <w:rsid w:val="00E43431"/>
    <w:rsid w:val="00F93488"/>
    <w:rsid w:val="00FA0D9C"/>
    <w:rsid w:val="00FD121D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FD468F-F093-4D7B-B6BE-F54D462F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26E1"/>
    <w:rPr>
      <w:b/>
      <w:bCs/>
    </w:rPr>
  </w:style>
  <w:style w:type="paragraph" w:styleId="ListParagraph">
    <w:name w:val="List Paragraph"/>
    <w:basedOn w:val="Normal"/>
    <w:uiPriority w:val="34"/>
    <w:qFormat/>
    <w:rsid w:val="00C77278"/>
    <w:pPr>
      <w:ind w:left="720"/>
      <w:contextualSpacing/>
    </w:pPr>
  </w:style>
  <w:style w:type="table" w:styleId="TableGrid">
    <w:name w:val="Table Grid"/>
    <w:basedOn w:val="TableNormal"/>
    <w:uiPriority w:val="59"/>
    <w:rsid w:val="00C7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0DB"/>
  </w:style>
  <w:style w:type="paragraph" w:styleId="Footer">
    <w:name w:val="footer"/>
    <w:basedOn w:val="Normal"/>
    <w:link w:val="FooterChar"/>
    <w:uiPriority w:val="99"/>
    <w:unhideWhenUsed/>
    <w:rsid w:val="000F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DELL-TRAN ANH</dc:creator>
  <cp:lastModifiedBy>Hewlett-Packard Company</cp:lastModifiedBy>
  <cp:revision>5</cp:revision>
  <dcterms:created xsi:type="dcterms:W3CDTF">2019-01-02T10:18:00Z</dcterms:created>
  <dcterms:modified xsi:type="dcterms:W3CDTF">2019-01-02T10:20:00Z</dcterms:modified>
</cp:coreProperties>
</file>