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47" w:rsidRPr="00944F47" w:rsidRDefault="00944F47" w:rsidP="00944F47">
      <w:pPr>
        <w:spacing w:after="120" w:line="240" w:lineRule="auto"/>
        <w:jc w:val="both"/>
        <w:rPr>
          <w:rFonts w:ascii="Arial" w:hAnsi="Arial" w:cs="Arial"/>
          <w:sz w:val="20"/>
          <w:szCs w:val="20"/>
          <w:lang w:val="en-US"/>
        </w:rPr>
      </w:pPr>
      <w:r>
        <w:rPr>
          <w:rFonts w:ascii="Arial" w:hAnsi="Arial" w:cs="Arial"/>
          <w:sz w:val="20"/>
          <w:szCs w:val="20"/>
          <w:lang w:val="en-US"/>
        </w:rPr>
        <w:t xml:space="preserve">Hướng dẫn của Tòa án Nhân dân Tối cao về áp dụng pháp luật về lãi, lãi suất, phạt vi phạm trong hợp đồng cho vay giữa tổ chức tín dụng với khách hàng </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Ngày 11/01/2019, Hội đồng thẩm phán Tòa án nhân dân tối cao đã ban hành Nghị quyết số 01/2019/NQ-HĐTP hướng dẫn áp dụng một số quy định của pháp luật về lãi, lãi suất, phạt vi phạm (sau đây gọi tắt là Nghị quyết 01) trong hợp đồng cho vay giữa cá nhân, pháp nhân không phải là tổ chức tín dụng với nhau (cho vay dân sự) và trong hợp đồng cho vay giữa tổ chức tín dụng và khách hàng (hợp đồng tín dụng). Đối với việc áp dụng pháp luật về lãi, lãi suất trong hợp đồng tín dụng, Nghị quyết 01 đã có những hướng dẫn cụ thể, phù hợp với đặc thù của hoạt động ngân hàng và phù hợp với hệ thống pháp luật chuyên ngành ngân hàng. Có thể nói, Nghị quyết 01 là văn bản quy phạm pháp luật đầu tiên của Hội đồng thẩm phán Tòa án nhân dân tối cao hướng dẫn đầy đủ, chi tiết việc áp dụng pháp luật về lãi, lãi suất trong hợp đồng tín dụng , góp phần tháo gỡ những khó khăn, vướng mắc cho tổ chức tín dụng (TCTD) trong thời gian qua, tạo ra cách hiểu thống nhất trong việc áp dụng pháp luật về lãi, lãi suất trong hoạt động tín dụng ngân hàng. Bài viết này chúng tôi xin giới thiệu những nội dung cơ bản về lãi, lãi suất, phạt vi phạm của Nghị quyết 01 liên quan đến hoạt động ngân hàng. </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1. Luật các Tổ chức tín dụng và các văn bản quy phạm pháp luật quy định chi tiết, hướng dẫn thi hành là các văn bản áp dụng khi xét xử các tranh chấp có liên quan về lãi, lãi suất trong hợp đồng tín dụng</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Điều 7 Nghị quyết 01 quy định lãi, lãi suất trong hợp đồng tín dụng do các bên thỏa thuận nhưng phải phù hợp với quy định của Luật các TCTD và văn bản quy phạm pháp luật quy định chi tiết, hướng dẫn áp dụng Luật các TCTD. Khi giải quyết tranh chấp hợp đồng tín dụng, Tòa án áp dụng quy định của pháp luật ngân hàng để giải quyết mà không áp dụng quy định về giới hạn lãi suất của Bộ luật Dân sự năm 2005, Bộ luật Dân sự năm 2015 để xác định lãi, lãi suất.</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Như vậy, theo quy định nói trên, đã xác định một cách rõ ràng và tạo một cách hiểu thống nhất là lãi, lãi suất trong hoạt động cho vay của các tổ chức tín dụng với khách hàng không áp dụng quy định về giới hạn lãi suất tại Bộ luật Dân sự mà thực hiện theo quy định của pháp luật chuyên ngành là Luật các TCTD và các văn bản hướng dẫn Luật các TCTD. Quá trình xây dựng và thông qua các luật quan trọng như Bộ luật Dân sự 2015, Luật sửa đổi, bổ sung một số điều của Luật các TCTD năm 2017 đều thừa nhận, hướng đến nguyên tắc áp dụng pháp luật chuyên ngành ngân hàng đối với hợp đồng tín dụng, trong đó có thỏa thuận về lãi, lãi suất. Việc quy định tại Điều 7 Nghị quyết 01 đã thể hiện rõ nguyên tắc áp dụng pháp luật nói trên, tạo sự thống nhất trong quá trình áp dụng quy định của pháp luật về lãi, lãi suất trong hoạt động ngân hàng.  </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Hiện nay, quy định về lãi, lãi suất trong hoạt động cho vay của tổ chức tín dụng với khách hàng được quy định tại Luật các TCTD, Thông tư số 39/2016/TT-NHNN ngày 30/12/2016 quy định về hoạt động cho vay của TCTD, chi nhánh Ngân hàng nước ngoài đối với khách hàng, Thông tư 43/2016/TT-NHNN ngày 30/12/2016 quy định cho vay tiêu dùng của công ty tài chính, Thông tư số 14/2017/TT-NHNN ngày 29/09/2017 quy định phương pháp tính lãi trong hoạt động nhận tiền gửi, cấp tín dụng giữa TCTD với khách hàng.... Theo các văn bản nói trên, TCTD và khách hàng thỏa thuận về lãi suất cho vay theo cung cầu vốn thị trường, nhu cầu vay vốn và mức độ tín nhiệm của khách hàng, trừ trường hợp phải tuân thủ mức lãi suất cho vay tối đa do Thống đốc NHNN quyết định trong từng thời kỳ đối với cho vay ngắn hạn bằng đồng Việt Nam thuộc 05 lĩnh vực ưu tiên . Bên cạnh đó, để đảm bảo tính minh bạch trong hoạt động cho vay, các văn bản nói trên cũng quy định trong quá trình ký kết hợp đồng cho vay, TCTD phải công khai, minh bạch các thông tin đối với khách hàng vay, đặc biệt là thông tin về lãi, lãi suất cho vay để đảm bảo quyền lợi của khách hàng vay.</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2. Về xác định lãi, lãi suất trong hợp đồng tín dụng đến thời điểm xét xử sơ thẩm</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Điều 8 Nghị quyết 01 quy định chia theo hai trường hợp: (a) lãi, lãi suất trong hợp đồng tín dụng xác lập trước ngày 01/01/2017 ; và (b) lãi, lãi suất trong hợp đồng tín dụng xác lập kể từ ngày 01/01/2017. </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Tại thời điểm xét xử sơ thẩm, lãi, lãi suất trong hợp đồng tín dụng được xác lập trước ngày 01/01/2017 được xác định như sau: (i) Lãi trên nợ gốc trong hạn chưa trả được xác định theo lãi suất các bên thỏa thuận; (ii) Lãi trên nợ gốc quá hạn chưa trả được xác định theo thỏa thuận của các bên. Lãi, lãi suất các bên thỏa thuận nói trên phải phù hợp với Luật các TCTD và văn bản quy phạm pháp luật quy định về lãi suất áp dụng cho hợp đồng tín dụng tại thời điểm xác lập hợp đồng, thời điểm tính lãi suất.</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Tại thời điểm xét xử sơ thẩm, lãi, lãi suất trong hợp đồng tín dụng xác lập kể từ ngày 01/01/2017, ngoài lãi trên nợ gốc, lãi trên nợ gốc quá hạn được xác định tương tự như hợp đồng tín dụng xác lập trước ngày 01/01/2017, trường hợp khách hàng không trả đúng hạn tiền lãi trên nợ gốc theo thỏa thuận tại hợp đồng tín dụng còn phải trả lãi chậm trả theo mức lãi suất do TCTD và khách hàng thỏa </w:t>
      </w:r>
      <w:r w:rsidRPr="00944F47">
        <w:rPr>
          <w:rFonts w:ascii="Arial" w:hAnsi="Arial" w:cs="Arial"/>
          <w:sz w:val="20"/>
          <w:szCs w:val="20"/>
        </w:rPr>
        <w:lastRenderedPageBreak/>
        <w:t>thuận nhưng không vượt quá mức lãi suất giới hạn mà pháp luật quy định (theo quy định tại điểm b khoản 4 Điều 13 Thông tư 39/2016/TT-NHNN thì mức lãi suất giới hạn là 10%/năm).</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Như vậy, theo Nghị quyết 01, đối với hợp đồng tín dụng xác lập kể từ ngày 01/01/2017, khi xác định các khoản tiền lãi còn có thể có thêm khoản tiền lãi đối với việc chậm trả lãi. Việc xác định lãi, lãi suất trong hợp đồng tín dụng theo hai thời điểm trước và từ ngày 01/01/2017 có sự khác nhau, do (i) Bộ luật Dân sự năm 2005 nội dung về lãi, lãi suất trong hợp đồng vay chưa có quy định về việc tính lãi trên tiền lãi chậm trả, (ii) trong khi đó Bộ luật Dân sự năm 2015 đã có quy định cụ thể về việc bên chậm trả lãi còn phải trả tiền lãi trên lãi chậm trả ngoài khoản tiền lãi trên nợ gốc và lãi trên nợ gốc quá hạn . Pháp luật ngân hàng hiện nay cũng phù hợp với nội dung nói trên của Bộ luật Dân sự năm 2015.</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Nghị quyết 01 cũng quy định rõ các mốc thời gian để tính lãi: </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Thứ nhất, thời điểm xét xử sơ thẩm được xác định là ngày Tòa án ra Quyết định công nhận sự thỏa thuận của các đương sự hoặc ngày Tòa án tuyên án khi xét xử sơ thẩm hoặc xét xử sơ thẩm lại (khoản 1 Điều 6 Nghị quyết 01). </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Thứ hai, thời gian chậm trả tiền nợ gốc bắt đầu kể từ ngày chuyển nợ quá hạn đến thời điểm xét xử sơ thẩm, trừ trường hợp các bên có thỏa thuận khác (khoản 3 Điều 8 Nghị quyết 01).</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Thứ ba, thời gian chậm trả tiền lãi trên nợ gốc bắt đầu kể từ ngày tiếp theo liền kề của ngày phải trả lãi trên nợ gốc đến thời điểm xét xử sơ thẩm, trừ trường hợp các bên có thỏa thuận khác (khoản 4 Điều 8 Nghị quyết 01).</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3. Về xác định lãi, lãi suất từ sau thời điểm xét xử sơ thẩm đến khi thi hành án xong </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Điều 13 Nghị quyết 01 quy định rõ khi giải quyết vụ việc liên quan đến lãi, lãi suất thì cùng với việc quyết định khoản tiền mà bên có nghĩa vụ về tài sản phải thanh toán cho bên được thi hành án đến thời điểm xét xử sơ thẩm, Tòa án phải quyết định trong bản án việc xác định lãi từ sau thời điểm xét xử sơ thẩm đến khi bên phải thi hành án thi hành án xong. Cụ thể như sau: </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Thứ nhất, đối với trường hợp chậm thực hiện nghĩa vụ trong hợp đồng mà các bên có thỏa thuận về việc trả lãi thì quyết định kể từ ngày tiếp theo của ngày xét xử sơ thẩm cho đến khi thi hành án xong, bên phải thi hành án còn phải chịu khoản tiền lãi của số tiền còn phải thi hành án theo mức lãi suất các bên thỏa thuận nhưng phải phù hợp quy định của pháp luật.</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Thứ hai, mức lãi suất hai bên thỏa thuận là mức lãi suất nợ quá hạn các bên thỏa thuận trong hợp đồng hoặc tại Tòa án; trường hợp các bên không có thỏa thuận về mức lãi suất nợ quá hạn thì mức lãi suất nợ quá hạn bằng 150% mức lãi suất trong hạn. </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Như vậy, theo các quy định tại Điều 8 và Điều 13 Nghị quyết 01, việc tính lãi đối với hợp đồng tín dụng không bị gián đoạn cho đến khi khách hàng vay thực hiện xong nghĩa vụ trả nợ gốc và lãi cho TCTD. Quy định này là hoàn toàn hợp lý, bảo đảm được quyền lợi chính đáng của bên cho vay.</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4. Về xử lý thỏa thuận về lãi, lãi suất cao hơn mức lãi, lãi suất được pháp luật quy định</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Điều 9 Nghị quyết 01 quy định đối với hợp đồng vay có thỏa thuận về lãi suất, lãi trên nợ gốc quá hạn, lãi trên nợ lãi quá hạn cao hơn mức lãi suất, lãi được pháp luật quy định thì mức lãi suất, lãi trên nợ gốc quá hạn, lãi trên nợ lãi quá hạn vượt quá không có hiệu lực; số tiền lãi đã trả vượt quá mức lãi suất, lãi pháp luật quy định được trừ vào số tiền nợ gốc tại thời điểm trả lãi; số tiền lãi đã trả vượt quá còn lại sau khi đã trừ hết nợ gốc thì được trả lại cho bên vay. </w:t>
      </w:r>
      <w:r w:rsidRPr="00944F47">
        <w:rPr>
          <w:rFonts w:ascii="Arial" w:hAnsi="Arial" w:cs="Arial"/>
          <w:sz w:val="20"/>
          <w:szCs w:val="20"/>
        </w:rPr>
        <w:tab/>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5. Về xử lý việc không trả nợ đúng hạn trong hợp đồng vay</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 xml:space="preserve">Điều 12 Nghị quyết 01 quy định trường hợp hợp đồng vay vừa có thỏa thuận phạt vi phạm, vừa có thỏa thuận lãi trên nợ gốc quá hạn đối với hành vi không trả nợ đúng hạn của bên vay thì Tòa án căn cứ quy định tương ứng của Bộ luật Dân sự, Luật các TCTD và văn bản quy phạm pháp luật quy định chi tiết, hướng dẫn áp dụng Bộ luật Dân sự, Luật các TCTD tại thời điểm xác lập hợp đồng, thời điểm tính lãi suất để xem xét, quyết định xử lý đối với hành vi không trả nợ đúng hạn theo nguyên tắc chỉ xử lý một lần đối với mỗi hành vi không trả nợ đúng hạn. Quy định này được hiểu là Tòa án không công nhận việc vừa áp dụng lãi suất quá hạn trên nợ quá hạn và vừa áp dụng phạt vi phạm đối với hành vi khách hàng không trả nợ đúng hạn theo thỏa thuận.  </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Nghị quyết 01 có hiệu lực thi hành kể từ ngày 15/3/2019. Đối với những vụ việc đã được Tòa án thụ lý trước ngày 15/3/2019 nhưng sau ngày 15/3/2019 mới xét xử sơ thẩm, phúc thẩm, giám đốc thẩm, tái thẩm thì áp dụng Nghị quyết 01 để giải quyết. Đối với những vụ việc đã được Tòa án thụ lý giải quyết và bản án, quyết định của Tòa án đã có hiệu lực pháp luật trước ngày 15/3/2019 thì không áp dụng Nghị quyết 01 để kháng nghị theo thủ tục giám đốc thẩm, tái thẩm.</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t>Trên đây là những nội dung cơ bản của Nghị quyết 01 về lãi, lãi suất, phạt vi phạm liên quan đến hợp đồng cho vay của TCTD đối với khách hàng./.</w:t>
      </w:r>
    </w:p>
    <w:p w:rsidR="00944F47" w:rsidRPr="00944F47" w:rsidRDefault="00944F47" w:rsidP="00944F47">
      <w:pPr>
        <w:spacing w:after="120" w:line="240" w:lineRule="auto"/>
        <w:jc w:val="both"/>
        <w:rPr>
          <w:rFonts w:ascii="Arial" w:hAnsi="Arial" w:cs="Arial"/>
          <w:sz w:val="20"/>
          <w:szCs w:val="20"/>
        </w:rPr>
      </w:pPr>
      <w:r w:rsidRPr="00944F47">
        <w:rPr>
          <w:rFonts w:ascii="Arial" w:hAnsi="Arial" w:cs="Arial"/>
          <w:sz w:val="20"/>
          <w:szCs w:val="20"/>
        </w:rPr>
        <w:lastRenderedPageBreak/>
        <w:t>Phạm Tiến Sỹ, Nguyễn Thị Lương Trà (</w:t>
      </w:r>
      <w:r>
        <w:rPr>
          <w:rFonts w:ascii="Arial" w:hAnsi="Arial" w:cs="Arial"/>
          <w:sz w:val="20"/>
          <w:szCs w:val="20"/>
          <w:lang w:val="en-US"/>
        </w:rPr>
        <w:t xml:space="preserve">Vụ </w:t>
      </w:r>
      <w:r w:rsidRPr="00944F47">
        <w:rPr>
          <w:rFonts w:ascii="Arial" w:hAnsi="Arial" w:cs="Arial"/>
          <w:sz w:val="20"/>
          <w:szCs w:val="20"/>
        </w:rPr>
        <w:t>P</w:t>
      </w:r>
      <w:r>
        <w:rPr>
          <w:rFonts w:ascii="Arial" w:hAnsi="Arial" w:cs="Arial"/>
          <w:sz w:val="20"/>
          <w:szCs w:val="20"/>
          <w:lang w:val="en-US"/>
        </w:rPr>
        <w:t>háp chế</w:t>
      </w:r>
      <w:r w:rsidRPr="00944F47">
        <w:rPr>
          <w:rFonts w:ascii="Arial" w:hAnsi="Arial" w:cs="Arial"/>
          <w:sz w:val="20"/>
          <w:szCs w:val="20"/>
        </w:rPr>
        <w:t>)</w:t>
      </w:r>
    </w:p>
    <w:p w:rsidR="004E0374" w:rsidRPr="00944F47" w:rsidRDefault="004E0374" w:rsidP="00944F47">
      <w:pPr>
        <w:spacing w:after="120" w:line="240" w:lineRule="auto"/>
        <w:jc w:val="both"/>
        <w:rPr>
          <w:rFonts w:ascii="Arial" w:hAnsi="Arial" w:cs="Arial"/>
          <w:sz w:val="20"/>
          <w:szCs w:val="20"/>
        </w:rPr>
      </w:pPr>
    </w:p>
    <w:sectPr w:rsidR="004E0374" w:rsidRPr="00944F47" w:rsidSect="00944F47">
      <w:pgSz w:w="11906" w:h="16838"/>
      <w:pgMar w:top="851"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BF9" w:rsidRDefault="00DC7BF9" w:rsidP="00944F47">
      <w:pPr>
        <w:spacing w:after="0" w:line="240" w:lineRule="auto"/>
      </w:pPr>
      <w:r>
        <w:separator/>
      </w:r>
    </w:p>
  </w:endnote>
  <w:endnote w:type="continuationSeparator" w:id="0">
    <w:p w:rsidR="00DC7BF9" w:rsidRDefault="00DC7BF9" w:rsidP="00944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BF9" w:rsidRDefault="00DC7BF9" w:rsidP="00944F47">
      <w:pPr>
        <w:spacing w:after="0" w:line="240" w:lineRule="auto"/>
      </w:pPr>
      <w:r>
        <w:separator/>
      </w:r>
    </w:p>
  </w:footnote>
  <w:footnote w:type="continuationSeparator" w:id="0">
    <w:p w:rsidR="00DC7BF9" w:rsidRDefault="00DC7BF9" w:rsidP="00944F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44F47"/>
    <w:rsid w:val="004E0374"/>
    <w:rsid w:val="00944F47"/>
    <w:rsid w:val="00DC7BF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3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1509</Words>
  <Characters>8607</Characters>
  <Application>Microsoft Office Word</Application>
  <DocSecurity>0</DocSecurity>
  <Lines>71</Lines>
  <Paragraphs>20</Paragraphs>
  <ScaleCrop>false</ScaleCrop>
  <Company>Microsoft</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huong.vumai</dc:creator>
  <cp:lastModifiedBy>huong.vumai</cp:lastModifiedBy>
  <cp:revision>1</cp:revision>
  <dcterms:created xsi:type="dcterms:W3CDTF">2019-03-07T08:46:00Z</dcterms:created>
  <dcterms:modified xsi:type="dcterms:W3CDTF">2019-03-07T08:49:00Z</dcterms:modified>
</cp:coreProperties>
</file>