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67469" w14:textId="77777777" w:rsidR="00957795" w:rsidRPr="00B346E8" w:rsidRDefault="00957795" w:rsidP="00B346E8">
      <w:pPr>
        <w:spacing w:after="120" w:line="20" w:lineRule="atLeast"/>
        <w:jc w:val="both"/>
        <w:rPr>
          <w:rFonts w:ascii="Times New Roman" w:hAnsi="Times New Roman" w:cs="Times New Roman"/>
          <w:b/>
          <w:bCs/>
          <w:sz w:val="20"/>
          <w:szCs w:val="20"/>
          <w:lang w:val="vi-VN"/>
        </w:rPr>
      </w:pPr>
      <w:bookmarkStart w:id="0" w:name="_GoBack"/>
      <w:bookmarkEnd w:id="0"/>
      <w:r w:rsidRPr="00B346E8">
        <w:rPr>
          <w:rFonts w:ascii="Times New Roman" w:hAnsi="Times New Roman" w:cs="Times New Roman"/>
          <w:sz w:val="20"/>
          <w:szCs w:val="20"/>
          <w:lang w:val="vi-VN"/>
        </w:rPr>
        <w:t>Hình 1: Ngân hàng xanh</w:t>
      </w:r>
    </w:p>
    <w:p w14:paraId="6374F034" w14:textId="77777777" w:rsidR="00B346E8" w:rsidRDefault="00522CE1" w:rsidP="00B346E8">
      <w:pPr>
        <w:spacing w:after="120" w:line="20" w:lineRule="atLeast"/>
        <w:jc w:val="center"/>
        <w:rPr>
          <w:rFonts w:ascii="Times New Roman" w:hAnsi="Times New Roman" w:cs="Times New Roman"/>
          <w:sz w:val="20"/>
          <w:szCs w:val="20"/>
          <w:lang w:val="vi-VN"/>
        </w:rPr>
      </w:pPr>
      <w:r w:rsidRPr="00B346E8">
        <w:rPr>
          <w:rFonts w:ascii="Times New Roman" w:hAnsi="Times New Roman" w:cs="Times New Roman"/>
          <w:noProof/>
          <w:sz w:val="20"/>
          <w:szCs w:val="20"/>
          <w:lang w:val="en-US"/>
        </w:rPr>
        <w:drawing>
          <wp:inline distT="0" distB="0" distL="0" distR="0" wp14:anchorId="14FBAE33" wp14:editId="16569FFD">
            <wp:extent cx="5503827" cy="2556510"/>
            <wp:effectExtent l="0" t="0" r="1905" b="0"/>
            <wp:docPr id="548" name="Picture 548"/>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7"/>
                    <a:stretch>
                      <a:fillRect/>
                    </a:stretch>
                  </pic:blipFill>
                  <pic:spPr>
                    <a:xfrm>
                      <a:off x="0" y="0"/>
                      <a:ext cx="5619119" cy="2610063"/>
                    </a:xfrm>
                    <a:prstGeom prst="rect">
                      <a:avLst/>
                    </a:prstGeom>
                  </pic:spPr>
                </pic:pic>
              </a:graphicData>
            </a:graphic>
          </wp:inline>
        </w:drawing>
      </w:r>
    </w:p>
    <w:p w14:paraId="104CB6B1" w14:textId="182FEC8F" w:rsidR="00FF688C" w:rsidRPr="00B346E8" w:rsidRDefault="00FF688C" w:rsidP="00B346E8">
      <w:pPr>
        <w:spacing w:after="120" w:line="20" w:lineRule="atLeast"/>
        <w:jc w:val="center"/>
        <w:rPr>
          <w:rFonts w:ascii="Times New Roman" w:eastAsia="Times New Roman" w:hAnsi="Times New Roman" w:cs="Times New Roman"/>
          <w:bCs/>
          <w:iCs/>
          <w:sz w:val="20"/>
          <w:szCs w:val="20"/>
          <w:lang w:val="vi-VN"/>
        </w:rPr>
      </w:pPr>
      <w:r w:rsidRPr="00B346E8">
        <w:rPr>
          <w:rFonts w:ascii="Times New Roman" w:hAnsi="Times New Roman" w:cs="Times New Roman"/>
          <w:sz w:val="20"/>
          <w:szCs w:val="20"/>
          <w:lang w:val="vi-VN"/>
        </w:rPr>
        <w:t>Nguồn:</w:t>
      </w:r>
      <w:r w:rsidRPr="00B346E8">
        <w:rPr>
          <w:rFonts w:ascii="Times New Roman" w:hAnsi="Times New Roman" w:cs="Times New Roman"/>
          <w:b/>
          <w:bCs/>
          <w:sz w:val="20"/>
          <w:szCs w:val="20"/>
          <w:lang w:val="vi-VN"/>
        </w:rPr>
        <w:t xml:space="preserve"> </w:t>
      </w:r>
      <w:r w:rsidRPr="00B346E8">
        <w:rPr>
          <w:rFonts w:ascii="Times New Roman" w:eastAsia="Times New Roman" w:hAnsi="Times New Roman" w:cs="Times New Roman"/>
          <w:bCs/>
          <w:iCs/>
          <w:sz w:val="20"/>
          <w:szCs w:val="20"/>
        </w:rPr>
        <w:t xml:space="preserve">Mahfuzur </w:t>
      </w:r>
      <w:r w:rsidRPr="00B346E8">
        <w:rPr>
          <w:rFonts w:ascii="Times New Roman" w:eastAsia="Times New Roman" w:hAnsi="Times New Roman" w:cs="Times New Roman"/>
          <w:bCs/>
          <w:iCs/>
          <w:sz w:val="20"/>
          <w:szCs w:val="20"/>
          <w:lang w:val="vi-VN"/>
        </w:rPr>
        <w:t xml:space="preserve">and </w:t>
      </w:r>
      <w:r w:rsidRPr="00B346E8">
        <w:rPr>
          <w:rFonts w:ascii="Times New Roman" w:eastAsia="Times New Roman" w:hAnsi="Times New Roman" w:cs="Times New Roman"/>
          <w:bCs/>
          <w:iCs/>
          <w:sz w:val="20"/>
          <w:szCs w:val="20"/>
        </w:rPr>
        <w:t xml:space="preserve">Suborna </w:t>
      </w:r>
      <w:r w:rsidRPr="00B346E8">
        <w:rPr>
          <w:rFonts w:ascii="Times New Roman" w:eastAsia="Times New Roman" w:hAnsi="Times New Roman" w:cs="Times New Roman"/>
          <w:bCs/>
          <w:iCs/>
          <w:sz w:val="20"/>
          <w:szCs w:val="20"/>
          <w:lang w:val="vi-VN"/>
        </w:rPr>
        <w:t>(2016)</w:t>
      </w:r>
    </w:p>
    <w:p w14:paraId="6A094FE8" w14:textId="77777777" w:rsidR="00A76633" w:rsidRPr="00B346E8" w:rsidRDefault="00A76633"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 xml:space="preserve">Mục tiêu của ngân hàng xanh là sử dụng nguồn tài nguyên thiên nhiên có trách nhiệm, tránh lãnh phí và dành ưu tiên đối với yêu tố cộng đồng và môi trường trong tổ chức, cung ứng dịch và giám sát sử dụng dịch vụ ngân hàng. </w:t>
      </w:r>
      <w:r w:rsidR="008655DF" w:rsidRPr="00B346E8">
        <w:rPr>
          <w:rFonts w:ascii="Times New Roman" w:hAnsi="Times New Roman" w:cs="Times New Roman"/>
          <w:sz w:val="20"/>
          <w:szCs w:val="20"/>
          <w:lang w:val="vi-VN"/>
        </w:rPr>
        <w:t xml:space="preserve">Ngân hàng xanh là khái niệm </w:t>
      </w:r>
      <w:r w:rsidR="006B0697" w:rsidRPr="00B346E8">
        <w:rPr>
          <w:rFonts w:ascii="Times New Roman" w:hAnsi="Times New Roman" w:cs="Times New Roman"/>
          <w:sz w:val="20"/>
          <w:szCs w:val="20"/>
          <w:lang w:val="vi-VN"/>
        </w:rPr>
        <w:t xml:space="preserve">ngân hàng </w:t>
      </w:r>
      <w:r w:rsidR="008655DF" w:rsidRPr="00B346E8">
        <w:rPr>
          <w:rFonts w:ascii="Times New Roman" w:hAnsi="Times New Roman" w:cs="Times New Roman"/>
          <w:sz w:val="20"/>
          <w:szCs w:val="20"/>
          <w:lang w:val="vi-VN"/>
        </w:rPr>
        <w:t xml:space="preserve">chuyển dịch từ mục tiêu lợi nhuận đơn thuần sang mục tiêu lợi nhuận với trách nhiệm xã hội và môi trường (hình 1). </w:t>
      </w:r>
    </w:p>
    <w:p w14:paraId="024B6C8C" w14:textId="396932C3" w:rsidR="00983407" w:rsidRPr="00B346E8" w:rsidRDefault="00983407"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 xml:space="preserve">Ngân hàng xanh huy động nguồn lực, đầu tư an toàn và chuyển nguồn lực huy động tới hoạt động sản xuất không ảnh hưởng bất lợi tới chất lượng sống và môi trường sống. </w:t>
      </w:r>
      <w:r w:rsidR="008D5046" w:rsidRPr="00B346E8">
        <w:rPr>
          <w:rFonts w:ascii="Times New Roman" w:hAnsi="Times New Roman" w:cs="Times New Roman"/>
          <w:sz w:val="20"/>
          <w:szCs w:val="20"/>
          <w:lang w:val="vi-VN"/>
        </w:rPr>
        <w:t>Ngân hàng thể hiện tính xanh thông qua cải thiện 6 hoạt động,</w:t>
      </w:r>
      <w:r w:rsidR="00094ADC" w:rsidRPr="00B346E8">
        <w:rPr>
          <w:rFonts w:ascii="Times New Roman" w:hAnsi="Times New Roman" w:cs="Times New Roman"/>
          <w:sz w:val="20"/>
          <w:szCs w:val="20"/>
          <w:lang w:val="vi-VN"/>
        </w:rPr>
        <w:t xml:space="preserve"> bao gồm:</w:t>
      </w:r>
      <w:r w:rsidR="008D5046" w:rsidRPr="00B346E8">
        <w:rPr>
          <w:rFonts w:ascii="Times New Roman" w:hAnsi="Times New Roman" w:cs="Times New Roman"/>
          <w:sz w:val="20"/>
          <w:szCs w:val="20"/>
          <w:lang w:val="vi-VN"/>
        </w:rPr>
        <w:t xml:space="preserve"> quản trị đầu tư</w:t>
      </w:r>
      <w:r w:rsidR="00094ADC" w:rsidRPr="00B346E8">
        <w:rPr>
          <w:rFonts w:ascii="Times New Roman" w:hAnsi="Times New Roman" w:cs="Times New Roman"/>
          <w:sz w:val="20"/>
          <w:szCs w:val="20"/>
          <w:lang w:val="vi-VN"/>
        </w:rPr>
        <w:t xml:space="preserve">, quản trị tiền gửi, công tác kế toán, phát triển và sử dụng nguồn nhân sự, trách nhiệm xã hội, nhận thức của khách hàng và công chúng về môi trường. </w:t>
      </w:r>
    </w:p>
    <w:p w14:paraId="13CD393C" w14:textId="4E39B062" w:rsidR="002C3F8A" w:rsidRPr="00B346E8" w:rsidRDefault="002C3F8A"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 xml:space="preserve"> Thực hành ngân hàng xanh được chia làm 2 nhóm hoạt động: 1/ chuyển tải các yếu tố về môi trường trong thực hành quản trị rủi ro, điều hành</w:t>
      </w:r>
      <w:r w:rsidR="009F6D29" w:rsidRPr="00B346E8">
        <w:rPr>
          <w:rFonts w:ascii="Times New Roman" w:hAnsi="Times New Roman" w:cs="Times New Roman"/>
          <w:sz w:val="20"/>
          <w:szCs w:val="20"/>
          <w:lang w:val="vi-VN"/>
        </w:rPr>
        <w:t>,</w:t>
      </w:r>
      <w:r w:rsidRPr="00B346E8">
        <w:rPr>
          <w:rFonts w:ascii="Times New Roman" w:hAnsi="Times New Roman" w:cs="Times New Roman"/>
          <w:sz w:val="20"/>
          <w:szCs w:val="20"/>
          <w:lang w:val="vi-VN"/>
        </w:rPr>
        <w:t xml:space="preserve"> chiến lược ngân hàng</w:t>
      </w:r>
      <w:r w:rsidR="009F6D29" w:rsidRPr="00B346E8">
        <w:rPr>
          <w:rFonts w:ascii="Times New Roman" w:hAnsi="Times New Roman" w:cs="Times New Roman"/>
          <w:sz w:val="20"/>
          <w:szCs w:val="20"/>
          <w:lang w:val="vi-VN"/>
        </w:rPr>
        <w:t>,</w:t>
      </w:r>
      <w:r w:rsidRPr="00B346E8">
        <w:rPr>
          <w:rFonts w:ascii="Times New Roman" w:hAnsi="Times New Roman" w:cs="Times New Roman"/>
          <w:sz w:val="20"/>
          <w:szCs w:val="20"/>
          <w:lang w:val="vi-VN"/>
        </w:rPr>
        <w:t xml:space="preserve"> kỹ năng và văn hóa kinh doanh. Những hoạt động ngày là phần cơ bản của chương trình khích lệ thực hành ngân hàng bền vững, điều tiết </w:t>
      </w:r>
      <w:r w:rsidR="009F6D29" w:rsidRPr="00B346E8">
        <w:rPr>
          <w:rFonts w:ascii="Times New Roman" w:hAnsi="Times New Roman" w:cs="Times New Roman"/>
          <w:sz w:val="20"/>
          <w:szCs w:val="20"/>
          <w:lang w:val="vi-VN"/>
        </w:rPr>
        <w:t>đặc trưng xã hội và môi trường của hoạt động tài trợ</w:t>
      </w:r>
      <w:r w:rsidRPr="00B346E8">
        <w:rPr>
          <w:rFonts w:ascii="Times New Roman" w:hAnsi="Times New Roman" w:cs="Times New Roman"/>
          <w:sz w:val="20"/>
          <w:szCs w:val="20"/>
          <w:lang w:val="vi-VN"/>
        </w:rPr>
        <w:t xml:space="preserve">; </w:t>
      </w:r>
      <w:r w:rsidR="009F6D29" w:rsidRPr="00B346E8">
        <w:rPr>
          <w:rFonts w:ascii="Times New Roman" w:hAnsi="Times New Roman" w:cs="Times New Roman"/>
          <w:sz w:val="20"/>
          <w:szCs w:val="20"/>
          <w:lang w:val="vi-VN"/>
        </w:rPr>
        <w:t xml:space="preserve">Trong khi mục tiêu định hướng cần tránh hoặc hạn chế thất thoát tài chính, rủi ro suy giảm tín nhiệm và tổn hại về môi trường và xã hội, ngân hàng tiên phong nỗ lực đạt được ảnh hưởng tích cực từ tất cả các hoạt động đó; </w:t>
      </w:r>
      <w:r w:rsidRPr="00B346E8">
        <w:rPr>
          <w:rFonts w:ascii="Times New Roman" w:hAnsi="Times New Roman" w:cs="Times New Roman"/>
          <w:sz w:val="20"/>
          <w:szCs w:val="20"/>
          <w:lang w:val="vi-VN"/>
        </w:rPr>
        <w:t>2/</w:t>
      </w:r>
      <w:r w:rsidR="009F6D29" w:rsidRPr="00B346E8">
        <w:rPr>
          <w:rFonts w:ascii="Times New Roman" w:hAnsi="Times New Roman" w:cs="Times New Roman"/>
          <w:sz w:val="20"/>
          <w:szCs w:val="20"/>
          <w:lang w:val="vi-VN"/>
        </w:rPr>
        <w:t xml:space="preserve"> huy động nguồn tài chính cho đầu tư xanh, bao gồm huy động tiết kiệm từ cộng đồng, và các hoạt động </w:t>
      </w:r>
      <w:r w:rsidR="00D46403" w:rsidRPr="00B346E8">
        <w:rPr>
          <w:rFonts w:ascii="Times New Roman" w:hAnsi="Times New Roman" w:cs="Times New Roman"/>
          <w:sz w:val="20"/>
          <w:szCs w:val="20"/>
          <w:lang w:val="vi-VN"/>
        </w:rPr>
        <w:t>thị trường vốn. Hoạt động thị trường vốn bao gồm sự tích hợp các yếu tố xã hội và môi trường trong nghiên cứu đầu tư và kêu gọi vốn cho hoạt động xanh (</w:t>
      </w:r>
      <w:r w:rsidR="00DA4AB1" w:rsidRPr="00B346E8">
        <w:rPr>
          <w:rFonts w:ascii="Times New Roman" w:hAnsi="Times New Roman" w:cs="Times New Roman"/>
          <w:sz w:val="20"/>
          <w:szCs w:val="20"/>
        </w:rPr>
        <w:t>Nick</w:t>
      </w:r>
      <w:r w:rsidR="00DA4AB1" w:rsidRPr="00B346E8">
        <w:rPr>
          <w:rFonts w:ascii="Times New Roman" w:hAnsi="Times New Roman" w:cs="Times New Roman"/>
          <w:sz w:val="20"/>
          <w:szCs w:val="20"/>
          <w:lang w:val="vi-VN"/>
        </w:rPr>
        <w:t xml:space="preserve"> và </w:t>
      </w:r>
      <w:r w:rsidR="00522E44" w:rsidRPr="00B346E8">
        <w:rPr>
          <w:rFonts w:ascii="Times New Roman" w:hAnsi="Times New Roman" w:cs="Times New Roman"/>
          <w:sz w:val="20"/>
          <w:szCs w:val="20"/>
        </w:rPr>
        <w:t>Jeremy</w:t>
      </w:r>
      <w:r w:rsidR="00522E44" w:rsidRPr="00B346E8">
        <w:rPr>
          <w:rFonts w:ascii="Times New Roman" w:hAnsi="Times New Roman" w:cs="Times New Roman"/>
          <w:sz w:val="20"/>
          <w:szCs w:val="20"/>
          <w:lang w:val="vi-VN"/>
        </w:rPr>
        <w:t>, 2016)</w:t>
      </w:r>
      <w:r w:rsidR="00D46403" w:rsidRPr="00B346E8">
        <w:rPr>
          <w:rFonts w:ascii="Times New Roman" w:hAnsi="Times New Roman" w:cs="Times New Roman"/>
          <w:sz w:val="20"/>
          <w:szCs w:val="20"/>
          <w:lang w:val="vi-VN"/>
        </w:rPr>
        <w:t xml:space="preserve">. </w:t>
      </w:r>
      <w:r w:rsidRPr="00B346E8">
        <w:rPr>
          <w:rFonts w:ascii="Times New Roman" w:hAnsi="Times New Roman" w:cs="Times New Roman"/>
          <w:sz w:val="20"/>
          <w:szCs w:val="20"/>
          <w:lang w:val="vi-VN"/>
        </w:rPr>
        <w:t xml:space="preserve"> </w:t>
      </w:r>
    </w:p>
    <w:p w14:paraId="1630886E" w14:textId="7B93A3DB" w:rsidR="006D3F4F" w:rsidRPr="00B346E8" w:rsidRDefault="006D3F4F"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Tính xanh được thể hiện trong hoạt động ngân hàng cụ thể như sau:</w:t>
      </w:r>
    </w:p>
    <w:p w14:paraId="6A0210ED" w14:textId="66ECA62D" w:rsidR="006D3F4F" w:rsidRPr="00B346E8" w:rsidRDefault="006D3F4F"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 xml:space="preserve">Đối với hoạt động tín dụng: đảm bảo đánh giá đầy đủ về ảnh hưởng môi trường và xã hội trong đưa ra quyết định tín dụng; đánh giá rủi ro của danh mục cho vay theo các tiêu chí rủi ro môi trường và xã hội phát sinh từ dự án được tài trợ; nâng cao </w:t>
      </w:r>
      <w:r w:rsidR="00C155E1" w:rsidRPr="00B346E8">
        <w:rPr>
          <w:rFonts w:ascii="Times New Roman" w:hAnsi="Times New Roman" w:cs="Times New Roman"/>
          <w:sz w:val="20"/>
          <w:szCs w:val="20"/>
          <w:lang w:val="vi-VN"/>
        </w:rPr>
        <w:t xml:space="preserve">khả năng ảnh hưởng </w:t>
      </w:r>
      <w:r w:rsidRPr="00B346E8">
        <w:rPr>
          <w:rFonts w:ascii="Times New Roman" w:hAnsi="Times New Roman" w:cs="Times New Roman"/>
          <w:sz w:val="20"/>
          <w:szCs w:val="20"/>
          <w:lang w:val="vi-VN"/>
        </w:rPr>
        <w:t>tích cực của hoạt động cho vay</w:t>
      </w:r>
      <w:r w:rsidR="00B86FD8" w:rsidRPr="00B346E8">
        <w:rPr>
          <w:rFonts w:ascii="Times New Roman" w:hAnsi="Times New Roman" w:cs="Times New Roman"/>
          <w:sz w:val="20"/>
          <w:szCs w:val="20"/>
          <w:lang w:val="vi-VN"/>
        </w:rPr>
        <w:t xml:space="preserve"> xanh</w:t>
      </w:r>
      <w:r w:rsidRPr="00B346E8">
        <w:rPr>
          <w:rFonts w:ascii="Times New Roman" w:hAnsi="Times New Roman" w:cs="Times New Roman"/>
          <w:sz w:val="20"/>
          <w:szCs w:val="20"/>
          <w:lang w:val="vi-VN"/>
        </w:rPr>
        <w:t>.</w:t>
      </w:r>
    </w:p>
    <w:p w14:paraId="5E04EBCA" w14:textId="7FF56A2D" w:rsidR="006D3F4F" w:rsidRPr="00B346E8" w:rsidRDefault="006D3F4F"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Tài trợ xanh cho các hoạt động bán lẻ chủ chốt, chẳng hạn như cung ứng tín dụng xanh tài trợ ngành sản xuất và tiêu dùng các sản phẩm xanh (sản xuất và sử dụng công cụ tạo năng lượng thân thiện</w:t>
      </w:r>
      <w:r w:rsidR="00301E14" w:rsidRPr="00B346E8">
        <w:rPr>
          <w:rFonts w:ascii="Times New Roman" w:hAnsi="Times New Roman" w:cs="Times New Roman"/>
          <w:sz w:val="20"/>
          <w:szCs w:val="20"/>
          <w:lang w:val="vi-VN"/>
        </w:rPr>
        <w:t xml:space="preserve"> với môi trường</w:t>
      </w:r>
      <w:r w:rsidRPr="00B346E8">
        <w:rPr>
          <w:rFonts w:ascii="Times New Roman" w:hAnsi="Times New Roman" w:cs="Times New Roman"/>
          <w:sz w:val="20"/>
          <w:szCs w:val="20"/>
          <w:lang w:val="vi-VN"/>
        </w:rPr>
        <w:t xml:space="preserve">, giảm khí thải các bon, giao thông thân thiện môi trường, công trình xây dựng thân thiện môi trường, </w:t>
      </w:r>
      <w:r w:rsidR="00D14BE5" w:rsidRPr="00B346E8">
        <w:rPr>
          <w:rFonts w:ascii="Times New Roman" w:hAnsi="Times New Roman" w:cs="Times New Roman"/>
          <w:sz w:val="20"/>
          <w:szCs w:val="20"/>
          <w:lang w:val="vi-VN"/>
        </w:rPr>
        <w:t>sử dụng, cung ứng nước và xử lý chất thải, ...</w:t>
      </w:r>
      <w:r w:rsidRPr="00B346E8">
        <w:rPr>
          <w:rFonts w:ascii="Times New Roman" w:hAnsi="Times New Roman" w:cs="Times New Roman"/>
          <w:sz w:val="20"/>
          <w:szCs w:val="20"/>
          <w:lang w:val="vi-VN"/>
        </w:rPr>
        <w:t>)</w:t>
      </w:r>
    </w:p>
    <w:p w14:paraId="38585E88" w14:textId="3B100DFB" w:rsidR="00D14BE5" w:rsidRPr="00B346E8" w:rsidRDefault="00D14BE5"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Đối với tiết kiệm nguồn lực: giảm ảnh hưởng môi trường của hoạt động ngân hàng; cung ứng dịch vụ t</w:t>
      </w:r>
      <w:r w:rsidR="006D6048" w:rsidRPr="00B346E8">
        <w:rPr>
          <w:rFonts w:ascii="Times New Roman" w:hAnsi="Times New Roman" w:cs="Times New Roman"/>
          <w:sz w:val="20"/>
          <w:szCs w:val="20"/>
          <w:lang w:val="vi-VN"/>
        </w:rPr>
        <w:t xml:space="preserve">iết </w:t>
      </w:r>
      <w:r w:rsidRPr="00B346E8">
        <w:rPr>
          <w:rFonts w:ascii="Times New Roman" w:hAnsi="Times New Roman" w:cs="Times New Roman"/>
          <w:sz w:val="20"/>
          <w:szCs w:val="20"/>
          <w:lang w:val="vi-VN"/>
        </w:rPr>
        <w:t xml:space="preserve">kiện xanh tới </w:t>
      </w:r>
      <w:r w:rsidR="00301E14" w:rsidRPr="00B346E8">
        <w:rPr>
          <w:rFonts w:ascii="Times New Roman" w:hAnsi="Times New Roman" w:cs="Times New Roman"/>
          <w:sz w:val="20"/>
          <w:szCs w:val="20"/>
          <w:lang w:val="vi-VN"/>
        </w:rPr>
        <w:t xml:space="preserve"> </w:t>
      </w:r>
      <w:r w:rsidRPr="00B346E8">
        <w:rPr>
          <w:rFonts w:ascii="Times New Roman" w:hAnsi="Times New Roman" w:cs="Times New Roman"/>
          <w:sz w:val="20"/>
          <w:szCs w:val="20"/>
          <w:lang w:val="vi-VN"/>
        </w:rPr>
        <w:t>khách hàng</w:t>
      </w:r>
      <w:r w:rsidR="006D6048" w:rsidRPr="00B346E8">
        <w:rPr>
          <w:rFonts w:ascii="Times New Roman" w:hAnsi="Times New Roman" w:cs="Times New Roman"/>
          <w:sz w:val="20"/>
          <w:szCs w:val="20"/>
          <w:lang w:val="vi-VN"/>
        </w:rPr>
        <w:t xml:space="preserve"> (thực hiện giao dịch ngân hàng không dùng giấy, cung ứng dịch vụ ngân hàng trực tuyến)</w:t>
      </w:r>
      <w:r w:rsidRPr="00B346E8">
        <w:rPr>
          <w:rFonts w:ascii="Times New Roman" w:hAnsi="Times New Roman" w:cs="Times New Roman"/>
          <w:sz w:val="20"/>
          <w:szCs w:val="20"/>
          <w:lang w:val="vi-VN"/>
        </w:rPr>
        <w:t>;</w:t>
      </w:r>
    </w:p>
    <w:p w14:paraId="042742DA" w14:textId="04F72AAD" w:rsidR="00D14BE5" w:rsidRPr="00B346E8" w:rsidRDefault="00D14BE5"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Hoạt động thị trường vốn: tích lợp rủi ro xã hội và môi trường với hoạt động nghiên cứu đầu tư, bao gồm nghiên cứu năng lực tài chính và uy tín của bên gọi vốn; Gọi vốn qua thị trường vốn và cổ phần hóa, gọi vốn qua thị trường công cụ nợ với đảm bảo được đưa ra đối với công cụ huy động nợ xanh (Trái phiếu, cổ phiếu liên quan tới hoạt động kinh doanh có tính xanh);</w:t>
      </w:r>
    </w:p>
    <w:p w14:paraId="192CD8BC" w14:textId="7460DBE2" w:rsidR="00301E14" w:rsidRPr="00B346E8" w:rsidRDefault="00301E14" w:rsidP="00B346E8">
      <w:pPr>
        <w:spacing w:after="120" w:line="20" w:lineRule="atLeast"/>
        <w:jc w:val="both"/>
        <w:rPr>
          <w:rFonts w:ascii="Times New Roman" w:hAnsi="Times New Roman" w:cs="Times New Roman"/>
          <w:b/>
          <w:bCs/>
          <w:sz w:val="20"/>
          <w:szCs w:val="20"/>
          <w:lang w:val="vi-VN"/>
        </w:rPr>
      </w:pPr>
      <w:r w:rsidRPr="00B346E8">
        <w:rPr>
          <w:rFonts w:ascii="Times New Roman" w:hAnsi="Times New Roman" w:cs="Times New Roman"/>
          <w:b/>
          <w:bCs/>
          <w:sz w:val="20"/>
          <w:szCs w:val="20"/>
          <w:lang w:val="vi-VN"/>
        </w:rPr>
        <w:t>Kinh nghiệm triển khai ngân hàng xanh</w:t>
      </w:r>
    </w:p>
    <w:p w14:paraId="3A861D71" w14:textId="359460BE" w:rsidR="00561333" w:rsidRPr="00B346E8" w:rsidRDefault="00301E14"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Nhiều quốc gia trong G 20 đã tích cực ủng hộ và khích lệ hoạt động ngân hàng xanh trên nhiều góc độ khác nhau</w:t>
      </w:r>
      <w:r w:rsidR="00C02CA4" w:rsidRPr="00B346E8">
        <w:rPr>
          <w:rFonts w:ascii="Times New Roman" w:hAnsi="Times New Roman" w:cs="Times New Roman"/>
          <w:sz w:val="20"/>
          <w:szCs w:val="20"/>
          <w:lang w:val="vi-VN"/>
        </w:rPr>
        <w:t xml:space="preserve"> (</w:t>
      </w:r>
      <w:r w:rsidR="00C02CA4" w:rsidRPr="00B346E8">
        <w:rPr>
          <w:rFonts w:ascii="Times New Roman" w:hAnsi="Times New Roman" w:cs="Times New Roman"/>
          <w:sz w:val="20"/>
          <w:szCs w:val="20"/>
        </w:rPr>
        <w:t xml:space="preserve">Nick </w:t>
      </w:r>
      <w:r w:rsidR="00C02CA4" w:rsidRPr="00B346E8">
        <w:rPr>
          <w:rFonts w:ascii="Times New Roman" w:hAnsi="Times New Roman" w:cs="Times New Roman"/>
          <w:sz w:val="20"/>
          <w:szCs w:val="20"/>
          <w:lang w:val="vi-VN"/>
        </w:rPr>
        <w:t xml:space="preserve">và </w:t>
      </w:r>
      <w:r w:rsidR="00C02CA4" w:rsidRPr="00B346E8">
        <w:rPr>
          <w:rFonts w:ascii="Times New Roman" w:hAnsi="Times New Roman" w:cs="Times New Roman"/>
          <w:sz w:val="20"/>
          <w:szCs w:val="20"/>
        </w:rPr>
        <w:t>Jeremy</w:t>
      </w:r>
      <w:r w:rsidR="00C02CA4" w:rsidRPr="00B346E8">
        <w:rPr>
          <w:rFonts w:ascii="Times New Roman" w:hAnsi="Times New Roman" w:cs="Times New Roman"/>
          <w:sz w:val="20"/>
          <w:szCs w:val="20"/>
          <w:lang w:val="vi-VN"/>
        </w:rPr>
        <w:t>, 2016)</w:t>
      </w:r>
      <w:r w:rsidRPr="00B346E8">
        <w:rPr>
          <w:rFonts w:ascii="Times New Roman" w:hAnsi="Times New Roman" w:cs="Times New Roman"/>
          <w:sz w:val="20"/>
          <w:szCs w:val="20"/>
          <w:lang w:val="vi-VN"/>
        </w:rPr>
        <w:t xml:space="preserve">. </w:t>
      </w:r>
      <w:r w:rsidR="00561333" w:rsidRPr="00B346E8">
        <w:rPr>
          <w:rFonts w:ascii="Times New Roman" w:hAnsi="Times New Roman" w:cs="Times New Roman"/>
          <w:sz w:val="20"/>
          <w:szCs w:val="20"/>
          <w:lang w:val="vi-VN"/>
        </w:rPr>
        <w:t>Một số n</w:t>
      </w:r>
      <w:r w:rsidRPr="00B346E8">
        <w:rPr>
          <w:rFonts w:ascii="Times New Roman" w:hAnsi="Times New Roman" w:cs="Times New Roman"/>
          <w:sz w:val="20"/>
          <w:szCs w:val="20"/>
          <w:lang w:val="vi-VN"/>
        </w:rPr>
        <w:t xml:space="preserve">gân hàng toàn cầu chủ chốt ở Mỹ đã thực hiện cam kết tài  trợ hoạt động có nội dung bảo vệ môi trường, bao gồm biến đổi khí hậu. Ngân hàng CITI, vào tháng 2 / 2015, đã cam kết cấp tín dụng, đầu tư và hỗ trợ lên tới </w:t>
      </w:r>
      <w:r w:rsidR="00D51CEE" w:rsidRPr="00B346E8">
        <w:rPr>
          <w:rFonts w:ascii="Times New Roman" w:hAnsi="Times New Roman" w:cs="Times New Roman"/>
          <w:sz w:val="20"/>
          <w:szCs w:val="20"/>
          <w:lang w:val="vi-VN"/>
        </w:rPr>
        <w:t>$</w:t>
      </w:r>
      <w:r w:rsidRPr="00B346E8">
        <w:rPr>
          <w:rFonts w:ascii="Times New Roman" w:hAnsi="Times New Roman" w:cs="Times New Roman"/>
          <w:sz w:val="20"/>
          <w:szCs w:val="20"/>
          <w:lang w:val="vi-VN"/>
        </w:rPr>
        <w:t>100</w:t>
      </w:r>
      <w:r w:rsidR="00D51CEE" w:rsidRPr="00B346E8">
        <w:rPr>
          <w:rFonts w:ascii="Times New Roman" w:hAnsi="Times New Roman" w:cs="Times New Roman"/>
          <w:sz w:val="20"/>
          <w:szCs w:val="20"/>
          <w:lang w:val="vi-VN"/>
        </w:rPr>
        <w:t xml:space="preserve"> </w:t>
      </w:r>
      <w:r w:rsidR="001455E5" w:rsidRPr="00B346E8">
        <w:rPr>
          <w:rFonts w:ascii="Times New Roman" w:hAnsi="Times New Roman" w:cs="Times New Roman"/>
          <w:sz w:val="20"/>
          <w:szCs w:val="20"/>
          <w:lang w:val="vi-VN"/>
        </w:rPr>
        <w:t>t</w:t>
      </w:r>
      <w:r w:rsidR="00D51CEE" w:rsidRPr="00B346E8">
        <w:rPr>
          <w:rFonts w:ascii="Times New Roman" w:hAnsi="Times New Roman" w:cs="Times New Roman"/>
          <w:sz w:val="20"/>
          <w:szCs w:val="20"/>
          <w:lang w:val="vi-VN"/>
        </w:rPr>
        <w:t>ỷ trong thời gian 10 năm</w:t>
      </w:r>
      <w:r w:rsidR="00C242E0" w:rsidRPr="00B346E8">
        <w:rPr>
          <w:rFonts w:ascii="Times New Roman" w:hAnsi="Times New Roman" w:cs="Times New Roman"/>
          <w:sz w:val="20"/>
          <w:szCs w:val="20"/>
          <w:lang w:val="vi-VN"/>
        </w:rPr>
        <w:t>,</w:t>
      </w:r>
      <w:r w:rsidR="00D51CEE" w:rsidRPr="00B346E8">
        <w:rPr>
          <w:rFonts w:ascii="Times New Roman" w:hAnsi="Times New Roman" w:cs="Times New Roman"/>
          <w:sz w:val="20"/>
          <w:szCs w:val="20"/>
          <w:lang w:val="vi-VN"/>
        </w:rPr>
        <w:t xml:space="preserve"> tài trợ hoạt động có tác động tới giảm biến đổi khí hậu và kiến tạo giải pháp môi trường. Ngân hàng Bank of America đã cam kết tăng cường tài trợ cho các khởi xướng kinh doanh có liên quan tới </w:t>
      </w:r>
      <w:r w:rsidR="001455E5" w:rsidRPr="00B346E8">
        <w:rPr>
          <w:rFonts w:ascii="Times New Roman" w:hAnsi="Times New Roman" w:cs="Times New Roman"/>
          <w:sz w:val="20"/>
          <w:szCs w:val="20"/>
          <w:lang w:val="vi-VN"/>
        </w:rPr>
        <w:t xml:space="preserve">bảo vệ </w:t>
      </w:r>
      <w:r w:rsidR="00D51CEE" w:rsidRPr="00B346E8">
        <w:rPr>
          <w:rFonts w:ascii="Times New Roman" w:hAnsi="Times New Roman" w:cs="Times New Roman"/>
          <w:sz w:val="20"/>
          <w:szCs w:val="20"/>
          <w:lang w:val="vi-VN"/>
        </w:rPr>
        <w:t xml:space="preserve">môi trường lên tới $125 tỷ tới năm 2025, bao gồm cho vay, đầu tư, huy động vốn, dịch vụ </w:t>
      </w:r>
      <w:r w:rsidR="00561333" w:rsidRPr="00B346E8">
        <w:rPr>
          <w:rFonts w:ascii="Times New Roman" w:hAnsi="Times New Roman" w:cs="Times New Roman"/>
          <w:sz w:val="20"/>
          <w:szCs w:val="20"/>
          <w:lang w:val="vi-VN"/>
        </w:rPr>
        <w:t xml:space="preserve">thanh toán </w:t>
      </w:r>
      <w:r w:rsidR="00D51CEE" w:rsidRPr="00B346E8">
        <w:rPr>
          <w:rFonts w:ascii="Times New Roman" w:hAnsi="Times New Roman" w:cs="Times New Roman"/>
          <w:sz w:val="20"/>
          <w:szCs w:val="20"/>
          <w:lang w:val="vi-VN"/>
        </w:rPr>
        <w:t xml:space="preserve">và các giải pháp tài trợ phát triển khác. </w:t>
      </w:r>
    </w:p>
    <w:p w14:paraId="3A5B30E9" w14:textId="67AF00D3" w:rsidR="00924BC4" w:rsidRPr="00B346E8" w:rsidRDefault="00924BC4"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Nhiều quốc gia ở giai đoạn phát triển sau hơn, đã khởi xướng ngân hàng xanh hướng tới tranh thủ lợi th</w:t>
      </w:r>
      <w:r w:rsidR="001455E5" w:rsidRPr="00B346E8">
        <w:rPr>
          <w:rFonts w:ascii="Times New Roman" w:hAnsi="Times New Roman" w:cs="Times New Roman"/>
          <w:sz w:val="20"/>
          <w:szCs w:val="20"/>
          <w:lang w:val="vi-VN"/>
        </w:rPr>
        <w:t>ế</w:t>
      </w:r>
      <w:r w:rsidRPr="00B346E8">
        <w:rPr>
          <w:rFonts w:ascii="Times New Roman" w:hAnsi="Times New Roman" w:cs="Times New Roman"/>
          <w:sz w:val="20"/>
          <w:szCs w:val="20"/>
          <w:lang w:val="vi-VN"/>
        </w:rPr>
        <w:t xml:space="preserve"> nâng cao uy tín trên thị trường.</w:t>
      </w:r>
    </w:p>
    <w:p w14:paraId="5E3C7270" w14:textId="5812933D" w:rsidR="00924BC4" w:rsidRPr="00B346E8" w:rsidRDefault="00924BC4"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lastRenderedPageBreak/>
        <w:t xml:space="preserve">Pháp: Hiệp hội Ngân hàng Pháp rất nỗ lực chia sẻ kinh nghiệm giữa các ngân hàng về chống biến đổi khí hậu, bao gồm phát triển tài liệu tham khảo kết nối giữa ngành ngân hàng và biến đổi khí hậu, công bố hướng dẫn xác định tài trợ giải pháp cho </w:t>
      </w:r>
      <w:r w:rsidR="00527D5D" w:rsidRPr="00B346E8">
        <w:rPr>
          <w:rFonts w:ascii="Times New Roman" w:hAnsi="Times New Roman" w:cs="Times New Roman"/>
          <w:sz w:val="20"/>
          <w:szCs w:val="20"/>
          <w:lang w:val="vi-VN"/>
        </w:rPr>
        <w:t>dự án điện và năng lượng</w:t>
      </w:r>
      <w:r w:rsidR="001455E5" w:rsidRPr="00B346E8">
        <w:rPr>
          <w:rFonts w:ascii="Times New Roman" w:hAnsi="Times New Roman" w:cs="Times New Roman"/>
          <w:sz w:val="20"/>
          <w:szCs w:val="20"/>
          <w:lang w:val="vi-VN"/>
        </w:rPr>
        <w:t xml:space="preserve"> sạch</w:t>
      </w:r>
      <w:r w:rsidR="00527D5D" w:rsidRPr="00B346E8">
        <w:rPr>
          <w:rFonts w:ascii="Times New Roman" w:hAnsi="Times New Roman" w:cs="Times New Roman"/>
          <w:sz w:val="20"/>
          <w:szCs w:val="20"/>
          <w:lang w:val="vi-VN"/>
        </w:rPr>
        <w:t xml:space="preserve">. </w:t>
      </w:r>
    </w:p>
    <w:p w14:paraId="0E089112" w14:textId="49750905" w:rsidR="00527D5D" w:rsidRPr="00B346E8" w:rsidRDefault="00527D5D"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 xml:space="preserve">Ấn độ: </w:t>
      </w:r>
      <w:r w:rsidR="001455E5" w:rsidRPr="00B346E8">
        <w:rPr>
          <w:rFonts w:ascii="Times New Roman" w:hAnsi="Times New Roman" w:cs="Times New Roman"/>
          <w:sz w:val="20"/>
          <w:szCs w:val="20"/>
          <w:lang w:val="vi-VN"/>
        </w:rPr>
        <w:t xml:space="preserve">năm 2015 </w:t>
      </w:r>
      <w:commentRangeStart w:id="1"/>
      <w:r w:rsidRPr="00B346E8">
        <w:rPr>
          <w:rFonts w:ascii="Times New Roman" w:hAnsi="Times New Roman" w:cs="Times New Roman"/>
          <w:sz w:val="20"/>
          <w:szCs w:val="20"/>
          <w:lang w:val="vi-VN"/>
        </w:rPr>
        <w:t>Hiệp</w:t>
      </w:r>
      <w:commentRangeEnd w:id="1"/>
      <w:r w:rsidR="001455E5" w:rsidRPr="00B346E8">
        <w:rPr>
          <w:rStyle w:val="CommentReference"/>
          <w:rFonts w:ascii="Times New Roman" w:hAnsi="Times New Roman" w:cs="Times New Roman"/>
          <w:sz w:val="20"/>
          <w:szCs w:val="20"/>
        </w:rPr>
        <w:commentReference w:id="1"/>
      </w:r>
      <w:r w:rsidRPr="00B346E8">
        <w:rPr>
          <w:rFonts w:ascii="Times New Roman" w:hAnsi="Times New Roman" w:cs="Times New Roman"/>
          <w:sz w:val="20"/>
          <w:szCs w:val="20"/>
          <w:lang w:val="vi-VN"/>
        </w:rPr>
        <w:t xml:space="preserve"> hội Ngân hàng Ấn Độ hoàn thành bộ hướng dẫn tình nguyện cấp quốc gia đối với chương trình tài trợ có trách nhiệm, là bộ hướng dẫn kết hợp và bao hàm thực hành ngân hàng xanh, bao gồm chuẩn mực quốc tế và kinh nghiệm quốc gia. </w:t>
      </w:r>
    </w:p>
    <w:p w14:paraId="135100E1" w14:textId="5D65FB59" w:rsidR="00527D5D" w:rsidRPr="00B346E8" w:rsidRDefault="00527D5D"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Mexico: Hiệp hội Ngân hàng Mexico dẫn đầu chương trình tự nguyện phát triển bộ qui chuẩn về tính bền vững</w:t>
      </w:r>
      <w:r w:rsidR="001455E5" w:rsidRPr="00B346E8">
        <w:rPr>
          <w:rFonts w:ascii="Times New Roman" w:hAnsi="Times New Roman" w:cs="Times New Roman"/>
          <w:sz w:val="20"/>
          <w:szCs w:val="20"/>
          <w:lang w:val="vi-VN"/>
        </w:rPr>
        <w:t xml:space="preserve">, được </w:t>
      </w:r>
      <w:r w:rsidRPr="00B346E8">
        <w:rPr>
          <w:rFonts w:ascii="Times New Roman" w:hAnsi="Times New Roman" w:cs="Times New Roman"/>
          <w:sz w:val="20"/>
          <w:szCs w:val="20"/>
          <w:lang w:val="vi-VN"/>
        </w:rPr>
        <w:t xml:space="preserve">thông qua vào tháng 4/2016. </w:t>
      </w:r>
    </w:p>
    <w:p w14:paraId="527E1ADA" w14:textId="14E4FA7E" w:rsidR="00527D5D" w:rsidRPr="00B346E8" w:rsidRDefault="00325D61"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Hà Lan</w:t>
      </w:r>
      <w:r w:rsidR="00527D5D" w:rsidRPr="00B346E8">
        <w:rPr>
          <w:rFonts w:ascii="Times New Roman" w:hAnsi="Times New Roman" w:cs="Times New Roman"/>
          <w:sz w:val="20"/>
          <w:szCs w:val="20"/>
          <w:lang w:val="vi-VN"/>
        </w:rPr>
        <w:t xml:space="preserve">: Hiệp hội </w:t>
      </w:r>
      <w:r w:rsidRPr="00B346E8">
        <w:rPr>
          <w:rFonts w:ascii="Times New Roman" w:hAnsi="Times New Roman" w:cs="Times New Roman"/>
          <w:sz w:val="20"/>
          <w:szCs w:val="20"/>
          <w:lang w:val="vi-VN"/>
        </w:rPr>
        <w:t>N</w:t>
      </w:r>
      <w:r w:rsidR="00527D5D" w:rsidRPr="00B346E8">
        <w:rPr>
          <w:rFonts w:ascii="Times New Roman" w:hAnsi="Times New Roman" w:cs="Times New Roman"/>
          <w:sz w:val="20"/>
          <w:szCs w:val="20"/>
          <w:lang w:val="vi-VN"/>
        </w:rPr>
        <w:t>gân hàng</w:t>
      </w:r>
      <w:r w:rsidRPr="00B346E8">
        <w:rPr>
          <w:rFonts w:ascii="Times New Roman" w:hAnsi="Times New Roman" w:cs="Times New Roman"/>
          <w:sz w:val="20"/>
          <w:szCs w:val="20"/>
          <w:lang w:val="vi-VN"/>
        </w:rPr>
        <w:t xml:space="preserve"> Hà Lan</w:t>
      </w:r>
      <w:r w:rsidR="00527D5D" w:rsidRPr="00B346E8">
        <w:rPr>
          <w:rFonts w:ascii="Times New Roman" w:hAnsi="Times New Roman" w:cs="Times New Roman"/>
          <w:sz w:val="20"/>
          <w:szCs w:val="20"/>
          <w:lang w:val="vi-VN"/>
        </w:rPr>
        <w:t xml:space="preserve"> </w:t>
      </w:r>
      <w:r w:rsidRPr="00B346E8">
        <w:rPr>
          <w:rFonts w:ascii="Times New Roman" w:hAnsi="Times New Roman" w:cs="Times New Roman"/>
          <w:sz w:val="20"/>
          <w:szCs w:val="20"/>
          <w:lang w:val="vi-VN"/>
        </w:rPr>
        <w:t xml:space="preserve">đã phát triển Tuyên Thệ của ngân hàng Hà Lan như một cơ chế điều tiết qui định về liêm chính kết hợp với bộ nguyên tắc về trách nhiệm thành </w:t>
      </w:r>
      <w:r w:rsidR="007C486B" w:rsidRPr="00B346E8">
        <w:rPr>
          <w:rFonts w:ascii="Times New Roman" w:hAnsi="Times New Roman" w:cs="Times New Roman"/>
          <w:sz w:val="20"/>
          <w:szCs w:val="20"/>
          <w:lang w:val="vi-VN"/>
        </w:rPr>
        <w:t>Q</w:t>
      </w:r>
      <w:r w:rsidRPr="00B346E8">
        <w:rPr>
          <w:rFonts w:ascii="Times New Roman" w:hAnsi="Times New Roman" w:cs="Times New Roman"/>
          <w:sz w:val="20"/>
          <w:szCs w:val="20"/>
          <w:lang w:val="vi-VN"/>
        </w:rPr>
        <w:t xml:space="preserve">ui chuẩn ứng xử chuyên nghiệp. </w:t>
      </w:r>
      <w:r w:rsidR="005716E3" w:rsidRPr="00B346E8">
        <w:rPr>
          <w:rFonts w:ascii="Times New Roman" w:hAnsi="Times New Roman" w:cs="Times New Roman"/>
          <w:sz w:val="20"/>
          <w:szCs w:val="20"/>
          <w:lang w:val="vi-VN"/>
        </w:rPr>
        <w:t xml:space="preserve">Bộ </w:t>
      </w:r>
      <w:r w:rsidR="007C486B" w:rsidRPr="00B346E8">
        <w:rPr>
          <w:rFonts w:ascii="Times New Roman" w:hAnsi="Times New Roman" w:cs="Times New Roman"/>
          <w:sz w:val="20"/>
          <w:szCs w:val="20"/>
          <w:lang w:val="vi-VN"/>
        </w:rPr>
        <w:t>Q</w:t>
      </w:r>
      <w:r w:rsidR="005716E3" w:rsidRPr="00B346E8">
        <w:rPr>
          <w:rFonts w:ascii="Times New Roman" w:hAnsi="Times New Roman" w:cs="Times New Roman"/>
          <w:sz w:val="20"/>
          <w:szCs w:val="20"/>
          <w:lang w:val="vi-VN"/>
        </w:rPr>
        <w:t xml:space="preserve">ui chuẩn điều tiết hoạt động của hơn 90.000 người tham gia hoạt động ngân hàng ở Hà Lan. Bộ </w:t>
      </w:r>
      <w:r w:rsidR="007C486B" w:rsidRPr="00B346E8">
        <w:rPr>
          <w:rFonts w:ascii="Times New Roman" w:hAnsi="Times New Roman" w:cs="Times New Roman"/>
          <w:sz w:val="20"/>
          <w:szCs w:val="20"/>
          <w:lang w:val="vi-VN"/>
        </w:rPr>
        <w:t>Q</w:t>
      </w:r>
      <w:r w:rsidR="005716E3" w:rsidRPr="00B346E8">
        <w:rPr>
          <w:rFonts w:ascii="Times New Roman" w:hAnsi="Times New Roman" w:cs="Times New Roman"/>
          <w:sz w:val="20"/>
          <w:szCs w:val="20"/>
          <w:lang w:val="vi-VN"/>
        </w:rPr>
        <w:t>ui chuẩn nhấn mạnh ngân hàng có trách nhiệm xã hội</w:t>
      </w:r>
      <w:r w:rsidR="001455E5" w:rsidRPr="00B346E8">
        <w:rPr>
          <w:rFonts w:ascii="Times New Roman" w:hAnsi="Times New Roman" w:cs="Times New Roman"/>
          <w:sz w:val="20"/>
          <w:szCs w:val="20"/>
          <w:lang w:val="vi-VN"/>
        </w:rPr>
        <w:t>,</w:t>
      </w:r>
      <w:r w:rsidR="005716E3" w:rsidRPr="00B346E8">
        <w:rPr>
          <w:rFonts w:ascii="Times New Roman" w:hAnsi="Times New Roman" w:cs="Times New Roman"/>
          <w:sz w:val="20"/>
          <w:szCs w:val="20"/>
          <w:lang w:val="vi-VN"/>
        </w:rPr>
        <w:t xml:space="preserve"> đóng góp cho phát triển </w:t>
      </w:r>
      <w:r w:rsidR="001455E5" w:rsidRPr="00B346E8">
        <w:rPr>
          <w:rFonts w:ascii="Times New Roman" w:hAnsi="Times New Roman" w:cs="Times New Roman"/>
          <w:sz w:val="20"/>
          <w:szCs w:val="20"/>
          <w:lang w:val="vi-VN"/>
        </w:rPr>
        <w:t xml:space="preserve">kinh tế </w:t>
      </w:r>
      <w:r w:rsidR="005716E3" w:rsidRPr="00B346E8">
        <w:rPr>
          <w:rFonts w:ascii="Times New Roman" w:hAnsi="Times New Roman" w:cs="Times New Roman"/>
          <w:sz w:val="20"/>
          <w:szCs w:val="20"/>
          <w:lang w:val="vi-VN"/>
        </w:rPr>
        <w:t xml:space="preserve">bềnh vững. </w:t>
      </w:r>
    </w:p>
    <w:p w14:paraId="1BC4DF74" w14:textId="1ECEDC60" w:rsidR="00D87795" w:rsidRPr="00B346E8" w:rsidRDefault="00D87795"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Singapore: Hiệp hội Ngân hàng Singapore, tháng 10/2015, ban hành Hướng dẫn về tài trợ có trách nhiệm</w:t>
      </w:r>
      <w:r w:rsidR="005716E3" w:rsidRPr="00B346E8">
        <w:rPr>
          <w:rFonts w:ascii="Times New Roman" w:hAnsi="Times New Roman" w:cs="Times New Roman"/>
          <w:sz w:val="20"/>
          <w:szCs w:val="20"/>
          <w:lang w:val="vi-VN"/>
        </w:rPr>
        <w:t xml:space="preserve">, xác định chuẩn mực tối thiểu về thực hành tài trợ có trách nhiệm. Bộ hướng dẫn thúc đẩy sự tích hợp về điều hành, </w:t>
      </w:r>
      <w:r w:rsidR="00CA5EE2" w:rsidRPr="00B346E8">
        <w:rPr>
          <w:rFonts w:ascii="Times New Roman" w:hAnsi="Times New Roman" w:cs="Times New Roman"/>
          <w:sz w:val="20"/>
          <w:szCs w:val="20"/>
          <w:lang w:val="vi-VN"/>
        </w:rPr>
        <w:t xml:space="preserve">yếu tố </w:t>
      </w:r>
      <w:r w:rsidR="005716E3" w:rsidRPr="00B346E8">
        <w:rPr>
          <w:rFonts w:ascii="Times New Roman" w:hAnsi="Times New Roman" w:cs="Times New Roman"/>
          <w:sz w:val="20"/>
          <w:szCs w:val="20"/>
          <w:lang w:val="vi-VN"/>
        </w:rPr>
        <w:t>xã hội và môi trường trong đánh giá rủi ro của ngân hàng và quyết định cấp tín dụng, tập trung nguyên tắc chính về</w:t>
      </w:r>
      <w:r w:rsidR="00CA5EE2" w:rsidRPr="00B346E8">
        <w:rPr>
          <w:rFonts w:ascii="Times New Roman" w:hAnsi="Times New Roman" w:cs="Times New Roman"/>
          <w:sz w:val="20"/>
          <w:szCs w:val="20"/>
          <w:lang w:val="vi-VN"/>
        </w:rPr>
        <w:t xml:space="preserve"> minh bạch thông tin</w:t>
      </w:r>
      <w:r w:rsidR="005716E3" w:rsidRPr="00B346E8">
        <w:rPr>
          <w:rFonts w:ascii="Times New Roman" w:hAnsi="Times New Roman" w:cs="Times New Roman"/>
          <w:sz w:val="20"/>
          <w:szCs w:val="20"/>
          <w:lang w:val="vi-VN"/>
        </w:rPr>
        <w:t xml:space="preserve">, kiểm soát nội bộ, tăng hiểu biết, </w:t>
      </w:r>
      <w:r w:rsidR="00CA5EE2" w:rsidRPr="00B346E8">
        <w:rPr>
          <w:rFonts w:ascii="Times New Roman" w:hAnsi="Times New Roman" w:cs="Times New Roman"/>
          <w:sz w:val="20"/>
          <w:szCs w:val="20"/>
          <w:lang w:val="vi-VN"/>
        </w:rPr>
        <w:t xml:space="preserve">xây dựng nội lực, và phát triển kỹ năng. </w:t>
      </w:r>
    </w:p>
    <w:p w14:paraId="1E47B27A" w14:textId="31E55C6F" w:rsidR="00605481" w:rsidRPr="00B346E8" w:rsidRDefault="00605481"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Thổ Nhĩ Kỳ: Ngân hàng Thổ Nhĩ Kỳ tuân thủ nguyên tắc hoạt động thúc đẩy ngân hàng</w:t>
      </w:r>
      <w:r w:rsidR="001455E5" w:rsidRPr="00B346E8">
        <w:rPr>
          <w:rFonts w:ascii="Times New Roman" w:hAnsi="Times New Roman" w:cs="Times New Roman"/>
          <w:sz w:val="20"/>
          <w:szCs w:val="20"/>
          <w:lang w:val="vi-VN"/>
        </w:rPr>
        <w:t xml:space="preserve"> phát triển</w:t>
      </w:r>
      <w:r w:rsidRPr="00B346E8">
        <w:rPr>
          <w:rFonts w:ascii="Times New Roman" w:hAnsi="Times New Roman" w:cs="Times New Roman"/>
          <w:sz w:val="20"/>
          <w:szCs w:val="20"/>
          <w:lang w:val="vi-VN"/>
        </w:rPr>
        <w:t xml:space="preserve"> bền vững. Năm 2014, Hiệp Hội Ngân hàng Thổ Nhĩ Kỳ ban hành Hướng dẫn hoạt động bền vững cho ngành ngân hàng, bao gồm trách nhiệm môi trường được bao hàm trong qui định về chuẩn mực đạo đức ngân hàng</w:t>
      </w:r>
      <w:r w:rsidR="001455E5" w:rsidRPr="00B346E8">
        <w:rPr>
          <w:rFonts w:ascii="Times New Roman" w:hAnsi="Times New Roman" w:cs="Times New Roman"/>
          <w:sz w:val="20"/>
          <w:szCs w:val="20"/>
          <w:lang w:val="vi-VN"/>
        </w:rPr>
        <w:t xml:space="preserve">. </w:t>
      </w:r>
    </w:p>
    <w:p w14:paraId="680AD149" w14:textId="32A06CCA" w:rsidR="00E247A7" w:rsidRPr="00B346E8" w:rsidRDefault="001D1C01" w:rsidP="00B346E8">
      <w:pPr>
        <w:spacing w:after="120" w:line="20" w:lineRule="atLeast"/>
        <w:jc w:val="both"/>
        <w:rPr>
          <w:rFonts w:ascii="Times New Roman" w:hAnsi="Times New Roman" w:cs="Times New Roman"/>
          <w:sz w:val="20"/>
          <w:szCs w:val="20"/>
          <w:lang w:val="vi-VN"/>
        </w:rPr>
      </w:pPr>
      <w:r w:rsidRPr="00B346E8">
        <w:rPr>
          <w:rFonts w:ascii="Times New Roman" w:hAnsi="Times New Roman" w:cs="Times New Roman"/>
          <w:sz w:val="20"/>
          <w:szCs w:val="20"/>
          <w:lang w:val="vi-VN"/>
        </w:rPr>
        <w:t>Huy động vốn của ngân hàng công được thực hiện với mục tiêu ngân hàng xanh tiến hành với sự hỗ trợ của công cụ tài chính (</w:t>
      </w:r>
      <w:r w:rsidR="00855709" w:rsidRPr="00B346E8">
        <w:rPr>
          <w:rFonts w:ascii="Times New Roman" w:hAnsi="Times New Roman" w:cs="Times New Roman"/>
          <w:sz w:val="20"/>
          <w:szCs w:val="20"/>
          <w:lang w:val="vi-VN"/>
        </w:rPr>
        <w:t xml:space="preserve">phi </w:t>
      </w:r>
      <w:r w:rsidRPr="00B346E8">
        <w:rPr>
          <w:rFonts w:ascii="Times New Roman" w:hAnsi="Times New Roman" w:cs="Times New Roman"/>
          <w:sz w:val="20"/>
          <w:szCs w:val="20"/>
          <w:lang w:val="vi-VN"/>
        </w:rPr>
        <w:t>thuế thu nhập lãi tiền</w:t>
      </w:r>
      <w:r w:rsidR="001455E5" w:rsidRPr="00B346E8">
        <w:rPr>
          <w:rFonts w:ascii="Times New Roman" w:hAnsi="Times New Roman" w:cs="Times New Roman"/>
          <w:sz w:val="20"/>
          <w:szCs w:val="20"/>
          <w:lang w:val="vi-VN"/>
        </w:rPr>
        <w:t xml:space="preserve"> gửi</w:t>
      </w:r>
      <w:r w:rsidRPr="00B346E8">
        <w:rPr>
          <w:rFonts w:ascii="Times New Roman" w:hAnsi="Times New Roman" w:cs="Times New Roman"/>
          <w:sz w:val="20"/>
          <w:szCs w:val="20"/>
          <w:lang w:val="vi-VN"/>
        </w:rPr>
        <w:t xml:space="preserve">). Ví dụ ngân hàng công </w:t>
      </w:r>
      <w:r w:rsidR="00855709" w:rsidRPr="00B346E8">
        <w:rPr>
          <w:rFonts w:ascii="Times New Roman" w:hAnsi="Times New Roman" w:cs="Times New Roman"/>
          <w:sz w:val="20"/>
          <w:szCs w:val="20"/>
          <w:lang w:val="vi-VN"/>
        </w:rPr>
        <w:t xml:space="preserve">tại Pháp, </w:t>
      </w:r>
      <w:r w:rsidR="00855709" w:rsidRPr="00B346E8">
        <w:rPr>
          <w:rFonts w:ascii="Times New Roman" w:hAnsi="Times New Roman" w:cs="Times New Roman"/>
          <w:sz w:val="20"/>
          <w:szCs w:val="20"/>
        </w:rPr>
        <w:t>Caisse des Dépôts et Consignations</w:t>
      </w:r>
      <w:r w:rsidRPr="00B346E8">
        <w:rPr>
          <w:rFonts w:ascii="Times New Roman" w:hAnsi="Times New Roman" w:cs="Times New Roman"/>
          <w:sz w:val="20"/>
          <w:szCs w:val="20"/>
          <w:lang w:val="vi-VN"/>
        </w:rPr>
        <w:t xml:space="preserve"> </w:t>
      </w:r>
      <w:r w:rsidR="00855709" w:rsidRPr="00B346E8">
        <w:rPr>
          <w:rFonts w:ascii="Times New Roman" w:hAnsi="Times New Roman" w:cs="Times New Roman"/>
          <w:sz w:val="20"/>
          <w:szCs w:val="20"/>
          <w:lang w:val="vi-VN"/>
        </w:rPr>
        <w:t xml:space="preserve">(CDC) với chương trình huy động không đánh thuế lãi tiền gửi đã dành một nửa số vốn huy động đầu tư cho vay nhà ở xã hội và cơ sở hạ tầng địa phương, nửa vốn còn lại đầu tư vào các thị trường vốn. </w:t>
      </w:r>
      <w:r w:rsidR="00E247A7" w:rsidRPr="00B346E8">
        <w:rPr>
          <w:rFonts w:ascii="Times New Roman" w:hAnsi="Times New Roman" w:cs="Times New Roman"/>
          <w:sz w:val="20"/>
          <w:szCs w:val="20"/>
          <w:lang w:val="vi-VN"/>
        </w:rPr>
        <w:t xml:space="preserve">Một số ngân hàng dành tới 60% nguồn lực huy động phi thuế lãi tiền gửi vào các dự án đổi mới của doanh nghiệp vừa và nhỏ. Ngân hàng Châu Âu nhấn mạnh thành công của chương trình bao hàm một loạt cơ chế dịch vụ ngân hàng xanh với sự hỗ trợ của chính sách tài chính (miễn thuế). Ví dụ, miễn thuế lãi tiền gửi đối với tiền tiết kiệm và quĩ hưu trí </w:t>
      </w:r>
      <w:r w:rsidR="0060200D" w:rsidRPr="00B346E8">
        <w:rPr>
          <w:rFonts w:ascii="Times New Roman" w:hAnsi="Times New Roman" w:cs="Times New Roman"/>
          <w:sz w:val="20"/>
          <w:szCs w:val="20"/>
          <w:lang w:val="vi-VN"/>
        </w:rPr>
        <w:t xml:space="preserve">nhằm hỗ trợ các ý tưởng đầu tư xanh. </w:t>
      </w:r>
      <w:r w:rsidR="00E247A7" w:rsidRPr="00B346E8">
        <w:rPr>
          <w:rFonts w:ascii="Times New Roman" w:hAnsi="Times New Roman" w:cs="Times New Roman"/>
          <w:sz w:val="20"/>
          <w:szCs w:val="20"/>
          <w:lang w:val="vi-VN"/>
        </w:rPr>
        <w:t xml:space="preserve"> </w:t>
      </w:r>
    </w:p>
    <w:p w14:paraId="682203CC" w14:textId="17E23C2D" w:rsidR="00065EF6" w:rsidRPr="00B346E8" w:rsidRDefault="000C578F" w:rsidP="00B346E8">
      <w:pPr>
        <w:spacing w:after="120" w:line="20" w:lineRule="atLeast"/>
        <w:jc w:val="right"/>
        <w:rPr>
          <w:rFonts w:ascii="Times New Roman" w:hAnsi="Times New Roman" w:cs="Times New Roman"/>
          <w:i/>
          <w:iCs/>
          <w:sz w:val="20"/>
          <w:szCs w:val="20"/>
          <w:lang w:val="vi-VN"/>
        </w:rPr>
      </w:pPr>
      <w:r w:rsidRPr="00B346E8">
        <w:rPr>
          <w:rFonts w:ascii="Times New Roman" w:hAnsi="Times New Roman" w:cs="Times New Roman"/>
          <w:sz w:val="20"/>
          <w:szCs w:val="20"/>
          <w:lang w:val="vi-VN"/>
        </w:rPr>
        <w:tab/>
      </w:r>
      <w:r w:rsidRPr="00B346E8">
        <w:rPr>
          <w:rFonts w:ascii="Times New Roman" w:hAnsi="Times New Roman" w:cs="Times New Roman"/>
          <w:sz w:val="20"/>
          <w:szCs w:val="20"/>
          <w:lang w:val="vi-VN"/>
        </w:rPr>
        <w:tab/>
      </w:r>
      <w:r w:rsidR="00DC59BA" w:rsidRPr="00B346E8">
        <w:rPr>
          <w:rFonts w:ascii="Times New Roman" w:hAnsi="Times New Roman" w:cs="Times New Roman"/>
          <w:bCs/>
          <w:i/>
          <w:iCs/>
          <w:sz w:val="20"/>
          <w:szCs w:val="20"/>
          <w:lang w:val="vi-VN"/>
        </w:rPr>
        <w:t>Nguyễn Trần Dương, Ths., Đại học Kinh tế Quốc dân</w:t>
      </w:r>
    </w:p>
    <w:p w14:paraId="22763A3C" w14:textId="603B1BBB" w:rsidR="00065EF6" w:rsidRDefault="00053F06" w:rsidP="00B346E8">
      <w:pPr>
        <w:pStyle w:val="BodyTextIndent"/>
        <w:widowControl w:val="0"/>
        <w:spacing w:after="120" w:line="20" w:lineRule="atLeast"/>
        <w:ind w:left="0"/>
        <w:jc w:val="right"/>
        <w:rPr>
          <w:rFonts w:ascii="Times New Roman" w:hAnsi="Times New Roman"/>
          <w:i/>
          <w:iCs/>
          <w:spacing w:val="-4"/>
          <w:sz w:val="20"/>
          <w:lang w:val="vi-VN"/>
        </w:rPr>
      </w:pPr>
      <w:r w:rsidRPr="00B346E8">
        <w:rPr>
          <w:rFonts w:ascii="Times New Roman" w:hAnsi="Times New Roman"/>
          <w:i/>
          <w:iCs/>
          <w:spacing w:val="-4"/>
          <w:sz w:val="20"/>
          <w:lang w:val="vi-VN"/>
        </w:rPr>
        <w:t>Nguyễn Thị Kim Oanh,</w:t>
      </w:r>
      <w:r w:rsidR="00DC59BA" w:rsidRPr="00B346E8">
        <w:rPr>
          <w:rFonts w:ascii="Times New Roman" w:hAnsi="Times New Roman"/>
          <w:i/>
          <w:iCs/>
          <w:spacing w:val="-4"/>
          <w:sz w:val="20"/>
          <w:lang w:val="vi-VN"/>
        </w:rPr>
        <w:t xml:space="preserve"> TS.</w:t>
      </w:r>
      <w:r w:rsidRPr="00B346E8">
        <w:rPr>
          <w:rFonts w:ascii="Times New Roman" w:hAnsi="Times New Roman"/>
          <w:i/>
          <w:iCs/>
          <w:spacing w:val="-4"/>
          <w:sz w:val="20"/>
          <w:lang w:val="vi-VN"/>
        </w:rPr>
        <w:t xml:space="preserve"> HSB, VNU, và QUT, Australia</w:t>
      </w:r>
    </w:p>
    <w:p w14:paraId="56A3CB3F" w14:textId="77777777" w:rsidR="00B346E8" w:rsidRPr="00B346E8" w:rsidRDefault="00B346E8" w:rsidP="00B346E8">
      <w:pPr>
        <w:pStyle w:val="BodyTextIndent"/>
        <w:widowControl w:val="0"/>
        <w:spacing w:after="120" w:line="20" w:lineRule="atLeast"/>
        <w:ind w:left="0"/>
        <w:jc w:val="right"/>
        <w:rPr>
          <w:rFonts w:ascii="Times New Roman" w:hAnsi="Times New Roman"/>
          <w:i/>
          <w:iCs/>
          <w:spacing w:val="-4"/>
          <w:sz w:val="20"/>
          <w:lang w:val="vi-VN"/>
        </w:rPr>
      </w:pPr>
    </w:p>
    <w:p w14:paraId="2CA4D0D6" w14:textId="77777777" w:rsidR="00065EF6" w:rsidRPr="00B346E8" w:rsidRDefault="00065EF6" w:rsidP="00B346E8">
      <w:pPr>
        <w:pStyle w:val="BodyTextIndent"/>
        <w:widowControl w:val="0"/>
        <w:spacing w:after="120" w:line="20" w:lineRule="atLeast"/>
        <w:ind w:left="0"/>
        <w:jc w:val="right"/>
        <w:rPr>
          <w:rFonts w:ascii="Times New Roman" w:hAnsi="Times New Roman"/>
          <w:spacing w:val="-4"/>
          <w:sz w:val="20"/>
          <w:lang w:val="vi-VN"/>
        </w:rPr>
      </w:pPr>
      <w:r w:rsidRPr="00B346E8">
        <w:rPr>
          <w:rFonts w:ascii="Times New Roman" w:hAnsi="Times New Roman"/>
          <w:spacing w:val="-4"/>
          <w:sz w:val="20"/>
          <w:lang w:val="vi-VN"/>
        </w:rPr>
        <w:t>Liên hệ về bài viết: Nguyễn thị Kim Oanh, QUT, Brisbane</w:t>
      </w:r>
    </w:p>
    <w:p w14:paraId="49EC6EB1" w14:textId="77777777" w:rsidR="00065EF6" w:rsidRPr="00B346E8" w:rsidRDefault="00065EF6" w:rsidP="00B346E8">
      <w:pPr>
        <w:pStyle w:val="BodyTextIndent"/>
        <w:widowControl w:val="0"/>
        <w:spacing w:after="120" w:line="20" w:lineRule="atLeast"/>
        <w:ind w:left="0"/>
        <w:jc w:val="right"/>
        <w:rPr>
          <w:rFonts w:ascii="Times New Roman" w:hAnsi="Times New Roman"/>
          <w:spacing w:val="-4"/>
          <w:sz w:val="20"/>
          <w:lang w:val="vi-VN"/>
        </w:rPr>
      </w:pPr>
      <w:r w:rsidRPr="00B346E8">
        <w:rPr>
          <w:rFonts w:ascii="Times New Roman" w:hAnsi="Times New Roman"/>
          <w:spacing w:val="-4"/>
          <w:sz w:val="20"/>
          <w:lang w:val="vi-VN"/>
        </w:rPr>
        <w:t>oanhxuanphuong@yahoo.com</w:t>
      </w:r>
    </w:p>
    <w:p w14:paraId="770C6207" w14:textId="77777777" w:rsidR="000C578F" w:rsidRPr="00B346E8" w:rsidRDefault="000C578F" w:rsidP="00B346E8">
      <w:pPr>
        <w:spacing w:after="120" w:line="20" w:lineRule="atLeast"/>
        <w:rPr>
          <w:rFonts w:ascii="Times New Roman" w:hAnsi="Times New Roman" w:cs="Times New Roman"/>
          <w:sz w:val="20"/>
          <w:szCs w:val="20"/>
          <w:lang w:val="vi-VN"/>
        </w:rPr>
      </w:pPr>
    </w:p>
    <w:p w14:paraId="1DC51E3C" w14:textId="77777777" w:rsidR="001B5D81" w:rsidRPr="00B346E8" w:rsidRDefault="001B5D81" w:rsidP="00B346E8">
      <w:pPr>
        <w:spacing w:after="120" w:line="20" w:lineRule="atLeast"/>
        <w:rPr>
          <w:rFonts w:ascii="Times New Roman" w:hAnsi="Times New Roman" w:cs="Times New Roman"/>
          <w:sz w:val="20"/>
          <w:szCs w:val="20"/>
          <w:lang w:val="vi-VN"/>
        </w:rPr>
      </w:pPr>
      <w:r w:rsidRPr="00B346E8">
        <w:rPr>
          <w:rFonts w:ascii="Times New Roman" w:hAnsi="Times New Roman" w:cs="Times New Roman"/>
          <w:sz w:val="20"/>
          <w:szCs w:val="20"/>
          <w:lang w:val="vi-VN"/>
        </w:rPr>
        <w:t xml:space="preserve">Tài liệu tham khảo: </w:t>
      </w:r>
    </w:p>
    <w:p w14:paraId="1F3C8502" w14:textId="0192F27C" w:rsidR="00BB0DBB" w:rsidRPr="00B346E8" w:rsidRDefault="001B5D81" w:rsidP="00B346E8">
      <w:pPr>
        <w:spacing w:after="120" w:line="20" w:lineRule="atLeast"/>
        <w:jc w:val="both"/>
        <w:rPr>
          <w:rFonts w:ascii="Times New Roman" w:hAnsi="Times New Roman" w:cs="Times New Roman"/>
          <w:bCs/>
          <w:sz w:val="20"/>
          <w:szCs w:val="20"/>
        </w:rPr>
      </w:pPr>
      <w:r w:rsidRPr="00B346E8">
        <w:rPr>
          <w:rFonts w:ascii="Times New Roman" w:eastAsia="Times New Roman" w:hAnsi="Times New Roman" w:cs="Times New Roman"/>
          <w:bCs/>
          <w:iCs/>
          <w:sz w:val="20"/>
          <w:szCs w:val="20"/>
        </w:rPr>
        <w:t xml:space="preserve">Mahfuzur </w:t>
      </w:r>
      <w:r w:rsidRPr="00B346E8">
        <w:rPr>
          <w:rFonts w:ascii="Times New Roman" w:eastAsia="Times New Roman" w:hAnsi="Times New Roman" w:cs="Times New Roman"/>
          <w:bCs/>
          <w:iCs/>
          <w:sz w:val="20"/>
          <w:szCs w:val="20"/>
          <w:lang w:val="vi-VN"/>
        </w:rPr>
        <w:t xml:space="preserve">and </w:t>
      </w:r>
      <w:r w:rsidRPr="00B346E8">
        <w:rPr>
          <w:rFonts w:ascii="Times New Roman" w:eastAsia="Times New Roman" w:hAnsi="Times New Roman" w:cs="Times New Roman"/>
          <w:bCs/>
          <w:iCs/>
          <w:sz w:val="20"/>
          <w:szCs w:val="20"/>
        </w:rPr>
        <w:t>Suborna</w:t>
      </w:r>
      <w:r w:rsidRPr="00B346E8">
        <w:rPr>
          <w:rFonts w:ascii="Times New Roman" w:eastAsia="Times New Roman" w:hAnsi="Times New Roman" w:cs="Times New Roman"/>
          <w:bCs/>
          <w:sz w:val="20"/>
          <w:szCs w:val="20"/>
        </w:rPr>
        <w:t xml:space="preserve"> </w:t>
      </w:r>
      <w:r w:rsidR="00C873CD" w:rsidRPr="00B346E8">
        <w:rPr>
          <w:rFonts w:ascii="Times New Roman" w:eastAsia="Times New Roman" w:hAnsi="Times New Roman" w:cs="Times New Roman"/>
          <w:bCs/>
          <w:sz w:val="20"/>
          <w:szCs w:val="20"/>
          <w:lang w:val="vi-VN"/>
        </w:rPr>
        <w:t xml:space="preserve">(2016), </w:t>
      </w:r>
      <w:r w:rsidRPr="00B346E8">
        <w:rPr>
          <w:rFonts w:ascii="Times New Roman" w:eastAsia="Times New Roman" w:hAnsi="Times New Roman" w:cs="Times New Roman"/>
          <w:bCs/>
          <w:i/>
          <w:iCs/>
          <w:sz w:val="20"/>
          <w:szCs w:val="20"/>
        </w:rPr>
        <w:t>THE DESIGN AND ADOPTION OF GREEN BANKING FRAMEWORK FOR ENVIRONMENT PROTECTION: LESSONS FROM BANGLADESH</w:t>
      </w:r>
      <w:r w:rsidR="00C873CD" w:rsidRPr="00B346E8">
        <w:rPr>
          <w:rFonts w:ascii="Times New Roman" w:eastAsia="Times New Roman" w:hAnsi="Times New Roman" w:cs="Times New Roman"/>
          <w:bCs/>
          <w:sz w:val="20"/>
          <w:szCs w:val="20"/>
          <w:lang w:val="vi-VN"/>
        </w:rPr>
        <w:t>,</w:t>
      </w:r>
      <w:r w:rsidRPr="00B346E8">
        <w:rPr>
          <w:rFonts w:ascii="Times New Roman" w:eastAsia="Times New Roman" w:hAnsi="Times New Roman" w:cs="Times New Roman"/>
          <w:bCs/>
          <w:sz w:val="20"/>
          <w:szCs w:val="20"/>
        </w:rPr>
        <w:t xml:space="preserve"> </w:t>
      </w:r>
      <w:r w:rsidR="00C873CD" w:rsidRPr="00B346E8">
        <w:rPr>
          <w:rFonts w:ascii="Times New Roman" w:hAnsi="Times New Roman" w:cs="Times New Roman"/>
          <w:bCs/>
          <w:sz w:val="20"/>
          <w:szCs w:val="20"/>
          <w:lang w:val="vi-VN"/>
        </w:rPr>
        <w:t>Australian Journal of Sustaina</w:t>
      </w:r>
      <w:r w:rsidR="00E30670" w:rsidRPr="00B346E8">
        <w:rPr>
          <w:rFonts w:ascii="Times New Roman" w:hAnsi="Times New Roman" w:cs="Times New Roman"/>
          <w:bCs/>
          <w:sz w:val="20"/>
          <w:szCs w:val="20"/>
          <w:lang w:val="vi-VN"/>
        </w:rPr>
        <w:t>ble Business and Sociaty, Vol. 2, No. 1, March, 2016</w:t>
      </w:r>
      <w:r w:rsidRPr="00B346E8">
        <w:rPr>
          <w:rFonts w:ascii="Times New Roman" w:hAnsi="Times New Roman" w:cs="Times New Roman"/>
          <w:bCs/>
          <w:sz w:val="20"/>
          <w:szCs w:val="20"/>
        </w:rPr>
        <w:t xml:space="preserve"> </w:t>
      </w:r>
    </w:p>
    <w:p w14:paraId="50545D97" w14:textId="28A022CA" w:rsidR="00BB0DBB" w:rsidRPr="00B346E8" w:rsidRDefault="002D1C9B" w:rsidP="00B346E8">
      <w:pPr>
        <w:spacing w:after="120" w:line="20" w:lineRule="atLeast"/>
        <w:jc w:val="both"/>
        <w:rPr>
          <w:rFonts w:ascii="Times New Roman" w:hAnsi="Times New Roman" w:cs="Times New Roman"/>
          <w:color w:val="000000" w:themeColor="text1"/>
          <w:sz w:val="20"/>
          <w:szCs w:val="20"/>
        </w:rPr>
      </w:pPr>
      <w:r w:rsidRPr="00B346E8">
        <w:rPr>
          <w:rFonts w:ascii="Times New Roman" w:hAnsi="Times New Roman" w:cs="Times New Roman"/>
          <w:sz w:val="20"/>
          <w:szCs w:val="20"/>
        </w:rPr>
        <w:t>Nick Robins and Jeremy McDaniels</w:t>
      </w:r>
      <w:r w:rsidR="00EF1E01" w:rsidRPr="00B346E8">
        <w:rPr>
          <w:rFonts w:ascii="Times New Roman" w:hAnsi="Times New Roman" w:cs="Times New Roman"/>
          <w:sz w:val="20"/>
          <w:szCs w:val="20"/>
          <w:lang w:val="vi-VN"/>
        </w:rPr>
        <w:t xml:space="preserve"> (2016), </w:t>
      </w:r>
      <w:r w:rsidR="00EF1E01" w:rsidRPr="00B346E8">
        <w:rPr>
          <w:rFonts w:ascii="Times New Roman" w:hAnsi="Times New Roman" w:cs="Times New Roman"/>
          <w:i/>
          <w:iCs/>
          <w:sz w:val="20"/>
          <w:szCs w:val="20"/>
        </w:rPr>
        <w:t>GREENING THE BANKING SYSTEM Taking Stock of G20 Green Banking Market Practice</w:t>
      </w:r>
      <w:r w:rsidR="00EF1E01" w:rsidRPr="00B346E8">
        <w:rPr>
          <w:rFonts w:ascii="Times New Roman" w:hAnsi="Times New Roman" w:cs="Times New Roman"/>
          <w:sz w:val="20"/>
          <w:szCs w:val="20"/>
          <w:lang w:val="vi-VN"/>
        </w:rPr>
        <w:t>, Sep. 2016,</w:t>
      </w:r>
      <w:r w:rsidR="00E966C1" w:rsidRPr="00B346E8">
        <w:rPr>
          <w:rFonts w:ascii="Times New Roman" w:hAnsi="Times New Roman" w:cs="Times New Roman"/>
          <w:sz w:val="20"/>
          <w:szCs w:val="20"/>
          <w:lang w:val="vi-VN"/>
        </w:rPr>
        <w:t xml:space="preserve"> </w:t>
      </w:r>
      <w:hyperlink r:id="rId10" w:history="1">
        <w:r w:rsidR="00EF1E01" w:rsidRPr="00B346E8">
          <w:rPr>
            <w:rStyle w:val="Hyperlink"/>
            <w:rFonts w:ascii="Times New Roman" w:hAnsi="Times New Roman" w:cs="Times New Roman"/>
            <w:color w:val="000000" w:themeColor="text1"/>
            <w:sz w:val="20"/>
            <w:szCs w:val="20"/>
            <w:u w:val="none"/>
          </w:rPr>
          <w:t>http://unepinquiry.org/wp-content/uploads/2016/09/9_Greening_the_Banking_System.pdf</w:t>
        </w:r>
      </w:hyperlink>
    </w:p>
    <w:p w14:paraId="740C3FE2" w14:textId="64B90275" w:rsidR="001B5D81" w:rsidRPr="00B346E8" w:rsidRDefault="00046C79" w:rsidP="00B346E8">
      <w:pPr>
        <w:spacing w:after="120" w:line="20" w:lineRule="atLeast"/>
        <w:jc w:val="both"/>
        <w:rPr>
          <w:rFonts w:ascii="Times New Roman" w:hAnsi="Times New Roman" w:cs="Times New Roman"/>
          <w:bCs/>
          <w:sz w:val="20"/>
          <w:szCs w:val="20"/>
          <w:lang w:val="vi-VN"/>
        </w:rPr>
      </w:pPr>
      <w:r w:rsidRPr="00B346E8">
        <w:rPr>
          <w:rFonts w:ascii="Times New Roman" w:hAnsi="Times New Roman" w:cs="Times New Roman"/>
          <w:sz w:val="20"/>
          <w:szCs w:val="20"/>
        </w:rPr>
        <w:t>KANAK TARA , SAUMYA SINGH and RITESH KUMAR</w:t>
      </w:r>
      <w:r w:rsidRPr="00B346E8">
        <w:rPr>
          <w:rFonts w:ascii="Times New Roman" w:hAnsi="Times New Roman" w:cs="Times New Roman"/>
          <w:sz w:val="20"/>
          <w:szCs w:val="20"/>
          <w:lang w:val="vi-VN"/>
        </w:rPr>
        <w:t xml:space="preserve"> (2015), </w:t>
      </w:r>
      <w:r w:rsidRPr="00B346E8">
        <w:rPr>
          <w:rFonts w:ascii="Times New Roman" w:hAnsi="Times New Roman" w:cs="Times New Roman"/>
          <w:sz w:val="20"/>
          <w:szCs w:val="20"/>
        </w:rPr>
        <w:t xml:space="preserve"> </w:t>
      </w:r>
      <w:r w:rsidRPr="00B346E8">
        <w:rPr>
          <w:rFonts w:ascii="Times New Roman" w:hAnsi="Times New Roman" w:cs="Times New Roman"/>
          <w:i/>
          <w:iCs/>
          <w:sz w:val="20"/>
          <w:szCs w:val="20"/>
        </w:rPr>
        <w:t>Green Banking for Environmental Management: A Paradigm Shift</w:t>
      </w:r>
      <w:r w:rsidRPr="00B346E8">
        <w:rPr>
          <w:rFonts w:ascii="Times New Roman" w:hAnsi="Times New Roman" w:cs="Times New Roman"/>
          <w:sz w:val="20"/>
          <w:szCs w:val="20"/>
        </w:rPr>
        <w:t xml:space="preserve"> http://dx.doi.org/10.12944/CWE.10.3.36 September 19, 2015)</w:t>
      </w:r>
    </w:p>
    <w:sectPr w:rsidR="001B5D81" w:rsidRPr="00B346E8" w:rsidSect="00B346E8">
      <w:footerReference w:type="default" r:id="rId11"/>
      <w:pgSz w:w="11906" w:h="16838"/>
      <w:pgMar w:top="720" w:right="991" w:bottom="720" w:left="993"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huong Ho" w:date="2019-10-18T13:54:00Z" w:initials="PH">
    <w:p w14:paraId="77333602" w14:textId="02ABD295" w:rsidR="001455E5" w:rsidRDefault="001455E5">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3336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333602" w16cid:durableId="215442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03380" w14:textId="77777777" w:rsidR="004D6304" w:rsidRDefault="004D6304" w:rsidP="008B036A">
      <w:pPr>
        <w:spacing w:after="0" w:line="240" w:lineRule="auto"/>
      </w:pPr>
      <w:r>
        <w:separator/>
      </w:r>
    </w:p>
  </w:endnote>
  <w:endnote w:type="continuationSeparator" w:id="0">
    <w:p w14:paraId="2A0D5A1F" w14:textId="77777777" w:rsidR="004D6304" w:rsidRDefault="004D6304" w:rsidP="008B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327871"/>
      <w:docPartObj>
        <w:docPartGallery w:val="Page Numbers (Bottom of Page)"/>
        <w:docPartUnique/>
      </w:docPartObj>
    </w:sdtPr>
    <w:sdtEndPr>
      <w:rPr>
        <w:noProof/>
      </w:rPr>
    </w:sdtEndPr>
    <w:sdtContent>
      <w:p w14:paraId="4E76AF57" w14:textId="15777227" w:rsidR="008B036A" w:rsidRDefault="008B036A">
        <w:pPr>
          <w:pStyle w:val="Footer"/>
          <w:jc w:val="center"/>
        </w:pPr>
        <w:r>
          <w:fldChar w:fldCharType="begin"/>
        </w:r>
        <w:r>
          <w:instrText xml:space="preserve"> PAGE   \* MERGEFORMAT </w:instrText>
        </w:r>
        <w:r>
          <w:fldChar w:fldCharType="separate"/>
        </w:r>
        <w:r w:rsidR="00417A3B">
          <w:rPr>
            <w:noProof/>
          </w:rPr>
          <w:t>2</w:t>
        </w:r>
        <w:r>
          <w:rPr>
            <w:noProof/>
          </w:rPr>
          <w:fldChar w:fldCharType="end"/>
        </w:r>
      </w:p>
    </w:sdtContent>
  </w:sdt>
  <w:p w14:paraId="12384F17" w14:textId="77777777" w:rsidR="008B036A" w:rsidRDefault="008B0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4A8D1" w14:textId="77777777" w:rsidR="004D6304" w:rsidRDefault="004D6304" w:rsidP="008B036A">
      <w:pPr>
        <w:spacing w:after="0" w:line="240" w:lineRule="auto"/>
      </w:pPr>
      <w:r>
        <w:separator/>
      </w:r>
    </w:p>
  </w:footnote>
  <w:footnote w:type="continuationSeparator" w:id="0">
    <w:p w14:paraId="1B0F94A5" w14:textId="77777777" w:rsidR="004D6304" w:rsidRDefault="004D6304" w:rsidP="008B0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A4872"/>
    <w:multiLevelType w:val="hybridMultilevel"/>
    <w:tmpl w:val="010475AE"/>
    <w:lvl w:ilvl="0" w:tplc="06E853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C4ED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1C2F1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F6E0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D234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6486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D41F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C9B5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068C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35FD79DC"/>
    <w:multiLevelType w:val="hybridMultilevel"/>
    <w:tmpl w:val="5A76D926"/>
    <w:lvl w:ilvl="0" w:tplc="3FCE32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9C82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3AECB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4CB0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0A7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7859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0E1B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90FFC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38D7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5F54584C"/>
    <w:multiLevelType w:val="hybridMultilevel"/>
    <w:tmpl w:val="3648EE38"/>
    <w:lvl w:ilvl="0" w:tplc="6646F1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A051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9211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26A7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1483B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E46B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704A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6037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C4F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uong Ho">
    <w15:presenceInfo w15:providerId="None" w15:userId="Phuong 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48"/>
    <w:rsid w:val="000013B0"/>
    <w:rsid w:val="00046C79"/>
    <w:rsid w:val="00053F06"/>
    <w:rsid w:val="00065EF6"/>
    <w:rsid w:val="00094ADC"/>
    <w:rsid w:val="000C578F"/>
    <w:rsid w:val="000D1917"/>
    <w:rsid w:val="000E2953"/>
    <w:rsid w:val="000F574F"/>
    <w:rsid w:val="001455E5"/>
    <w:rsid w:val="001B4ED2"/>
    <w:rsid w:val="001B5D81"/>
    <w:rsid w:val="001D1C01"/>
    <w:rsid w:val="001E6C48"/>
    <w:rsid w:val="00237F01"/>
    <w:rsid w:val="002971C7"/>
    <w:rsid w:val="002A258C"/>
    <w:rsid w:val="002C0335"/>
    <w:rsid w:val="002C3F8A"/>
    <w:rsid w:val="002C603C"/>
    <w:rsid w:val="002D1C9B"/>
    <w:rsid w:val="00301E14"/>
    <w:rsid w:val="00306217"/>
    <w:rsid w:val="00325D61"/>
    <w:rsid w:val="0038725F"/>
    <w:rsid w:val="00417A3B"/>
    <w:rsid w:val="00430C0C"/>
    <w:rsid w:val="004454E7"/>
    <w:rsid w:val="004D6304"/>
    <w:rsid w:val="00522CE1"/>
    <w:rsid w:val="00522E44"/>
    <w:rsid w:val="00527283"/>
    <w:rsid w:val="00527D5D"/>
    <w:rsid w:val="00553174"/>
    <w:rsid w:val="00561333"/>
    <w:rsid w:val="005716E3"/>
    <w:rsid w:val="005847B5"/>
    <w:rsid w:val="0060200D"/>
    <w:rsid w:val="00605481"/>
    <w:rsid w:val="006B0697"/>
    <w:rsid w:val="006D3F4F"/>
    <w:rsid w:val="006D6048"/>
    <w:rsid w:val="007563F2"/>
    <w:rsid w:val="007650F9"/>
    <w:rsid w:val="007C486B"/>
    <w:rsid w:val="008362F5"/>
    <w:rsid w:val="00850378"/>
    <w:rsid w:val="00855709"/>
    <w:rsid w:val="008655DF"/>
    <w:rsid w:val="008846EE"/>
    <w:rsid w:val="008A30CC"/>
    <w:rsid w:val="008B036A"/>
    <w:rsid w:val="008C3B67"/>
    <w:rsid w:val="008D5046"/>
    <w:rsid w:val="00924BC4"/>
    <w:rsid w:val="00957795"/>
    <w:rsid w:val="0096126A"/>
    <w:rsid w:val="00964703"/>
    <w:rsid w:val="00982DE7"/>
    <w:rsid w:val="00983407"/>
    <w:rsid w:val="009A0D36"/>
    <w:rsid w:val="009E4A09"/>
    <w:rsid w:val="009F6D29"/>
    <w:rsid w:val="00A24C46"/>
    <w:rsid w:val="00A76633"/>
    <w:rsid w:val="00AB3E21"/>
    <w:rsid w:val="00AF7123"/>
    <w:rsid w:val="00B346E8"/>
    <w:rsid w:val="00B653EF"/>
    <w:rsid w:val="00B65E1E"/>
    <w:rsid w:val="00B7747D"/>
    <w:rsid w:val="00B86FD8"/>
    <w:rsid w:val="00BB0DBB"/>
    <w:rsid w:val="00BB299B"/>
    <w:rsid w:val="00BC22F0"/>
    <w:rsid w:val="00BC5A7D"/>
    <w:rsid w:val="00BE18FE"/>
    <w:rsid w:val="00C02CA4"/>
    <w:rsid w:val="00C155E1"/>
    <w:rsid w:val="00C242E0"/>
    <w:rsid w:val="00C8560A"/>
    <w:rsid w:val="00C87062"/>
    <w:rsid w:val="00C873CD"/>
    <w:rsid w:val="00CA5EE2"/>
    <w:rsid w:val="00CE6621"/>
    <w:rsid w:val="00CF2CCF"/>
    <w:rsid w:val="00D14BE5"/>
    <w:rsid w:val="00D43A16"/>
    <w:rsid w:val="00D46403"/>
    <w:rsid w:val="00D51CEE"/>
    <w:rsid w:val="00D87795"/>
    <w:rsid w:val="00D949DE"/>
    <w:rsid w:val="00DA4AB1"/>
    <w:rsid w:val="00DC435D"/>
    <w:rsid w:val="00DC59BA"/>
    <w:rsid w:val="00DD4A15"/>
    <w:rsid w:val="00E247A7"/>
    <w:rsid w:val="00E30018"/>
    <w:rsid w:val="00E30670"/>
    <w:rsid w:val="00E31D6D"/>
    <w:rsid w:val="00E7649B"/>
    <w:rsid w:val="00E966C1"/>
    <w:rsid w:val="00EA35A4"/>
    <w:rsid w:val="00EF1E01"/>
    <w:rsid w:val="00F10105"/>
    <w:rsid w:val="00F117F4"/>
    <w:rsid w:val="00F34B23"/>
    <w:rsid w:val="00F40012"/>
    <w:rsid w:val="00F523D5"/>
    <w:rsid w:val="00F73EFB"/>
    <w:rsid w:val="00FF68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0E6C"/>
  <w15:chartTrackingRefBased/>
  <w15:docId w15:val="{DA77D2FF-5084-4524-B5A6-D9DBDEA1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6D3F4F"/>
    <w:pPr>
      <w:keepNext/>
      <w:keepLines/>
      <w:spacing w:after="129" w:line="267" w:lineRule="auto"/>
      <w:ind w:left="10" w:hanging="10"/>
      <w:jc w:val="both"/>
      <w:outlineLvl w:val="1"/>
    </w:pPr>
    <w:rPr>
      <w:rFonts w:ascii="Candara" w:eastAsia="Candara" w:hAnsi="Candara" w:cs="Candara"/>
      <w:b/>
      <w:color w:val="000000"/>
      <w:lang w:eastAsia="en-AU"/>
    </w:rPr>
  </w:style>
  <w:style w:type="paragraph" w:styleId="Heading3">
    <w:name w:val="heading 3"/>
    <w:basedOn w:val="Normal"/>
    <w:next w:val="Normal"/>
    <w:link w:val="Heading3Char"/>
    <w:uiPriority w:val="9"/>
    <w:semiHidden/>
    <w:unhideWhenUsed/>
    <w:qFormat/>
    <w:rsid w:val="009E4A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1E01"/>
    <w:rPr>
      <w:color w:val="0000FF"/>
      <w:u w:val="single"/>
    </w:rPr>
  </w:style>
  <w:style w:type="character" w:customStyle="1" w:styleId="Heading2Char">
    <w:name w:val="Heading 2 Char"/>
    <w:basedOn w:val="DefaultParagraphFont"/>
    <w:link w:val="Heading2"/>
    <w:uiPriority w:val="9"/>
    <w:rsid w:val="006D3F4F"/>
    <w:rPr>
      <w:rFonts w:ascii="Candara" w:eastAsia="Candara" w:hAnsi="Candara" w:cs="Candara"/>
      <w:b/>
      <w:color w:val="000000"/>
      <w:lang w:eastAsia="en-AU"/>
    </w:rPr>
  </w:style>
  <w:style w:type="table" w:customStyle="1" w:styleId="TableGrid">
    <w:name w:val="TableGrid"/>
    <w:rsid w:val="006D3F4F"/>
    <w:pPr>
      <w:spacing w:after="0" w:line="240" w:lineRule="auto"/>
    </w:pPr>
    <w:rPr>
      <w:rFonts w:eastAsiaTheme="minorEastAsia"/>
      <w:lang w:eastAsia="en-AU"/>
    </w:rPr>
    <w:tblPr>
      <w:tblCellMar>
        <w:top w:w="0" w:type="dxa"/>
        <w:left w:w="0" w:type="dxa"/>
        <w:bottom w:w="0" w:type="dxa"/>
        <w:right w:w="0" w:type="dxa"/>
      </w:tblCellMar>
    </w:tblPr>
  </w:style>
  <w:style w:type="paragraph" w:styleId="Header">
    <w:name w:val="header"/>
    <w:basedOn w:val="Normal"/>
    <w:link w:val="HeaderChar"/>
    <w:uiPriority w:val="99"/>
    <w:unhideWhenUsed/>
    <w:rsid w:val="008B0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36A"/>
  </w:style>
  <w:style w:type="paragraph" w:styleId="Footer">
    <w:name w:val="footer"/>
    <w:basedOn w:val="Normal"/>
    <w:link w:val="FooterChar"/>
    <w:uiPriority w:val="99"/>
    <w:unhideWhenUsed/>
    <w:rsid w:val="008B0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36A"/>
  </w:style>
  <w:style w:type="character" w:customStyle="1" w:styleId="Heading3Char">
    <w:name w:val="Heading 3 Char"/>
    <w:basedOn w:val="DefaultParagraphFont"/>
    <w:link w:val="Heading3"/>
    <w:uiPriority w:val="9"/>
    <w:semiHidden/>
    <w:rsid w:val="009E4A0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1455E5"/>
    <w:rPr>
      <w:sz w:val="16"/>
      <w:szCs w:val="16"/>
    </w:rPr>
  </w:style>
  <w:style w:type="paragraph" w:styleId="CommentText">
    <w:name w:val="annotation text"/>
    <w:basedOn w:val="Normal"/>
    <w:link w:val="CommentTextChar"/>
    <w:uiPriority w:val="99"/>
    <w:semiHidden/>
    <w:unhideWhenUsed/>
    <w:rsid w:val="001455E5"/>
    <w:pPr>
      <w:spacing w:line="240" w:lineRule="auto"/>
    </w:pPr>
    <w:rPr>
      <w:sz w:val="20"/>
      <w:szCs w:val="20"/>
    </w:rPr>
  </w:style>
  <w:style w:type="character" w:customStyle="1" w:styleId="CommentTextChar">
    <w:name w:val="Comment Text Char"/>
    <w:basedOn w:val="DefaultParagraphFont"/>
    <w:link w:val="CommentText"/>
    <w:uiPriority w:val="99"/>
    <w:semiHidden/>
    <w:rsid w:val="001455E5"/>
    <w:rPr>
      <w:sz w:val="20"/>
      <w:szCs w:val="20"/>
    </w:rPr>
  </w:style>
  <w:style w:type="paragraph" w:styleId="CommentSubject">
    <w:name w:val="annotation subject"/>
    <w:basedOn w:val="CommentText"/>
    <w:next w:val="CommentText"/>
    <w:link w:val="CommentSubjectChar"/>
    <w:uiPriority w:val="99"/>
    <w:semiHidden/>
    <w:unhideWhenUsed/>
    <w:rsid w:val="001455E5"/>
    <w:rPr>
      <w:b/>
      <w:bCs/>
    </w:rPr>
  </w:style>
  <w:style w:type="character" w:customStyle="1" w:styleId="CommentSubjectChar">
    <w:name w:val="Comment Subject Char"/>
    <w:basedOn w:val="CommentTextChar"/>
    <w:link w:val="CommentSubject"/>
    <w:uiPriority w:val="99"/>
    <w:semiHidden/>
    <w:rsid w:val="001455E5"/>
    <w:rPr>
      <w:b/>
      <w:bCs/>
      <w:sz w:val="20"/>
      <w:szCs w:val="20"/>
    </w:rPr>
  </w:style>
  <w:style w:type="paragraph" w:styleId="BalloonText">
    <w:name w:val="Balloon Text"/>
    <w:basedOn w:val="Normal"/>
    <w:link w:val="BalloonTextChar"/>
    <w:uiPriority w:val="99"/>
    <w:semiHidden/>
    <w:unhideWhenUsed/>
    <w:rsid w:val="00145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5E5"/>
    <w:rPr>
      <w:rFonts w:ascii="Segoe UI" w:hAnsi="Segoe UI" w:cs="Segoe UI"/>
      <w:sz w:val="18"/>
      <w:szCs w:val="18"/>
    </w:rPr>
  </w:style>
  <w:style w:type="paragraph" w:styleId="BodyTextIndent">
    <w:name w:val="Body Text Indent"/>
    <w:basedOn w:val="Normal"/>
    <w:link w:val="BodyTextIndentChar"/>
    <w:rsid w:val="00065EF6"/>
    <w:pPr>
      <w:spacing w:after="0" w:line="240" w:lineRule="auto"/>
      <w:ind w:left="720"/>
    </w:pPr>
    <w:rPr>
      <w:rFonts w:ascii=".VnTime" w:eastAsia="Times New Roman" w:hAnsi=".VnTime" w:cs="Times New Roman"/>
      <w:sz w:val="28"/>
      <w:szCs w:val="20"/>
      <w:lang w:val="en-US"/>
    </w:rPr>
  </w:style>
  <w:style w:type="character" w:customStyle="1" w:styleId="BodyTextIndentChar">
    <w:name w:val="Body Text Indent Char"/>
    <w:basedOn w:val="DefaultParagraphFont"/>
    <w:link w:val="BodyTextIndent"/>
    <w:rsid w:val="00065EF6"/>
    <w:rPr>
      <w:rFonts w:ascii=".VnTime" w:eastAsia="Times New Roman" w:hAnsi=".VnTime"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unepinquiry.org/wp-content/uploads/2016/09/9_Greening_the_Banking_System.pdf"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Ho</dc:creator>
  <cp:keywords/>
  <dc:description/>
  <cp:lastModifiedBy>Tran Van Anh (VTTh)</cp:lastModifiedBy>
  <cp:revision>11</cp:revision>
  <dcterms:created xsi:type="dcterms:W3CDTF">2019-10-25T02:49:00Z</dcterms:created>
  <dcterms:modified xsi:type="dcterms:W3CDTF">2019-10-30T07:31:00Z</dcterms:modified>
</cp:coreProperties>
</file>