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F3" w:rsidRPr="00C03EBD" w:rsidRDefault="00542FF3" w:rsidP="00C03EBD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C03EBD">
        <w:rPr>
          <w:rFonts w:ascii="Arial" w:hAnsi="Arial" w:cs="Arial"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nêu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rõ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mặc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dù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vẫn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dẫn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về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trưởng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GDP, </w:t>
      </w:r>
      <w:proofErr w:type="spellStart"/>
      <w:r w:rsidRPr="00C03EBD">
        <w:rPr>
          <w:rFonts w:ascii="Arial" w:hAnsi="Arial" w:cs="Arial"/>
          <w:sz w:val="20"/>
          <w:szCs w:val="20"/>
        </w:rPr>
        <w:t>nhưng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châu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C03EBD">
        <w:rPr>
          <w:rFonts w:ascii="Arial" w:hAnsi="Arial" w:cs="Arial"/>
          <w:sz w:val="20"/>
          <w:szCs w:val="20"/>
        </w:rPr>
        <w:t>Thái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Bình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dương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đang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đối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mặt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nguy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cơ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ngắn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hạn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C03EBD">
        <w:rPr>
          <w:rFonts w:ascii="Arial" w:hAnsi="Arial" w:cs="Arial"/>
          <w:sz w:val="20"/>
          <w:szCs w:val="20"/>
        </w:rPr>
        <w:t>bất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định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sách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kéo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dài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trên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toàn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căng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thẳng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thương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trầm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lắng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những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quốc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đối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chủ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chố</w:t>
      </w:r>
      <w:r w:rsidR="0023146E" w:rsidRPr="00C03EBD">
        <w:rPr>
          <w:rFonts w:ascii="Arial" w:hAnsi="Arial" w:cs="Arial"/>
          <w:sz w:val="20"/>
          <w:szCs w:val="20"/>
        </w:rPr>
        <w:t>t</w:t>
      </w:r>
      <w:proofErr w:type="spellEnd"/>
      <w:r w:rsidR="0023146E" w:rsidRPr="00C03EBD">
        <w:rPr>
          <w:rFonts w:ascii="Arial" w:hAnsi="Arial" w:cs="Arial"/>
          <w:sz w:val="20"/>
          <w:szCs w:val="20"/>
        </w:rPr>
        <w:t xml:space="preserve">. </w:t>
      </w:r>
    </w:p>
    <w:p w:rsidR="00542FF3" w:rsidRPr="00C03EBD" w:rsidRDefault="00542FF3" w:rsidP="00C03EBD">
      <w:pPr>
        <w:spacing w:before="120" w:after="0" w:line="240" w:lineRule="auto"/>
        <w:rPr>
          <w:rFonts w:ascii="Arial" w:hAnsi="Arial" w:cs="Arial"/>
          <w:b/>
          <w:i/>
          <w:sz w:val="20"/>
          <w:szCs w:val="20"/>
        </w:rPr>
      </w:pPr>
      <w:r w:rsidRPr="00C03EBD">
        <w:rPr>
          <w:rFonts w:ascii="Arial" w:hAnsi="Arial" w:cs="Arial"/>
          <w:b/>
          <w:i/>
          <w:sz w:val="20"/>
          <w:szCs w:val="20"/>
        </w:rPr>
        <w:t xml:space="preserve">GDP </w:t>
      </w:r>
      <w:proofErr w:type="spellStart"/>
      <w:r w:rsidRPr="00C03EBD">
        <w:rPr>
          <w:rFonts w:ascii="Arial" w:hAnsi="Arial" w:cs="Arial"/>
          <w:b/>
          <w:i/>
          <w:sz w:val="20"/>
          <w:szCs w:val="20"/>
        </w:rPr>
        <w:t>thực</w:t>
      </w:r>
      <w:proofErr w:type="spellEnd"/>
      <w:r w:rsidRPr="00C03EB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b/>
          <w:i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b/>
          <w:i/>
          <w:sz w:val="20"/>
          <w:szCs w:val="20"/>
        </w:rPr>
        <w:t>tại</w:t>
      </w:r>
      <w:proofErr w:type="spellEnd"/>
      <w:r w:rsidRPr="00C03EB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b/>
          <w:i/>
          <w:sz w:val="20"/>
          <w:szCs w:val="20"/>
        </w:rPr>
        <w:t>Châu</w:t>
      </w:r>
      <w:proofErr w:type="spellEnd"/>
      <w:r w:rsidRPr="00C03EBD">
        <w:rPr>
          <w:rFonts w:ascii="Arial" w:hAnsi="Arial" w:cs="Arial"/>
          <w:b/>
          <w:i/>
          <w:sz w:val="20"/>
          <w:szCs w:val="20"/>
        </w:rPr>
        <w:t xml:space="preserve"> Á (% so </w:t>
      </w:r>
      <w:proofErr w:type="spellStart"/>
      <w:r w:rsidRPr="00C03EBD">
        <w:rPr>
          <w:rFonts w:ascii="Arial" w:hAnsi="Arial" w:cs="Arial"/>
          <w:b/>
          <w:i/>
          <w:sz w:val="20"/>
          <w:szCs w:val="20"/>
        </w:rPr>
        <w:t>với</w:t>
      </w:r>
      <w:proofErr w:type="spellEnd"/>
      <w:r w:rsidRPr="00C03EB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b/>
          <w:i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b/>
          <w:i/>
          <w:sz w:val="20"/>
          <w:szCs w:val="20"/>
        </w:rPr>
        <w:t>trước</w:t>
      </w:r>
      <w:proofErr w:type="spellEnd"/>
      <w:r w:rsidRPr="00C03EBD">
        <w:rPr>
          <w:rFonts w:ascii="Arial" w:hAnsi="Arial" w:cs="Arial"/>
          <w:b/>
          <w:i/>
          <w:sz w:val="20"/>
          <w:szCs w:val="20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79"/>
        <w:gridCol w:w="809"/>
        <w:gridCol w:w="809"/>
        <w:gridCol w:w="809"/>
        <w:gridCol w:w="809"/>
        <w:gridCol w:w="809"/>
        <w:gridCol w:w="809"/>
        <w:gridCol w:w="809"/>
      </w:tblGrid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45" w:type="dxa"/>
            <w:gridSpan w:val="5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b/>
                <w:sz w:val="20"/>
                <w:szCs w:val="20"/>
              </w:rPr>
              <w:t>Thực</w:t>
            </w:r>
            <w:proofErr w:type="spellEnd"/>
            <w:r w:rsidRPr="00C03E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b/>
                <w:sz w:val="20"/>
                <w:szCs w:val="20"/>
              </w:rPr>
              <w:t>tế</w:t>
            </w:r>
            <w:proofErr w:type="spellEnd"/>
            <w:r w:rsidRPr="00C03E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b/>
                <w:sz w:val="20"/>
                <w:szCs w:val="20"/>
              </w:rPr>
              <w:t>và</w:t>
            </w:r>
            <w:proofErr w:type="spellEnd"/>
            <w:r w:rsidRPr="00C03E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b/>
                <w:sz w:val="20"/>
                <w:szCs w:val="20"/>
              </w:rPr>
              <w:t>dự</w:t>
            </w:r>
            <w:proofErr w:type="spellEnd"/>
            <w:r w:rsidRPr="00C03E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b/>
                <w:sz w:val="20"/>
                <w:szCs w:val="20"/>
              </w:rPr>
              <w:t>báo</w:t>
            </w:r>
            <w:proofErr w:type="spellEnd"/>
          </w:p>
        </w:tc>
        <w:tc>
          <w:tcPr>
            <w:tcW w:w="1618" w:type="dxa"/>
            <w:gridSpan w:val="2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b/>
                <w:sz w:val="20"/>
                <w:szCs w:val="20"/>
              </w:rPr>
              <w:t>Thay</w:t>
            </w:r>
            <w:proofErr w:type="spellEnd"/>
            <w:r w:rsidRPr="00C03E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b/>
                <w:sz w:val="20"/>
                <w:szCs w:val="20"/>
              </w:rPr>
              <w:t>đổi</w:t>
            </w:r>
            <w:proofErr w:type="spellEnd"/>
            <w:r w:rsidRPr="00C03EB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EBD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EBD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EBD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EBD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EBD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EBD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3EBD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Châu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Á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nước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phát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triển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châu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Á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Australia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New Zealand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Nhật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Hồng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Kông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SAR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-2,4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-1,5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Hàn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Quốc</w:t>
            </w:r>
            <w:proofErr w:type="spellEnd"/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-0,6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Singapore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-1,8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-1,4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EMDEs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châu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Á **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Bangladesh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Brunei Darussalam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-2,5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-3,0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-1,9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Campuchia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Trung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Quốc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Ấn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Độ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-1,2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Indonesia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CHDCND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Lào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Malaysia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Myanmar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Mông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Cổ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Nepal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9,6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Philippines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Sri Lanka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Thái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Lan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quốc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đảo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nước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nhỏ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TBD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Bhutan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Fiji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Kiribati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Maldives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Quần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đảo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Marshall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Micronesia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lastRenderedPageBreak/>
              <w:t xml:space="preserve">Nauru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-2,5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-1,5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Palau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-3,5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-1,7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-0,7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Papua New Guinea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-1,1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Samoa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Quần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đảo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Solomon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Timor-Leste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-3,5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Tonga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-1,1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-1,2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Tuvalu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Vanuatu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 w:rsidRPr="00C03EBD">
              <w:rPr>
                <w:rFonts w:ascii="Arial" w:hAnsi="Arial" w:cs="Arial"/>
                <w:sz w:val="20"/>
                <w:szCs w:val="20"/>
              </w:rPr>
              <w:t>nước</w:t>
            </w:r>
            <w:proofErr w:type="spellEnd"/>
            <w:r w:rsidRPr="00C03EBD">
              <w:rPr>
                <w:rFonts w:ascii="Arial" w:hAnsi="Arial" w:cs="Arial"/>
                <w:sz w:val="20"/>
                <w:szCs w:val="20"/>
              </w:rPr>
              <w:t xml:space="preserve"> ASEAN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ASEAN 5 ***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542FF3" w:rsidRPr="00C03EBD" w:rsidTr="00710417">
        <w:tc>
          <w:tcPr>
            <w:tcW w:w="3579" w:type="dxa"/>
          </w:tcPr>
          <w:p w:rsidR="00542FF3" w:rsidRPr="00C03EBD" w:rsidRDefault="00542FF3" w:rsidP="00C03EB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 xml:space="preserve">EMDEs **** 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  <w:tc>
          <w:tcPr>
            <w:tcW w:w="809" w:type="dxa"/>
          </w:tcPr>
          <w:p w:rsidR="00542FF3" w:rsidRPr="00C03EBD" w:rsidRDefault="00542FF3" w:rsidP="00C03EBD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EBD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</w:tr>
    </w:tbl>
    <w:p w:rsidR="00542FF3" w:rsidRPr="00C03EBD" w:rsidRDefault="00542FF3" w:rsidP="00C03EBD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C03EBD">
        <w:rPr>
          <w:rFonts w:ascii="Arial" w:hAnsi="Arial" w:cs="Arial"/>
          <w:i/>
          <w:sz w:val="20"/>
          <w:szCs w:val="20"/>
        </w:rPr>
        <w:t>Nguồn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: IMF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tháng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11/2019</w:t>
      </w:r>
    </w:p>
    <w:p w:rsidR="00542FF3" w:rsidRPr="00C03EBD" w:rsidRDefault="00542FF3" w:rsidP="00C03EBD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C03EBD">
        <w:rPr>
          <w:rFonts w:ascii="Arial" w:hAnsi="Arial" w:cs="Arial"/>
          <w:i/>
          <w:sz w:val="20"/>
          <w:szCs w:val="20"/>
        </w:rPr>
        <w:t xml:space="preserve">(*):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>/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so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với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dự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tháng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4/2019; </w:t>
      </w:r>
    </w:p>
    <w:p w:rsidR="00542FF3" w:rsidRPr="00C03EBD" w:rsidRDefault="00542FF3" w:rsidP="00C03EBD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C03EBD">
        <w:rPr>
          <w:rFonts w:ascii="Arial" w:hAnsi="Arial" w:cs="Arial"/>
          <w:i/>
          <w:sz w:val="20"/>
          <w:szCs w:val="20"/>
        </w:rPr>
        <w:t xml:space="preserve">(**):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Không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tính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quốc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đảo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nhỏ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TBD; </w:t>
      </w:r>
    </w:p>
    <w:p w:rsidR="00542FF3" w:rsidRPr="00C03EBD" w:rsidRDefault="00542FF3" w:rsidP="00C03EBD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C03EBD">
        <w:rPr>
          <w:rFonts w:ascii="Arial" w:hAnsi="Arial" w:cs="Arial"/>
          <w:i/>
          <w:sz w:val="20"/>
          <w:szCs w:val="20"/>
        </w:rPr>
        <w:t xml:space="preserve">(***):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Bao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gồm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Indonesia, Malaysia, Philippines, Singapore,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Thái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Pr="00C03EBD">
        <w:rPr>
          <w:rFonts w:ascii="Arial" w:hAnsi="Arial" w:cs="Arial"/>
          <w:i/>
          <w:sz w:val="20"/>
          <w:szCs w:val="20"/>
        </w:rPr>
        <w:t>Lan</w:t>
      </w:r>
      <w:proofErr w:type="spellEnd"/>
      <w:proofErr w:type="gramEnd"/>
      <w:r w:rsidRPr="00C03EBD">
        <w:rPr>
          <w:rFonts w:ascii="Arial" w:hAnsi="Arial" w:cs="Arial"/>
          <w:i/>
          <w:sz w:val="20"/>
          <w:szCs w:val="20"/>
        </w:rPr>
        <w:t>;</w:t>
      </w:r>
    </w:p>
    <w:p w:rsidR="00542FF3" w:rsidRPr="00C03EBD" w:rsidRDefault="00542FF3" w:rsidP="00C03EBD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C03EBD">
        <w:rPr>
          <w:rFonts w:ascii="Arial" w:hAnsi="Arial" w:cs="Arial"/>
          <w:i/>
          <w:sz w:val="20"/>
          <w:szCs w:val="20"/>
        </w:rPr>
        <w:t xml:space="preserve">(****):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Không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tính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Ấn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Độ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Trung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Quốc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>.</w:t>
      </w:r>
    </w:p>
    <w:p w:rsidR="00542FF3" w:rsidRPr="00C03EBD" w:rsidRDefault="00542FF3" w:rsidP="00C03EBD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sáu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2019, </w:t>
      </w:r>
      <w:proofErr w:type="spellStart"/>
      <w:r w:rsidRPr="00C03EBD">
        <w:rPr>
          <w:rFonts w:ascii="Arial" w:hAnsi="Arial" w:cs="Arial"/>
          <w:sz w:val="20"/>
          <w:szCs w:val="20"/>
        </w:rPr>
        <w:t>hoạt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toàn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vẫn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trầm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lắng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bối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cảnh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thẳng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thương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03EBD">
        <w:rPr>
          <w:rFonts w:ascii="Arial" w:hAnsi="Arial" w:cs="Arial"/>
          <w:sz w:val="20"/>
          <w:szCs w:val="20"/>
        </w:rPr>
        <w:t>leo</w:t>
      </w:r>
      <w:proofErr w:type="spellEnd"/>
      <w:proofErr w:type="gram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thang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bất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ổn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địa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trị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03EBD">
        <w:rPr>
          <w:rFonts w:ascii="Arial" w:hAnsi="Arial" w:cs="Arial"/>
          <w:sz w:val="20"/>
          <w:szCs w:val="20"/>
        </w:rPr>
        <w:t>Mặc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dù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tình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hình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một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số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phát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triển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diễn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biến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quan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nhưng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đang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phát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triển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nổi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(EMDEs)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thấp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hơn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C03EBD">
        <w:rPr>
          <w:rFonts w:ascii="Arial" w:hAnsi="Arial" w:cs="Arial"/>
          <w:sz w:val="20"/>
          <w:szCs w:val="20"/>
        </w:rPr>
        <w:t>với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kỳ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vọng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. Do </w:t>
      </w:r>
      <w:proofErr w:type="spellStart"/>
      <w:r w:rsidRPr="00C03EBD">
        <w:rPr>
          <w:rFonts w:ascii="Arial" w:hAnsi="Arial" w:cs="Arial"/>
          <w:sz w:val="20"/>
          <w:szCs w:val="20"/>
        </w:rPr>
        <w:t>hoạt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tư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trầm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lắng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thương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ngành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công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nghiệp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suy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rõ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nét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03EBD">
        <w:rPr>
          <w:rFonts w:ascii="Arial" w:hAnsi="Arial" w:cs="Arial"/>
          <w:sz w:val="20"/>
          <w:szCs w:val="20"/>
        </w:rPr>
        <w:t>Đáng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chú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ý, </w:t>
      </w:r>
      <w:proofErr w:type="spellStart"/>
      <w:r w:rsidRPr="00C03EBD">
        <w:rPr>
          <w:rFonts w:ascii="Arial" w:hAnsi="Arial" w:cs="Arial"/>
          <w:sz w:val="20"/>
          <w:szCs w:val="20"/>
        </w:rPr>
        <w:t>hoạt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thương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toàn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sáu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chỉ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khoảng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1</w:t>
      </w:r>
      <w:proofErr w:type="gramStart"/>
      <w:r w:rsidRPr="00C03EBD">
        <w:rPr>
          <w:rFonts w:ascii="Arial" w:hAnsi="Arial" w:cs="Arial"/>
          <w:sz w:val="20"/>
          <w:szCs w:val="20"/>
        </w:rPr>
        <w:t>,0</w:t>
      </w:r>
      <w:proofErr w:type="gramEnd"/>
      <w:r w:rsidRPr="00C03EBD">
        <w:rPr>
          <w:rFonts w:ascii="Arial" w:hAnsi="Arial" w:cs="Arial"/>
          <w:sz w:val="20"/>
          <w:szCs w:val="20"/>
        </w:rPr>
        <w:t xml:space="preserve">%, </w:t>
      </w:r>
      <w:proofErr w:type="spellStart"/>
      <w:r w:rsidRPr="00C03EBD">
        <w:rPr>
          <w:rFonts w:ascii="Arial" w:hAnsi="Arial" w:cs="Arial"/>
          <w:sz w:val="20"/>
          <w:szCs w:val="20"/>
        </w:rPr>
        <w:t>mức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thấp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nhất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kể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từ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2012.</w:t>
      </w:r>
    </w:p>
    <w:p w:rsidR="00542FF3" w:rsidRPr="00C03EBD" w:rsidRDefault="00542FF3" w:rsidP="00C03EBD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03EBD">
        <w:rPr>
          <w:rFonts w:ascii="Arial" w:hAnsi="Arial" w:cs="Arial"/>
          <w:sz w:val="20"/>
          <w:szCs w:val="20"/>
        </w:rPr>
        <w:t>Trên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toàn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IMF </w:t>
      </w:r>
      <w:proofErr w:type="spellStart"/>
      <w:r w:rsidRPr="00C03EBD">
        <w:rPr>
          <w:rFonts w:ascii="Arial" w:hAnsi="Arial" w:cs="Arial"/>
          <w:sz w:val="20"/>
          <w:szCs w:val="20"/>
        </w:rPr>
        <w:t>tiếp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tục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điều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chỉnh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dự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GDP </w:t>
      </w:r>
      <w:proofErr w:type="spellStart"/>
      <w:r w:rsidRPr="00C03EBD">
        <w:rPr>
          <w:rFonts w:ascii="Arial" w:hAnsi="Arial" w:cs="Arial"/>
          <w:sz w:val="20"/>
          <w:szCs w:val="20"/>
        </w:rPr>
        <w:t>toàn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xuống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mức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trưởng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3,0%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2019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3,4%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Pr="00C03EBD">
        <w:rPr>
          <w:rFonts w:ascii="Arial" w:hAnsi="Arial" w:cs="Arial"/>
          <w:sz w:val="20"/>
          <w:szCs w:val="20"/>
        </w:rPr>
        <w:t>lần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lượt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0,3%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0,2% so </w:t>
      </w:r>
      <w:proofErr w:type="spellStart"/>
      <w:r w:rsidRPr="00C03EBD">
        <w:rPr>
          <w:rFonts w:ascii="Arial" w:hAnsi="Arial" w:cs="Arial"/>
          <w:sz w:val="20"/>
          <w:szCs w:val="20"/>
        </w:rPr>
        <w:t>với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dự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đưa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hồi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4/2019.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đó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GDP </w:t>
      </w:r>
      <w:proofErr w:type="spellStart"/>
      <w:r w:rsidRPr="00C03EBD">
        <w:rPr>
          <w:rFonts w:ascii="Arial" w:hAnsi="Arial" w:cs="Arial"/>
          <w:sz w:val="20"/>
          <w:szCs w:val="20"/>
        </w:rPr>
        <w:t>tại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phát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triển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được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dự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1</w:t>
      </w:r>
      <w:proofErr w:type="gramStart"/>
      <w:r w:rsidRPr="00C03EBD">
        <w:rPr>
          <w:rFonts w:ascii="Arial" w:hAnsi="Arial" w:cs="Arial"/>
          <w:sz w:val="20"/>
          <w:szCs w:val="20"/>
        </w:rPr>
        <w:t>,7</w:t>
      </w:r>
      <w:proofErr w:type="gramEnd"/>
      <w:r w:rsidRPr="00C03EBD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C03EBD">
        <w:rPr>
          <w:rFonts w:ascii="Arial" w:hAnsi="Arial" w:cs="Arial"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2019-2020; GDP </w:t>
      </w:r>
      <w:proofErr w:type="spellStart"/>
      <w:r w:rsidRPr="00C03EBD">
        <w:rPr>
          <w:rFonts w:ascii="Arial" w:hAnsi="Arial" w:cs="Arial"/>
          <w:sz w:val="20"/>
          <w:szCs w:val="20"/>
        </w:rPr>
        <w:t>tại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EMDE </w:t>
      </w:r>
      <w:proofErr w:type="spellStart"/>
      <w:r w:rsidRPr="00C03EBD">
        <w:rPr>
          <w:rFonts w:ascii="Arial" w:hAnsi="Arial" w:cs="Arial"/>
          <w:sz w:val="20"/>
          <w:szCs w:val="20"/>
        </w:rPr>
        <w:t>được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dự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3,9%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2019, </w:t>
      </w:r>
      <w:proofErr w:type="spellStart"/>
      <w:r w:rsidRPr="00C03EBD">
        <w:rPr>
          <w:rFonts w:ascii="Arial" w:hAnsi="Arial" w:cs="Arial"/>
          <w:sz w:val="20"/>
          <w:szCs w:val="20"/>
        </w:rPr>
        <w:t>sau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đó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sẽ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4,6% </w:t>
      </w:r>
      <w:proofErr w:type="spellStart"/>
      <w:r w:rsidRPr="00C03EBD">
        <w:rPr>
          <w:rFonts w:ascii="Arial" w:hAnsi="Arial" w:cs="Arial"/>
          <w:sz w:val="20"/>
          <w:szCs w:val="20"/>
        </w:rPr>
        <w:t>vào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Pr="00C03EBD">
        <w:rPr>
          <w:rFonts w:ascii="Arial" w:hAnsi="Arial" w:cs="Arial"/>
          <w:sz w:val="20"/>
          <w:szCs w:val="20"/>
        </w:rPr>
        <w:t>lần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lượt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0,5%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0,2% so </w:t>
      </w:r>
      <w:proofErr w:type="spellStart"/>
      <w:r w:rsidRPr="00C03EBD">
        <w:rPr>
          <w:rFonts w:ascii="Arial" w:hAnsi="Arial" w:cs="Arial"/>
          <w:sz w:val="20"/>
          <w:szCs w:val="20"/>
        </w:rPr>
        <w:t>với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dự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đưa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hồi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4/2019, </w:t>
      </w:r>
      <w:proofErr w:type="spellStart"/>
      <w:r w:rsidRPr="00C03EBD">
        <w:rPr>
          <w:rFonts w:ascii="Arial" w:hAnsi="Arial" w:cs="Arial"/>
          <w:sz w:val="20"/>
          <w:szCs w:val="20"/>
        </w:rPr>
        <w:t>chủ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yếu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chủ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chốt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thấp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.  </w:t>
      </w:r>
    </w:p>
    <w:p w:rsidR="00542FF3" w:rsidRPr="00C03EBD" w:rsidRDefault="00542FF3" w:rsidP="00C03EBD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ngắn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hạn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châu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Á - </w:t>
      </w:r>
      <w:proofErr w:type="spellStart"/>
      <w:r w:rsidRPr="00C03EBD">
        <w:rPr>
          <w:rFonts w:ascii="Arial" w:hAnsi="Arial" w:cs="Arial"/>
          <w:sz w:val="20"/>
          <w:szCs w:val="20"/>
        </w:rPr>
        <w:t>Thái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Bình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dương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được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dự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sẽ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chậm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03EBD">
        <w:rPr>
          <w:rFonts w:ascii="Arial" w:hAnsi="Arial" w:cs="Arial"/>
          <w:sz w:val="20"/>
          <w:szCs w:val="20"/>
        </w:rPr>
        <w:t>Một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yếu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tố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dẫn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dắt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triển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vọng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bao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gồm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bất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định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sách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kéo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dài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trên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toàn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Trung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Quốc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chậm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sẽ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cản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trở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thương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tư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C03EBD">
        <w:rPr>
          <w:rFonts w:ascii="Arial" w:hAnsi="Arial" w:cs="Arial"/>
          <w:sz w:val="20"/>
          <w:szCs w:val="20"/>
        </w:rPr>
        <w:t>môi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trường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sách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về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cơ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bản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vẫn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thuận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lợi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trên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toàn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bao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gồm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biện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pháp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lỏng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tài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khóa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Trung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Quốc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Ấn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Hàn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Quốc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nhiều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khu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vực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tiến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hành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kích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thích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tiền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tệ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để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thúc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đẩy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nhu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kiềm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03EBD">
        <w:rPr>
          <w:rFonts w:ascii="Arial" w:hAnsi="Arial" w:cs="Arial"/>
          <w:sz w:val="20"/>
          <w:szCs w:val="20"/>
        </w:rPr>
        <w:t>Mặc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dù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châu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C03EBD">
        <w:rPr>
          <w:rFonts w:ascii="Arial" w:hAnsi="Arial" w:cs="Arial"/>
          <w:sz w:val="20"/>
          <w:szCs w:val="20"/>
        </w:rPr>
        <w:t>vẫn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dẫn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dắt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trưởng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toàn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nhưng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GDP </w:t>
      </w:r>
      <w:proofErr w:type="spellStart"/>
      <w:r w:rsidRPr="00C03EBD">
        <w:rPr>
          <w:rFonts w:ascii="Arial" w:hAnsi="Arial" w:cs="Arial"/>
          <w:sz w:val="20"/>
          <w:szCs w:val="20"/>
        </w:rPr>
        <w:t>được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dự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sẽ</w:t>
      </w:r>
      <w:proofErr w:type="spellEnd"/>
      <w:r w:rsidR="000F4699"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xuống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mức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trưởng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5,0%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5,1%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Pr="00C03EBD">
        <w:rPr>
          <w:rFonts w:ascii="Arial" w:hAnsi="Arial" w:cs="Arial"/>
          <w:sz w:val="20"/>
          <w:szCs w:val="20"/>
        </w:rPr>
        <w:t>lần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lượt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0,4%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0,3% so </w:t>
      </w:r>
      <w:proofErr w:type="spellStart"/>
      <w:r w:rsidRPr="00C03EBD">
        <w:rPr>
          <w:rFonts w:ascii="Arial" w:hAnsi="Arial" w:cs="Arial"/>
          <w:sz w:val="20"/>
          <w:szCs w:val="20"/>
        </w:rPr>
        <w:t>với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dự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đưa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hồi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4/2019.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đó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hoạt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tư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thương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bán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lẻ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sẽ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suy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rõ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rệt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ảnh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hưởng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tiêu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cực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đến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hoạt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nhất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công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nghiệp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03EBD">
        <w:rPr>
          <w:rFonts w:ascii="Arial" w:hAnsi="Arial" w:cs="Arial"/>
          <w:sz w:val="20"/>
          <w:szCs w:val="20"/>
        </w:rPr>
        <w:t>Liên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quan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đến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vấn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đề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này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lỏng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sách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tiền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tệ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phát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triển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chủ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chốt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điều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kiện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tài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lỏng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trên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toàn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sẽ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góp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phần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nhẹ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tiêu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cực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này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nhưng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có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thể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gây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tổn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thương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về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tài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khu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vực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châu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Á.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bối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cảnh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đó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GDP </w:t>
      </w:r>
      <w:proofErr w:type="spellStart"/>
      <w:r w:rsidRPr="00C03EBD">
        <w:rPr>
          <w:rFonts w:ascii="Arial" w:hAnsi="Arial" w:cs="Arial"/>
          <w:sz w:val="20"/>
          <w:szCs w:val="20"/>
        </w:rPr>
        <w:t>tại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phát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triển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châu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C03EBD">
        <w:rPr>
          <w:rFonts w:ascii="Arial" w:hAnsi="Arial" w:cs="Arial"/>
          <w:sz w:val="20"/>
          <w:szCs w:val="20"/>
        </w:rPr>
        <w:t>sẽ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chỉ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1,3%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C03EBD">
        <w:rPr>
          <w:rFonts w:ascii="Arial" w:hAnsi="Arial" w:cs="Arial"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2019-2020, </w:t>
      </w:r>
      <w:proofErr w:type="spellStart"/>
      <w:r w:rsidRPr="00C03EBD">
        <w:rPr>
          <w:rFonts w:ascii="Arial" w:hAnsi="Arial" w:cs="Arial"/>
          <w:sz w:val="20"/>
          <w:szCs w:val="20"/>
        </w:rPr>
        <w:t>lần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lượt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0,4%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0,3% so </w:t>
      </w:r>
      <w:proofErr w:type="spellStart"/>
      <w:r w:rsidRPr="00C03EBD">
        <w:rPr>
          <w:rFonts w:ascii="Arial" w:hAnsi="Arial" w:cs="Arial"/>
          <w:sz w:val="20"/>
          <w:szCs w:val="20"/>
        </w:rPr>
        <w:t>với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dự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đưa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hồi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4/2019, </w:t>
      </w:r>
      <w:proofErr w:type="spellStart"/>
      <w:r w:rsidRPr="00C03EBD">
        <w:rPr>
          <w:rFonts w:ascii="Arial" w:hAnsi="Arial" w:cs="Arial"/>
          <w:sz w:val="20"/>
          <w:szCs w:val="20"/>
        </w:rPr>
        <w:t>ghi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nhận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mức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điều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chỉnh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khá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sâu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; GDP </w:t>
      </w:r>
      <w:proofErr w:type="spellStart"/>
      <w:r w:rsidRPr="00C03EBD">
        <w:rPr>
          <w:rFonts w:ascii="Arial" w:hAnsi="Arial" w:cs="Arial"/>
          <w:sz w:val="20"/>
          <w:szCs w:val="20"/>
        </w:rPr>
        <w:t>tại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EMDEs </w:t>
      </w:r>
      <w:proofErr w:type="spellStart"/>
      <w:r w:rsidRPr="00C03EBD">
        <w:rPr>
          <w:rFonts w:ascii="Arial" w:hAnsi="Arial" w:cs="Arial"/>
          <w:sz w:val="20"/>
          <w:szCs w:val="20"/>
        </w:rPr>
        <w:t>châu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C03EBD">
        <w:rPr>
          <w:rFonts w:ascii="Arial" w:hAnsi="Arial" w:cs="Arial"/>
          <w:sz w:val="20"/>
          <w:szCs w:val="20"/>
        </w:rPr>
        <w:t>được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dự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5,9%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2019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6,0%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năm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2020, </w:t>
      </w:r>
      <w:proofErr w:type="spellStart"/>
      <w:r w:rsidRPr="00C03EBD">
        <w:rPr>
          <w:rFonts w:ascii="Arial" w:hAnsi="Arial" w:cs="Arial"/>
          <w:sz w:val="20"/>
          <w:szCs w:val="20"/>
        </w:rPr>
        <w:t>lần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lượt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0,4%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0,3% so </w:t>
      </w:r>
      <w:proofErr w:type="spellStart"/>
      <w:r w:rsidRPr="00C03EBD">
        <w:rPr>
          <w:rFonts w:ascii="Arial" w:hAnsi="Arial" w:cs="Arial"/>
          <w:sz w:val="20"/>
          <w:szCs w:val="20"/>
        </w:rPr>
        <w:t>với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dự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đưa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hồi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4/2019, </w:t>
      </w:r>
      <w:proofErr w:type="spellStart"/>
      <w:r w:rsidRPr="00C03EBD">
        <w:rPr>
          <w:rFonts w:ascii="Arial" w:hAnsi="Arial" w:cs="Arial"/>
          <w:sz w:val="20"/>
          <w:szCs w:val="20"/>
        </w:rPr>
        <w:t>chủ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yếu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bắt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nguồn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từ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điều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chỉnh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GDP </w:t>
      </w:r>
      <w:proofErr w:type="spellStart"/>
      <w:r w:rsidRPr="00C03EBD">
        <w:rPr>
          <w:rFonts w:ascii="Arial" w:hAnsi="Arial" w:cs="Arial"/>
          <w:sz w:val="20"/>
          <w:szCs w:val="20"/>
        </w:rPr>
        <w:t>tại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Brunei Darussalam, </w:t>
      </w:r>
      <w:proofErr w:type="spellStart"/>
      <w:r w:rsidRPr="00C03EBD">
        <w:rPr>
          <w:rFonts w:ascii="Arial" w:hAnsi="Arial" w:cs="Arial"/>
          <w:sz w:val="20"/>
          <w:szCs w:val="20"/>
        </w:rPr>
        <w:t>Trung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Quốc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Ấn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Indonesia, Malaysia, Philippines, </w:t>
      </w:r>
      <w:proofErr w:type="spellStart"/>
      <w:r w:rsidRPr="00C03EBD">
        <w:rPr>
          <w:rFonts w:ascii="Arial" w:hAnsi="Arial" w:cs="Arial"/>
          <w:sz w:val="20"/>
          <w:szCs w:val="20"/>
        </w:rPr>
        <w:t>Thái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Lan</w:t>
      </w:r>
      <w:proofErr w:type="spellEnd"/>
      <w:r w:rsidRPr="00C03EBD">
        <w:rPr>
          <w:rFonts w:ascii="Arial" w:hAnsi="Arial" w:cs="Arial"/>
          <w:sz w:val="20"/>
          <w:szCs w:val="20"/>
        </w:rPr>
        <w:t>.</w:t>
      </w:r>
    </w:p>
    <w:p w:rsidR="000A70DF" w:rsidRPr="00C03EBD" w:rsidRDefault="00542FF3" w:rsidP="00C03EBD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03EBD">
        <w:rPr>
          <w:rFonts w:ascii="Arial" w:hAnsi="Arial" w:cs="Arial"/>
          <w:sz w:val="20"/>
          <w:szCs w:val="20"/>
        </w:rPr>
        <w:lastRenderedPageBreak/>
        <w:t>Báo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cũng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đề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cập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đến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những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rủi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đe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dọa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triển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vọng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châu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Á.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đó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rủi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bên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ngoài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khu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vực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bắt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nguồn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từ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thẳng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thương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Mỹ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C03EBD">
        <w:rPr>
          <w:rFonts w:ascii="Arial" w:hAnsi="Arial" w:cs="Arial"/>
          <w:sz w:val="20"/>
          <w:szCs w:val="20"/>
        </w:rPr>
        <w:t>Trung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đối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chủ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chốt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thấp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hơn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C03EBD">
        <w:rPr>
          <w:rFonts w:ascii="Arial" w:hAnsi="Arial" w:cs="Arial"/>
          <w:sz w:val="20"/>
          <w:szCs w:val="20"/>
        </w:rPr>
        <w:t>với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kỳ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vọng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giá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cao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Brexit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tiếp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tục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tắc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nội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bộ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khu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vực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rủi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bao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gồm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Trung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Quốc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sâu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hơn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kỳ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vọng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căng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thẳng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mối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quan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hệ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Nhật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Bản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C03EBD">
        <w:rPr>
          <w:rFonts w:ascii="Arial" w:hAnsi="Arial" w:cs="Arial"/>
          <w:sz w:val="20"/>
          <w:szCs w:val="20"/>
        </w:rPr>
        <w:t>Hàn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Quốc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bất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ổn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địa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trị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thiên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tai </w:t>
      </w:r>
      <w:proofErr w:type="spellStart"/>
      <w:r w:rsidRPr="00C03EBD">
        <w:rPr>
          <w:rFonts w:ascii="Arial" w:hAnsi="Arial" w:cs="Arial"/>
          <w:sz w:val="20"/>
          <w:szCs w:val="20"/>
        </w:rPr>
        <w:t>ngày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càng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tàn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khốc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.  </w:t>
      </w:r>
    </w:p>
    <w:p w:rsidR="00542FF3" w:rsidRPr="00C03EBD" w:rsidRDefault="00542FF3" w:rsidP="00C03EBD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03EBD">
        <w:rPr>
          <w:rFonts w:ascii="Arial" w:hAnsi="Arial" w:cs="Arial"/>
          <w:sz w:val="20"/>
          <w:szCs w:val="20"/>
        </w:rPr>
        <w:t>Để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kiềm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rủi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hỗ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trợ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trưởng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châu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Á </w:t>
      </w:r>
      <w:proofErr w:type="spellStart"/>
      <w:r w:rsidRPr="00C03EBD">
        <w:rPr>
          <w:rFonts w:ascii="Arial" w:hAnsi="Arial" w:cs="Arial"/>
          <w:sz w:val="20"/>
          <w:szCs w:val="20"/>
        </w:rPr>
        <w:t>cần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tăng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cường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bền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vững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về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sách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tế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vĩ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mô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như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tận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dụng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những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dư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địa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sách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tiền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tệ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tài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khóa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hiện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hành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khuyến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khích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nhu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cầu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C03EBD">
        <w:rPr>
          <w:rFonts w:ascii="Arial" w:hAnsi="Arial" w:cs="Arial"/>
          <w:sz w:val="20"/>
          <w:szCs w:val="20"/>
        </w:rPr>
        <w:t>chủ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điều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chỉnh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sách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tài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khóa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để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ngăn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ngừa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nguy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cơ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bất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ổn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tài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bắt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nguồn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từ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lỏng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tài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chính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C03EBD">
        <w:rPr>
          <w:rFonts w:ascii="Arial" w:hAnsi="Arial" w:cs="Arial"/>
          <w:sz w:val="20"/>
          <w:szCs w:val="20"/>
        </w:rPr>
        <w:t>ưu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tiên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tỷ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lệ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đòn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bẩy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tín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dụng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doanh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nghiệp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hộ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gia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đình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nhất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những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nước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đang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đối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mặ</w:t>
      </w:r>
      <w:r w:rsidR="00C13700" w:rsidRPr="00C03EBD">
        <w:rPr>
          <w:rFonts w:ascii="Arial" w:hAnsi="Arial" w:cs="Arial"/>
          <w:sz w:val="20"/>
          <w:szCs w:val="20"/>
        </w:rPr>
        <w:t>t</w:t>
      </w:r>
      <w:proofErr w:type="spellEnd"/>
      <w:r w:rsidR="00C13700"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nguy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cơ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phát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sinh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rủi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ro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mới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C03EBD">
        <w:rPr>
          <w:rFonts w:ascii="Arial" w:hAnsi="Arial" w:cs="Arial"/>
          <w:sz w:val="20"/>
          <w:szCs w:val="20"/>
        </w:rPr>
        <w:t>đẩy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mạnh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cải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cách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cơ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cấu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làm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cơ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sở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để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bảo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môi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trường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phát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triển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bền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vững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trong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trung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hạn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đẩy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mạnh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đào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tạo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nguồn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nhân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lực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khắc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phục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tình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trạng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tụt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hậu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về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cơ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sở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hạ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tầng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nâng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cao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chất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lượng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quản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lý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3EBD">
        <w:rPr>
          <w:rFonts w:ascii="Arial" w:hAnsi="Arial" w:cs="Arial"/>
          <w:sz w:val="20"/>
          <w:szCs w:val="20"/>
        </w:rPr>
        <w:t>giảm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thiểu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tác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động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và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thiệt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hại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về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sz w:val="20"/>
          <w:szCs w:val="20"/>
        </w:rPr>
        <w:t>thiên</w:t>
      </w:r>
      <w:proofErr w:type="spellEnd"/>
      <w:r w:rsidRPr="00C03EBD">
        <w:rPr>
          <w:rFonts w:ascii="Arial" w:hAnsi="Arial" w:cs="Arial"/>
          <w:sz w:val="20"/>
          <w:szCs w:val="20"/>
        </w:rPr>
        <w:t xml:space="preserve"> tai.</w:t>
      </w:r>
    </w:p>
    <w:p w:rsidR="00650E69" w:rsidRPr="00C03EBD" w:rsidRDefault="00650E69" w:rsidP="00C03EBD">
      <w:pPr>
        <w:spacing w:before="120"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C03EBD">
        <w:rPr>
          <w:rFonts w:ascii="Arial" w:hAnsi="Arial" w:cs="Arial"/>
          <w:b/>
          <w:i/>
          <w:sz w:val="20"/>
          <w:szCs w:val="20"/>
        </w:rPr>
        <w:t>Xuân</w:t>
      </w:r>
      <w:proofErr w:type="spellEnd"/>
      <w:r w:rsidRPr="00C03EB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03EBD">
        <w:rPr>
          <w:rFonts w:ascii="Arial" w:hAnsi="Arial" w:cs="Arial"/>
          <w:b/>
          <w:i/>
          <w:sz w:val="20"/>
          <w:szCs w:val="20"/>
        </w:rPr>
        <w:t>Thanh</w:t>
      </w:r>
      <w:proofErr w:type="spellEnd"/>
    </w:p>
    <w:p w:rsidR="00542FF3" w:rsidRPr="00C03EBD" w:rsidRDefault="00542FF3" w:rsidP="00C03EBD">
      <w:pPr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C03EBD">
        <w:rPr>
          <w:rFonts w:ascii="Arial" w:hAnsi="Arial" w:cs="Arial"/>
          <w:i/>
          <w:sz w:val="20"/>
          <w:szCs w:val="20"/>
        </w:rPr>
        <w:t>Nguồn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: IMF </w:t>
      </w:r>
      <w:proofErr w:type="spellStart"/>
      <w:r w:rsidRPr="00C03EBD">
        <w:rPr>
          <w:rFonts w:ascii="Arial" w:hAnsi="Arial" w:cs="Arial"/>
          <w:i/>
          <w:sz w:val="20"/>
          <w:szCs w:val="20"/>
        </w:rPr>
        <w:t>tháng</w:t>
      </w:r>
      <w:proofErr w:type="spellEnd"/>
      <w:r w:rsidRPr="00C03EBD">
        <w:rPr>
          <w:rFonts w:ascii="Arial" w:hAnsi="Arial" w:cs="Arial"/>
          <w:i/>
          <w:sz w:val="20"/>
          <w:szCs w:val="20"/>
        </w:rPr>
        <w:t xml:space="preserve"> 11/2019</w:t>
      </w:r>
    </w:p>
    <w:p w:rsidR="00542FF3" w:rsidRPr="00C03EBD" w:rsidRDefault="00542FF3" w:rsidP="00C03EBD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F8744C" w:rsidRPr="00C03EBD" w:rsidRDefault="00F8744C" w:rsidP="00C03EBD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sectPr w:rsidR="00F8744C" w:rsidRPr="00C03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F3"/>
    <w:rsid w:val="000A70DF"/>
    <w:rsid w:val="000F4699"/>
    <w:rsid w:val="00166AC4"/>
    <w:rsid w:val="0023146E"/>
    <w:rsid w:val="003269C7"/>
    <w:rsid w:val="00383769"/>
    <w:rsid w:val="003A751D"/>
    <w:rsid w:val="004417F9"/>
    <w:rsid w:val="00542FF3"/>
    <w:rsid w:val="00613DAA"/>
    <w:rsid w:val="00650E69"/>
    <w:rsid w:val="0066677B"/>
    <w:rsid w:val="00710417"/>
    <w:rsid w:val="0078042B"/>
    <w:rsid w:val="00A624DA"/>
    <w:rsid w:val="00A86B32"/>
    <w:rsid w:val="00C03EBD"/>
    <w:rsid w:val="00C13700"/>
    <w:rsid w:val="00C53DE0"/>
    <w:rsid w:val="00E16398"/>
    <w:rsid w:val="00E75577"/>
    <w:rsid w:val="00F219F3"/>
    <w:rsid w:val="00F7185A"/>
    <w:rsid w:val="00F8744C"/>
    <w:rsid w:val="00F9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B2656-F3F1-4891-86B8-6C8D6A6A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F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AnhThanh</dc:creator>
  <cp:keywords/>
  <dc:description/>
  <cp:lastModifiedBy>Tran Van Anh (VTTh)</cp:lastModifiedBy>
  <cp:revision>19</cp:revision>
  <cp:lastPrinted>2019-11-07T07:06:00Z</cp:lastPrinted>
  <dcterms:created xsi:type="dcterms:W3CDTF">2019-11-07T09:06:00Z</dcterms:created>
  <dcterms:modified xsi:type="dcterms:W3CDTF">2019-11-07T10:03:00Z</dcterms:modified>
</cp:coreProperties>
</file>