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AA" w:rsidRPr="00823CEC" w:rsidRDefault="008F6BAA" w:rsidP="0097143B">
      <w:pPr>
        <w:spacing w:before="120" w:after="0" w:line="240" w:lineRule="auto"/>
        <w:jc w:val="both"/>
        <w:rPr>
          <w:rFonts w:ascii="Arial" w:hAnsi="Arial" w:cs="Arial"/>
          <w:sz w:val="20"/>
          <w:szCs w:val="20"/>
        </w:rPr>
      </w:pPr>
      <w:bookmarkStart w:id="0" w:name="_GoBack"/>
      <w:bookmarkEnd w:id="0"/>
      <w:r w:rsidRPr="00823CEC">
        <w:rPr>
          <w:rFonts w:ascii="Arial" w:hAnsi="Arial" w:cs="Arial"/>
          <w:sz w:val="20"/>
          <w:szCs w:val="20"/>
        </w:rPr>
        <w:t xml:space="preserve">Cụ thể là, tính đến cuối quý II/2020, </w:t>
      </w:r>
      <w:r w:rsidRPr="00823CEC">
        <w:rPr>
          <w:rFonts w:ascii="Arial" w:eastAsia="Times New Roman" w:hAnsi="Arial" w:cs="Arial"/>
          <w:sz w:val="20"/>
          <w:szCs w:val="20"/>
        </w:rPr>
        <w:t>tổng dự trữ ngoại hối</w:t>
      </w:r>
      <w:r w:rsidRPr="00823CEC">
        <w:rPr>
          <w:rFonts w:ascii="Arial" w:hAnsi="Arial" w:cs="Arial"/>
          <w:sz w:val="20"/>
          <w:szCs w:val="20"/>
        </w:rPr>
        <w:t xml:space="preserve"> quốc tế đạt trên 12.013 tỷ USD, tăng đáng kể từ mức dự trữ </w:t>
      </w:r>
      <w:r w:rsidRPr="00823CEC">
        <w:rPr>
          <w:rFonts w:ascii="Arial" w:eastAsia="Times New Roman" w:hAnsi="Arial" w:cs="Arial"/>
          <w:spacing w:val="-4"/>
          <w:sz w:val="20"/>
          <w:szCs w:val="20"/>
        </w:rPr>
        <w:t xml:space="preserve">11.703 tỷ USD trong quý trước đó. </w:t>
      </w:r>
      <w:r w:rsidRPr="00823CEC">
        <w:rPr>
          <w:rFonts w:ascii="Arial" w:hAnsi="Arial" w:cs="Arial"/>
          <w:sz w:val="20"/>
          <w:szCs w:val="20"/>
        </w:rPr>
        <w:t>Tương tự, dự trữ đã phân bổ tăng lên con số 11.265,9 tỷ USD, chiếm 93,78% tổng dự trữ ngoại hối quốc tế</w:t>
      </w:r>
      <w:r w:rsidR="00BF1662" w:rsidRPr="00823CEC">
        <w:rPr>
          <w:rFonts w:ascii="Arial" w:hAnsi="Arial" w:cs="Arial"/>
          <w:sz w:val="20"/>
          <w:szCs w:val="20"/>
        </w:rPr>
        <w:t>. Trong giá trị dự trữ đã phân bổ</w:t>
      </w:r>
      <w:r w:rsidRPr="00823CEC">
        <w:rPr>
          <w:rFonts w:ascii="Arial" w:hAnsi="Arial" w:cs="Arial"/>
          <w:sz w:val="20"/>
          <w:szCs w:val="20"/>
        </w:rPr>
        <w:t>, dự trữ dưới dạng USD đạ</w:t>
      </w:r>
      <w:r w:rsidR="00BF1662" w:rsidRPr="00823CEC">
        <w:rPr>
          <w:rFonts w:ascii="Arial" w:hAnsi="Arial" w:cs="Arial"/>
          <w:sz w:val="20"/>
          <w:szCs w:val="20"/>
        </w:rPr>
        <w:t>t trên 6.901</w:t>
      </w:r>
      <w:r w:rsidRPr="00823CEC">
        <w:rPr>
          <w:rFonts w:ascii="Arial" w:hAnsi="Arial" w:cs="Arial"/>
          <w:sz w:val="20"/>
          <w:szCs w:val="20"/>
        </w:rPr>
        <w:t xml:space="preserve"> tỷ</w:t>
      </w:r>
      <w:r w:rsidR="00BF1662" w:rsidRPr="00823CEC">
        <w:rPr>
          <w:rFonts w:ascii="Arial" w:hAnsi="Arial" w:cs="Arial"/>
          <w:sz w:val="20"/>
          <w:szCs w:val="20"/>
        </w:rPr>
        <w:t xml:space="preserve"> USD (</w:t>
      </w:r>
      <w:r w:rsidRPr="00823CEC">
        <w:rPr>
          <w:rFonts w:ascii="Arial" w:hAnsi="Arial" w:cs="Arial"/>
          <w:sz w:val="20"/>
          <w:szCs w:val="20"/>
        </w:rPr>
        <w:t>chiế</w:t>
      </w:r>
      <w:r w:rsidR="00BF1662" w:rsidRPr="00823CEC">
        <w:rPr>
          <w:rFonts w:ascii="Arial" w:hAnsi="Arial" w:cs="Arial"/>
          <w:sz w:val="20"/>
          <w:szCs w:val="20"/>
        </w:rPr>
        <w:t>m 61,26%)</w:t>
      </w:r>
      <w:r w:rsidRPr="00823CEC">
        <w:rPr>
          <w:rFonts w:ascii="Arial" w:hAnsi="Arial" w:cs="Arial"/>
          <w:sz w:val="20"/>
          <w:szCs w:val="20"/>
        </w:rPr>
        <w:t>, giảm từ tỷ trọng khoảng 70% vào cuối thế kỷ XX và trên 80% trong những năm 1970, nhưng vẫn cao hơn nhiều so với đồ</w:t>
      </w:r>
      <w:r w:rsidR="00BF1662" w:rsidRPr="00823CEC">
        <w:rPr>
          <w:rFonts w:ascii="Arial" w:hAnsi="Arial" w:cs="Arial"/>
          <w:sz w:val="20"/>
          <w:szCs w:val="20"/>
        </w:rPr>
        <w:t>ng EURO</w:t>
      </w:r>
      <w:r w:rsidRPr="00823CEC">
        <w:rPr>
          <w:rFonts w:ascii="Arial" w:hAnsi="Arial" w:cs="Arial"/>
          <w:sz w:val="20"/>
          <w:szCs w:val="20"/>
        </w:rPr>
        <w:t xml:space="preserve"> - đồng tiền dự trữ thứ hai - đồng tiền này chiếm tỷ trọ</w:t>
      </w:r>
      <w:r w:rsidR="00BF1662" w:rsidRPr="00823CEC">
        <w:rPr>
          <w:rFonts w:ascii="Arial" w:hAnsi="Arial" w:cs="Arial"/>
          <w:sz w:val="20"/>
          <w:szCs w:val="20"/>
        </w:rPr>
        <w:t>ng 20,27</w:t>
      </w:r>
      <w:r w:rsidRPr="00823CEC">
        <w:rPr>
          <w:rFonts w:ascii="Arial" w:hAnsi="Arial" w:cs="Arial"/>
          <w:sz w:val="20"/>
          <w:szCs w:val="20"/>
        </w:rPr>
        <w:t>% trong tổng dự trữ ngoại hối đã phân bổ</w:t>
      </w:r>
      <w:r w:rsidR="00BF1662" w:rsidRPr="00823CEC">
        <w:rPr>
          <w:rFonts w:ascii="Arial" w:hAnsi="Arial" w:cs="Arial"/>
          <w:sz w:val="20"/>
          <w:szCs w:val="20"/>
        </w:rPr>
        <w:t xml:space="preserve"> (mặc dù tỷ trọng EURO tiếp tục tăng</w:t>
      </w:r>
      <w:r w:rsidR="0056150C" w:rsidRPr="00823CEC">
        <w:rPr>
          <w:rFonts w:ascii="Arial" w:hAnsi="Arial" w:cs="Arial"/>
          <w:sz w:val="20"/>
          <w:szCs w:val="20"/>
        </w:rPr>
        <w:t>)</w:t>
      </w:r>
      <w:r w:rsidR="00BF1662" w:rsidRPr="00823CEC">
        <w:rPr>
          <w:rFonts w:ascii="Arial" w:hAnsi="Arial" w:cs="Arial"/>
          <w:sz w:val="20"/>
          <w:szCs w:val="20"/>
        </w:rPr>
        <w:t xml:space="preserve">. </w:t>
      </w:r>
      <w:r w:rsidR="00066330" w:rsidRPr="00823CEC">
        <w:rPr>
          <w:rFonts w:ascii="Arial" w:hAnsi="Arial" w:cs="Arial"/>
          <w:sz w:val="20"/>
          <w:szCs w:val="20"/>
        </w:rPr>
        <w:t>Hầu hết n</w:t>
      </w:r>
      <w:r w:rsidR="00BF1662" w:rsidRPr="00823CEC">
        <w:rPr>
          <w:rFonts w:ascii="Arial" w:hAnsi="Arial" w:cs="Arial"/>
          <w:sz w:val="20"/>
          <w:szCs w:val="20"/>
        </w:rPr>
        <w:t xml:space="preserve">hững đồng tiền khác cũng </w:t>
      </w:r>
      <w:r w:rsidR="0056150C" w:rsidRPr="00823CEC">
        <w:rPr>
          <w:rFonts w:ascii="Arial" w:hAnsi="Arial" w:cs="Arial"/>
          <w:sz w:val="20"/>
          <w:szCs w:val="20"/>
        </w:rPr>
        <w:t xml:space="preserve">tiếp tục </w:t>
      </w:r>
      <w:r w:rsidR="00BF1662" w:rsidRPr="00823CEC">
        <w:rPr>
          <w:rFonts w:ascii="Arial" w:hAnsi="Arial" w:cs="Arial"/>
          <w:sz w:val="20"/>
          <w:szCs w:val="20"/>
        </w:rPr>
        <w:t>tăng nhẹ so với quý trước</w:t>
      </w:r>
      <w:r w:rsidR="00066330" w:rsidRPr="00823CEC">
        <w:rPr>
          <w:rFonts w:ascii="Arial" w:hAnsi="Arial" w:cs="Arial"/>
          <w:sz w:val="20"/>
          <w:szCs w:val="20"/>
        </w:rPr>
        <w:t xml:space="preserve">, cả về giá trị và tỷ trọng. </w:t>
      </w:r>
    </w:p>
    <w:p w:rsidR="00066330" w:rsidRPr="00823CEC" w:rsidRDefault="00066330" w:rsidP="0097143B">
      <w:pPr>
        <w:shd w:val="clear" w:color="auto" w:fill="FFFFFF"/>
        <w:spacing w:before="120" w:after="0" w:line="240" w:lineRule="auto"/>
        <w:ind w:firstLine="360"/>
        <w:jc w:val="both"/>
        <w:rPr>
          <w:rFonts w:ascii="Arial" w:eastAsia="Times New Roman" w:hAnsi="Arial" w:cs="Arial"/>
          <w:b/>
          <w:i/>
          <w:sz w:val="20"/>
          <w:szCs w:val="20"/>
        </w:rPr>
      </w:pPr>
      <w:r w:rsidRPr="00823CEC">
        <w:rPr>
          <w:rFonts w:ascii="Arial" w:eastAsia="Times New Roman" w:hAnsi="Arial" w:cs="Arial"/>
          <w:b/>
          <w:i/>
          <w:sz w:val="20"/>
          <w:szCs w:val="20"/>
        </w:rPr>
        <w:t>Cơ cấu dữ trữ ngoại hối quốc tế quy đổi sang USD (tỷ USD)</w:t>
      </w:r>
    </w:p>
    <w:tbl>
      <w:tblPr>
        <w:tblStyle w:val="TableGrid"/>
        <w:tblW w:w="9360" w:type="dxa"/>
        <w:jc w:val="center"/>
        <w:tblInd w:w="108" w:type="dxa"/>
        <w:tblLayout w:type="fixed"/>
        <w:tblLook w:val="04A0" w:firstRow="1" w:lastRow="0" w:firstColumn="1" w:lastColumn="0" w:noHBand="0" w:noVBand="1"/>
      </w:tblPr>
      <w:tblGrid>
        <w:gridCol w:w="2250"/>
        <w:gridCol w:w="1170"/>
        <w:gridCol w:w="1170"/>
        <w:gridCol w:w="1170"/>
        <w:gridCol w:w="1170"/>
        <w:gridCol w:w="1170"/>
        <w:gridCol w:w="1260"/>
      </w:tblGrid>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b/>
                <w:sz w:val="20"/>
                <w:szCs w:val="20"/>
              </w:rPr>
            </w:pPr>
          </w:p>
        </w:tc>
        <w:tc>
          <w:tcPr>
            <w:tcW w:w="4680" w:type="dxa"/>
            <w:gridSpan w:val="4"/>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Năm 2019-Quý I/2020</w:t>
            </w:r>
          </w:p>
        </w:tc>
        <w:tc>
          <w:tcPr>
            <w:tcW w:w="2430" w:type="dxa"/>
            <w:gridSpan w:val="2"/>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Quý II /2020</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b/>
                <w:sz w:val="20"/>
                <w:szCs w:val="20"/>
              </w:rPr>
            </w:pPr>
          </w:p>
        </w:tc>
        <w:tc>
          <w:tcPr>
            <w:tcW w:w="117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Quý II</w:t>
            </w:r>
          </w:p>
        </w:tc>
        <w:tc>
          <w:tcPr>
            <w:tcW w:w="117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Quý III</w:t>
            </w:r>
          </w:p>
        </w:tc>
        <w:tc>
          <w:tcPr>
            <w:tcW w:w="117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Quý IV</w:t>
            </w:r>
          </w:p>
        </w:tc>
        <w:tc>
          <w:tcPr>
            <w:tcW w:w="117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Quý I/2020</w:t>
            </w:r>
          </w:p>
        </w:tc>
        <w:tc>
          <w:tcPr>
            <w:tcW w:w="117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Giá trị</w:t>
            </w:r>
          </w:p>
        </w:tc>
        <w:tc>
          <w:tcPr>
            <w:tcW w:w="1260" w:type="dxa"/>
          </w:tcPr>
          <w:p w:rsidR="00066330" w:rsidRPr="00823CEC" w:rsidRDefault="00066330" w:rsidP="0097143B">
            <w:pPr>
              <w:spacing w:before="120"/>
              <w:jc w:val="both"/>
              <w:rPr>
                <w:rFonts w:ascii="Arial" w:eastAsia="Times New Roman" w:hAnsi="Arial" w:cs="Arial"/>
                <w:b/>
                <w:sz w:val="20"/>
                <w:szCs w:val="20"/>
              </w:rPr>
            </w:pPr>
            <w:r w:rsidRPr="00823CEC">
              <w:rPr>
                <w:rFonts w:ascii="Arial" w:eastAsia="Times New Roman" w:hAnsi="Arial" w:cs="Arial"/>
                <w:b/>
                <w:sz w:val="20"/>
                <w:szCs w:val="20"/>
              </w:rPr>
              <w:t>Tỷ trọng %</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Tổng dự trữ ngoại hối</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11. 738,14</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11.657,22</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11.825,12</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11.703,12</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12.013,13</w:t>
            </w:r>
          </w:p>
        </w:tc>
        <w:tc>
          <w:tcPr>
            <w:tcW w:w="1260" w:type="dxa"/>
          </w:tcPr>
          <w:p w:rsidR="00066330" w:rsidRPr="00823CEC" w:rsidRDefault="0056150C"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Dự trữ đã phân bổ</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11.022,17</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10.927,70</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11.075,25</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10.956,20</w:t>
            </w:r>
          </w:p>
        </w:tc>
        <w:tc>
          <w:tcPr>
            <w:tcW w:w="117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11.265,93</w:t>
            </w:r>
          </w:p>
        </w:tc>
        <w:tc>
          <w:tcPr>
            <w:tcW w:w="126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100,00</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USD</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6.752,37</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6.728,94</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6.725,06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6.770,36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6.901,50</w:t>
            </w:r>
          </w:p>
        </w:tc>
        <w:tc>
          <w:tcPr>
            <w:tcW w:w="1260" w:type="dxa"/>
          </w:tcPr>
          <w:p w:rsidR="00066330" w:rsidRPr="00823CEC" w:rsidRDefault="00066330" w:rsidP="0097143B">
            <w:pPr>
              <w:spacing w:before="120"/>
              <w:jc w:val="both"/>
              <w:rPr>
                <w:rFonts w:ascii="Arial" w:eastAsia="Times New Roman" w:hAnsi="Arial" w:cs="Arial"/>
                <w:spacing w:val="-4"/>
                <w:sz w:val="20"/>
                <w:szCs w:val="20"/>
              </w:rPr>
            </w:pPr>
            <w:r w:rsidRPr="00823CEC">
              <w:rPr>
                <w:rFonts w:ascii="Arial" w:eastAsia="Times New Roman" w:hAnsi="Arial" w:cs="Arial"/>
                <w:spacing w:val="-4"/>
                <w:sz w:val="20"/>
                <w:szCs w:val="20"/>
              </w:rPr>
              <w:t>61,26</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 xml:space="preserve">EURO </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2.265,08</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2.212,93</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2.279,45</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2.197,22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2.284,01</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20,27</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CNY</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212,80</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213,83</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214,42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220,10</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230,40</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2,05</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Yên Nhật</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611,62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612,51</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652, 01</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646,00</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647,68</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5,75</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Bảng Anh</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497,66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492,46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513,45</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488,09</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501,90</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4,46</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Dollar Australia</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187,22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182,99</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187,86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170,41</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190,26</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1,69</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 xml:space="preserve">Dollar Canada </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209,85</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205,44</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205,99</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194,38</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213,45</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1,89</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Frank Thụy Sỹ</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15,02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15,69</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16,56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15,32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16,91</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0,15</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Một số đồng tiền khác</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270,56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262,91</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280,46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254,32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279,82</w:t>
            </w:r>
          </w:p>
        </w:tc>
        <w:tc>
          <w:tcPr>
            <w:tcW w:w="126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2,48</w:t>
            </w:r>
          </w:p>
        </w:tc>
      </w:tr>
      <w:tr w:rsidR="00066330" w:rsidRPr="00823CEC" w:rsidTr="0097143B">
        <w:trPr>
          <w:jc w:val="center"/>
        </w:trPr>
        <w:tc>
          <w:tcPr>
            <w:tcW w:w="225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Dự trữ chưa phân bổ</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715,96</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729,52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749,87</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746,92</w:t>
            </w:r>
          </w:p>
        </w:tc>
        <w:tc>
          <w:tcPr>
            <w:tcW w:w="1170" w:type="dxa"/>
          </w:tcPr>
          <w:p w:rsidR="00066330" w:rsidRPr="00823CEC" w:rsidRDefault="00066330"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747,19</w:t>
            </w:r>
          </w:p>
        </w:tc>
        <w:tc>
          <w:tcPr>
            <w:tcW w:w="1260" w:type="dxa"/>
          </w:tcPr>
          <w:p w:rsidR="00066330" w:rsidRPr="00823CEC" w:rsidRDefault="0056150C" w:rsidP="0097143B">
            <w:pPr>
              <w:spacing w:before="120"/>
              <w:jc w:val="both"/>
              <w:rPr>
                <w:rFonts w:ascii="Arial" w:eastAsia="Times New Roman" w:hAnsi="Arial" w:cs="Arial"/>
                <w:sz w:val="20"/>
                <w:szCs w:val="20"/>
              </w:rPr>
            </w:pPr>
            <w:r w:rsidRPr="00823CEC">
              <w:rPr>
                <w:rFonts w:ascii="Arial" w:eastAsia="Times New Roman" w:hAnsi="Arial" w:cs="Arial"/>
                <w:sz w:val="20"/>
                <w:szCs w:val="20"/>
              </w:rPr>
              <w:t>-</w:t>
            </w:r>
          </w:p>
        </w:tc>
      </w:tr>
    </w:tbl>
    <w:p w:rsidR="00066330" w:rsidRPr="00823CEC" w:rsidRDefault="00066330" w:rsidP="0097143B">
      <w:pPr>
        <w:shd w:val="clear" w:color="auto" w:fill="FFFFFF"/>
        <w:spacing w:before="120" w:after="0" w:line="240" w:lineRule="auto"/>
        <w:ind w:firstLine="360"/>
        <w:jc w:val="both"/>
        <w:rPr>
          <w:rFonts w:ascii="Arial" w:eastAsia="Times New Roman" w:hAnsi="Arial" w:cs="Arial"/>
          <w:i/>
          <w:sz w:val="20"/>
          <w:szCs w:val="20"/>
        </w:rPr>
      </w:pPr>
      <w:r w:rsidRPr="00823CEC">
        <w:rPr>
          <w:rFonts w:ascii="Arial" w:eastAsia="Times New Roman" w:hAnsi="Arial" w:cs="Arial"/>
          <w:i/>
          <w:sz w:val="20"/>
          <w:szCs w:val="20"/>
        </w:rPr>
        <w:t xml:space="preserve">Nguồn: IMF tháng 9/2020 </w:t>
      </w:r>
    </w:p>
    <w:p w:rsidR="008F6BAA" w:rsidRPr="00823CEC" w:rsidRDefault="008F6BAA" w:rsidP="0097143B">
      <w:pPr>
        <w:spacing w:before="120" w:after="0" w:line="240" w:lineRule="auto"/>
        <w:jc w:val="both"/>
        <w:rPr>
          <w:rFonts w:ascii="Arial" w:hAnsi="Arial" w:cs="Arial"/>
          <w:sz w:val="20"/>
          <w:szCs w:val="20"/>
        </w:rPr>
      </w:pPr>
      <w:r w:rsidRPr="00823CEC">
        <w:rPr>
          <w:rFonts w:ascii="Arial" w:hAnsi="Arial" w:cs="Arial"/>
          <w:sz w:val="20"/>
          <w:szCs w:val="20"/>
        </w:rPr>
        <w:t xml:space="preserve">Đây là dữ liệu tổng hợp từ 149 báo cáo của các nước thành viên IMF và một số quốc gia khác, các tổ chức nắm giữ dự trữ ngoại hối quốc tế.  </w:t>
      </w:r>
    </w:p>
    <w:p w:rsidR="00066330" w:rsidRPr="00823CEC" w:rsidRDefault="00066330" w:rsidP="0097143B">
      <w:pPr>
        <w:spacing w:before="120" w:after="0" w:line="240" w:lineRule="auto"/>
        <w:jc w:val="both"/>
        <w:rPr>
          <w:rFonts w:ascii="Arial" w:hAnsi="Arial" w:cs="Arial"/>
          <w:sz w:val="20"/>
          <w:szCs w:val="20"/>
        </w:rPr>
      </w:pPr>
      <w:r w:rsidRPr="00823CEC">
        <w:rPr>
          <w:rFonts w:ascii="Arial" w:hAnsi="Arial" w:cs="Arial"/>
          <w:sz w:val="20"/>
          <w:szCs w:val="20"/>
        </w:rPr>
        <w:t>Dữ liệ</w:t>
      </w:r>
      <w:r w:rsidR="006E7FA6" w:rsidRPr="00823CEC">
        <w:rPr>
          <w:rFonts w:ascii="Arial" w:hAnsi="Arial" w:cs="Arial"/>
          <w:sz w:val="20"/>
          <w:szCs w:val="20"/>
        </w:rPr>
        <w:t>u thu thập</w:t>
      </w:r>
      <w:r w:rsidR="00394CEB" w:rsidRPr="00823CEC">
        <w:rPr>
          <w:rFonts w:ascii="Arial" w:hAnsi="Arial" w:cs="Arial"/>
          <w:sz w:val="20"/>
          <w:szCs w:val="20"/>
        </w:rPr>
        <w:t xml:space="preserve"> theo ba nhóm: T</w:t>
      </w:r>
      <w:r w:rsidRPr="00823CEC">
        <w:rPr>
          <w:rFonts w:ascii="Arial" w:hAnsi="Arial" w:cs="Arial"/>
          <w:sz w:val="20"/>
          <w:szCs w:val="20"/>
        </w:rPr>
        <w:t>oàn thế giới, các nền kinh tế phát triển, các nước đang phát triển và mới nổi. Đối với mỗi nhóm, dự trữ phân bổ bao gồm những đồng tiền dự trữ truyền thống (USD, EURO, GBP, JPY, SWF)</w:t>
      </w:r>
      <w:r w:rsidR="008A7A38" w:rsidRPr="00823CEC">
        <w:rPr>
          <w:rFonts w:ascii="Arial" w:hAnsi="Arial" w:cs="Arial"/>
          <w:sz w:val="20"/>
          <w:szCs w:val="20"/>
        </w:rPr>
        <w:t xml:space="preserve"> và mộ</w:t>
      </w:r>
      <w:r w:rsidR="006E7FA6" w:rsidRPr="00823CEC">
        <w:rPr>
          <w:rFonts w:ascii="Arial" w:hAnsi="Arial" w:cs="Arial"/>
          <w:sz w:val="20"/>
          <w:szCs w:val="20"/>
        </w:rPr>
        <w:t>t số</w:t>
      </w:r>
      <w:r w:rsidR="008A7A38" w:rsidRPr="00823CEC">
        <w:rPr>
          <w:rFonts w:ascii="Arial" w:hAnsi="Arial" w:cs="Arial"/>
          <w:sz w:val="20"/>
          <w:szCs w:val="20"/>
        </w:rPr>
        <w:t xml:space="preserve"> đồng tiền khác. Khi một quốc gia (vùng lãnh thổ) không báo cáo cơ cấu tiền tệ hoặc báo cáo không đầy đủ, phần dự trữ đó được cho là chưa phân bổ. Trước năm 2006, các nước phát triển báo cáo đầy đủ cơ cấu dự trữ, nên phần dự trữ chưa phân bổ gần như bằng không. Từ năm 2007, tỷ trọng dự trữ chưa phân bổ tăng đột biến lên trên 10% tổng dự trữ ngoại hối quốc tế. Nguyên nhân là do, trước năm 2007, Hồng Kông, Hàn Quốc, Singapore, Đài Loan không thuộc vào nhóm các nền kinh tế phát triển. Sau năm 2007, </w:t>
      </w:r>
      <w:r w:rsidR="006E7FA6" w:rsidRPr="00823CEC">
        <w:rPr>
          <w:rFonts w:ascii="Arial" w:hAnsi="Arial" w:cs="Arial"/>
          <w:sz w:val="20"/>
          <w:szCs w:val="20"/>
        </w:rPr>
        <w:t>bốn</w:t>
      </w:r>
      <w:r w:rsidR="008A7A38" w:rsidRPr="00823CEC">
        <w:rPr>
          <w:rFonts w:ascii="Arial" w:hAnsi="Arial" w:cs="Arial"/>
          <w:sz w:val="20"/>
          <w:szCs w:val="20"/>
        </w:rPr>
        <w:t xml:space="preserve"> nền kinh tế này chuyển sang nhóm các nền kinh tế phát triển, nhưng một số không báo cáo </w:t>
      </w:r>
      <w:r w:rsidR="007E1DF7" w:rsidRPr="00823CEC">
        <w:rPr>
          <w:rFonts w:ascii="Arial" w:hAnsi="Arial" w:cs="Arial"/>
          <w:sz w:val="20"/>
          <w:szCs w:val="20"/>
        </w:rPr>
        <w:t xml:space="preserve">cơ cấu dự trữ ngoại hối. Trong sáu năm liên tiếp, Đài Loan hầu như không báo cáo cơ cấu tiền tệ trong dự trữ ngoại hối quốc gia, chiếm 99% dự trữ chưa phân bổ của các nền kinh tế phát triển. </w:t>
      </w:r>
      <w:r w:rsidR="008A7A38" w:rsidRPr="00823CEC">
        <w:rPr>
          <w:rFonts w:ascii="Arial" w:hAnsi="Arial" w:cs="Arial"/>
          <w:sz w:val="20"/>
          <w:szCs w:val="20"/>
        </w:rPr>
        <w:t xml:space="preserve"> </w:t>
      </w:r>
      <w:r w:rsidRPr="00823CEC">
        <w:rPr>
          <w:rFonts w:ascii="Arial" w:hAnsi="Arial" w:cs="Arial"/>
          <w:sz w:val="20"/>
          <w:szCs w:val="20"/>
        </w:rPr>
        <w:t xml:space="preserve"> </w:t>
      </w:r>
    </w:p>
    <w:p w:rsidR="00A80C18" w:rsidRPr="00823CEC" w:rsidRDefault="008F6BAA" w:rsidP="0097143B">
      <w:pPr>
        <w:spacing w:before="120" w:after="0" w:line="240" w:lineRule="auto"/>
        <w:jc w:val="both"/>
        <w:rPr>
          <w:rFonts w:ascii="Arial" w:hAnsi="Arial" w:cs="Arial"/>
          <w:sz w:val="20"/>
          <w:szCs w:val="20"/>
        </w:rPr>
      </w:pPr>
      <w:r w:rsidRPr="00823CEC">
        <w:rPr>
          <w:rFonts w:ascii="Arial" w:hAnsi="Arial" w:cs="Arial"/>
          <w:sz w:val="20"/>
          <w:szCs w:val="20"/>
        </w:rPr>
        <w:t>Theo thống kê do Wikipedia cập nhật, top 10 quốc gia và vùng lãnh thổ đang có dự trữ ngoại tệ và vàng lớn nhất thế giới. Bao gồm: Trung Quốc (3.</w:t>
      </w:r>
      <w:r w:rsidR="00A80C18" w:rsidRPr="00823CEC">
        <w:rPr>
          <w:rFonts w:ascii="Arial" w:hAnsi="Arial" w:cs="Arial"/>
          <w:sz w:val="20"/>
          <w:szCs w:val="20"/>
        </w:rPr>
        <w:t>307,9</w:t>
      </w:r>
      <w:r w:rsidRPr="00823CEC">
        <w:rPr>
          <w:rFonts w:ascii="Arial" w:hAnsi="Arial" w:cs="Arial"/>
          <w:sz w:val="20"/>
          <w:szCs w:val="20"/>
        </w:rPr>
        <w:t xml:space="preserve"> tỷ USD, dữ liệ</w:t>
      </w:r>
      <w:r w:rsidR="00A80C18" w:rsidRPr="00823CEC">
        <w:rPr>
          <w:rFonts w:ascii="Arial" w:hAnsi="Arial" w:cs="Arial"/>
          <w:sz w:val="20"/>
          <w:szCs w:val="20"/>
        </w:rPr>
        <w:t>u tháng 7/2020)</w:t>
      </w:r>
      <w:r w:rsidRPr="00823CEC">
        <w:rPr>
          <w:rFonts w:ascii="Arial" w:hAnsi="Arial" w:cs="Arial"/>
          <w:sz w:val="20"/>
          <w:szCs w:val="20"/>
        </w:rPr>
        <w:t>; Nhật Bả</w:t>
      </w:r>
      <w:r w:rsidR="00A80C18" w:rsidRPr="00823CEC">
        <w:rPr>
          <w:rFonts w:ascii="Arial" w:hAnsi="Arial" w:cs="Arial"/>
          <w:sz w:val="20"/>
          <w:szCs w:val="20"/>
        </w:rPr>
        <w:t>n (1.402,5</w:t>
      </w:r>
      <w:r w:rsidRPr="00823CEC">
        <w:rPr>
          <w:rFonts w:ascii="Arial" w:hAnsi="Arial" w:cs="Arial"/>
          <w:sz w:val="20"/>
          <w:szCs w:val="20"/>
        </w:rPr>
        <w:t xml:space="preserve"> tỷ USD, dữ liệ</w:t>
      </w:r>
      <w:r w:rsidR="00A80C18" w:rsidRPr="00823CEC">
        <w:rPr>
          <w:rFonts w:ascii="Arial" w:hAnsi="Arial" w:cs="Arial"/>
          <w:sz w:val="20"/>
          <w:szCs w:val="20"/>
        </w:rPr>
        <w:t>u tháng 7</w:t>
      </w:r>
      <w:r w:rsidRPr="00823CEC">
        <w:rPr>
          <w:rFonts w:ascii="Arial" w:hAnsi="Arial" w:cs="Arial"/>
          <w:sz w:val="20"/>
          <w:szCs w:val="20"/>
        </w:rPr>
        <w:t>/2020); Thụy Sỹ</w:t>
      </w:r>
      <w:r w:rsidR="00A80C18" w:rsidRPr="00823CEC">
        <w:rPr>
          <w:rFonts w:ascii="Arial" w:hAnsi="Arial" w:cs="Arial"/>
          <w:sz w:val="20"/>
          <w:szCs w:val="20"/>
        </w:rPr>
        <w:t xml:space="preserve"> (</w:t>
      </w:r>
      <w:r w:rsidRPr="00823CEC">
        <w:rPr>
          <w:rFonts w:ascii="Arial" w:hAnsi="Arial" w:cs="Arial"/>
          <w:sz w:val="20"/>
          <w:szCs w:val="20"/>
        </w:rPr>
        <w:t>9</w:t>
      </w:r>
      <w:r w:rsidR="00A80C18" w:rsidRPr="00823CEC">
        <w:rPr>
          <w:rFonts w:ascii="Arial" w:hAnsi="Arial" w:cs="Arial"/>
          <w:sz w:val="20"/>
          <w:szCs w:val="20"/>
        </w:rPr>
        <w:t>29,1</w:t>
      </w:r>
      <w:r w:rsidRPr="00823CEC">
        <w:rPr>
          <w:rFonts w:ascii="Arial" w:hAnsi="Arial" w:cs="Arial"/>
          <w:sz w:val="20"/>
          <w:szCs w:val="20"/>
        </w:rPr>
        <w:t xml:space="preserve"> tỷ USD, dữ liệ</w:t>
      </w:r>
      <w:r w:rsidR="00A80C18" w:rsidRPr="00823CEC">
        <w:rPr>
          <w:rFonts w:ascii="Arial" w:hAnsi="Arial" w:cs="Arial"/>
          <w:sz w:val="20"/>
          <w:szCs w:val="20"/>
        </w:rPr>
        <w:t>u tháng 7/2020); CHLB Nga (590,9</w:t>
      </w:r>
      <w:r w:rsidRPr="00823CEC">
        <w:rPr>
          <w:rFonts w:ascii="Arial" w:hAnsi="Arial" w:cs="Arial"/>
          <w:sz w:val="20"/>
          <w:szCs w:val="20"/>
        </w:rPr>
        <w:t xml:space="preserve"> tỷ USD, dữ liệ</w:t>
      </w:r>
      <w:r w:rsidR="00A80C18" w:rsidRPr="00823CEC">
        <w:rPr>
          <w:rFonts w:ascii="Arial" w:hAnsi="Arial" w:cs="Arial"/>
          <w:sz w:val="20"/>
          <w:szCs w:val="20"/>
        </w:rPr>
        <w:t>u ngày 18/9</w:t>
      </w:r>
      <w:r w:rsidRPr="00823CEC">
        <w:rPr>
          <w:rFonts w:ascii="Arial" w:hAnsi="Arial" w:cs="Arial"/>
          <w:sz w:val="20"/>
          <w:szCs w:val="20"/>
        </w:rPr>
        <w:t xml:space="preserve">/2020); </w:t>
      </w:r>
      <w:r w:rsidR="00A80C18" w:rsidRPr="00823CEC">
        <w:rPr>
          <w:rFonts w:ascii="Arial" w:hAnsi="Arial" w:cs="Arial"/>
          <w:sz w:val="20"/>
          <w:szCs w:val="20"/>
        </w:rPr>
        <w:t>Ấn Độ (545 tỷ USD, dữ liệu ngày 18/9/2020); Đài Loan (4</w:t>
      </w:r>
      <w:r w:rsidR="0056150C" w:rsidRPr="00823CEC">
        <w:rPr>
          <w:rFonts w:ascii="Arial" w:hAnsi="Arial" w:cs="Arial"/>
          <w:sz w:val="20"/>
          <w:szCs w:val="20"/>
        </w:rPr>
        <w:t>98,02</w:t>
      </w:r>
      <w:r w:rsidR="00A80C18" w:rsidRPr="00823CEC">
        <w:rPr>
          <w:rFonts w:ascii="Arial" w:hAnsi="Arial" w:cs="Arial"/>
          <w:sz w:val="20"/>
          <w:szCs w:val="20"/>
        </w:rPr>
        <w:t xml:space="preserve"> tỷ USD), dữ liệu tháng 7/2020); </w:t>
      </w:r>
      <w:r w:rsidRPr="00823CEC">
        <w:rPr>
          <w:rFonts w:ascii="Arial" w:hAnsi="Arial" w:cs="Arial"/>
          <w:sz w:val="20"/>
          <w:szCs w:val="20"/>
        </w:rPr>
        <w:t>Arậ</w:t>
      </w:r>
      <w:r w:rsidR="00A80C18" w:rsidRPr="00823CEC">
        <w:rPr>
          <w:rFonts w:ascii="Arial" w:hAnsi="Arial" w:cs="Arial"/>
          <w:sz w:val="20"/>
          <w:szCs w:val="20"/>
        </w:rPr>
        <w:t>p Xê út (4</w:t>
      </w:r>
      <w:r w:rsidRPr="00823CEC">
        <w:rPr>
          <w:rFonts w:ascii="Arial" w:hAnsi="Arial" w:cs="Arial"/>
          <w:sz w:val="20"/>
          <w:szCs w:val="20"/>
        </w:rPr>
        <w:t>53</w:t>
      </w:r>
      <w:r w:rsidR="00A80C18" w:rsidRPr="00823CEC">
        <w:rPr>
          <w:rFonts w:ascii="Arial" w:hAnsi="Arial" w:cs="Arial"/>
          <w:sz w:val="20"/>
          <w:szCs w:val="20"/>
        </w:rPr>
        <w:t>,3</w:t>
      </w:r>
      <w:r w:rsidRPr="00823CEC">
        <w:rPr>
          <w:rFonts w:ascii="Arial" w:hAnsi="Arial" w:cs="Arial"/>
          <w:sz w:val="20"/>
          <w:szCs w:val="20"/>
        </w:rPr>
        <w:t xml:space="preserve"> tỷ USD, dữ liệ</w:t>
      </w:r>
      <w:r w:rsidR="00A80C18" w:rsidRPr="00823CEC">
        <w:rPr>
          <w:rFonts w:ascii="Arial" w:hAnsi="Arial" w:cs="Arial"/>
          <w:sz w:val="20"/>
          <w:szCs w:val="20"/>
        </w:rPr>
        <w:t>u tháng 8</w:t>
      </w:r>
      <w:r w:rsidRPr="00823CEC">
        <w:rPr>
          <w:rFonts w:ascii="Arial" w:hAnsi="Arial" w:cs="Arial"/>
          <w:sz w:val="20"/>
          <w:szCs w:val="20"/>
        </w:rPr>
        <w:t>/2020); Hồ</w:t>
      </w:r>
      <w:r w:rsidR="00A80C18" w:rsidRPr="00823CEC">
        <w:rPr>
          <w:rFonts w:ascii="Arial" w:hAnsi="Arial" w:cs="Arial"/>
          <w:sz w:val="20"/>
          <w:szCs w:val="20"/>
        </w:rPr>
        <w:t>ng Kông (445,9</w:t>
      </w:r>
      <w:r w:rsidRPr="00823CEC">
        <w:rPr>
          <w:rFonts w:ascii="Arial" w:hAnsi="Arial" w:cs="Arial"/>
          <w:sz w:val="20"/>
          <w:szCs w:val="20"/>
        </w:rPr>
        <w:t xml:space="preserve"> tỷ USD, dữ liệ</w:t>
      </w:r>
      <w:r w:rsidR="00A80C18" w:rsidRPr="00823CEC">
        <w:rPr>
          <w:rFonts w:ascii="Arial" w:hAnsi="Arial" w:cs="Arial"/>
          <w:sz w:val="20"/>
          <w:szCs w:val="20"/>
        </w:rPr>
        <w:t>u tháng 6</w:t>
      </w:r>
      <w:r w:rsidRPr="00823CEC">
        <w:rPr>
          <w:rFonts w:ascii="Arial" w:hAnsi="Arial" w:cs="Arial"/>
          <w:sz w:val="20"/>
          <w:szCs w:val="20"/>
        </w:rPr>
        <w:t>/2020); Hàn Quố</w:t>
      </w:r>
      <w:r w:rsidR="00A80C18" w:rsidRPr="00823CEC">
        <w:rPr>
          <w:rFonts w:ascii="Arial" w:hAnsi="Arial" w:cs="Arial"/>
          <w:sz w:val="20"/>
          <w:szCs w:val="20"/>
        </w:rPr>
        <w:t>c (418,1</w:t>
      </w:r>
      <w:r w:rsidRPr="00823CEC">
        <w:rPr>
          <w:rFonts w:ascii="Arial" w:hAnsi="Arial" w:cs="Arial"/>
          <w:sz w:val="20"/>
          <w:szCs w:val="20"/>
        </w:rPr>
        <w:t xml:space="preserve"> tỷ USD, dữ liệ</w:t>
      </w:r>
      <w:r w:rsidR="00A80C18" w:rsidRPr="00823CEC">
        <w:rPr>
          <w:rFonts w:ascii="Arial" w:hAnsi="Arial" w:cs="Arial"/>
          <w:sz w:val="20"/>
          <w:szCs w:val="20"/>
        </w:rPr>
        <w:t>u tháng 9/2020); Brazil (353,8</w:t>
      </w:r>
      <w:r w:rsidRPr="00823CEC">
        <w:rPr>
          <w:rFonts w:ascii="Arial" w:hAnsi="Arial" w:cs="Arial"/>
          <w:sz w:val="20"/>
          <w:szCs w:val="20"/>
        </w:rPr>
        <w:t xml:space="preserve"> tỷ USD, dữ liệ</w:t>
      </w:r>
      <w:r w:rsidR="00A80C18" w:rsidRPr="00823CEC">
        <w:rPr>
          <w:rFonts w:ascii="Arial" w:hAnsi="Arial" w:cs="Arial"/>
          <w:sz w:val="20"/>
          <w:szCs w:val="20"/>
        </w:rPr>
        <w:t>u ngày 17/9</w:t>
      </w:r>
      <w:r w:rsidRPr="00823CEC">
        <w:rPr>
          <w:rFonts w:ascii="Arial" w:hAnsi="Arial" w:cs="Arial"/>
          <w:sz w:val="20"/>
          <w:szCs w:val="20"/>
        </w:rPr>
        <w:t xml:space="preserve">/2020). </w:t>
      </w:r>
      <w:r w:rsidR="00A80C18" w:rsidRPr="00823CEC">
        <w:rPr>
          <w:rFonts w:ascii="Arial" w:hAnsi="Arial" w:cs="Arial"/>
          <w:sz w:val="20"/>
          <w:szCs w:val="20"/>
        </w:rPr>
        <w:t>Dự trữ ngoại hối của Việt Nam tăng khá nhanh lên con số 92 tỷ USD</w:t>
      </w:r>
      <w:r w:rsidR="006E7FA6" w:rsidRPr="00823CEC">
        <w:rPr>
          <w:rFonts w:ascii="Arial" w:hAnsi="Arial" w:cs="Arial"/>
          <w:sz w:val="20"/>
          <w:szCs w:val="20"/>
        </w:rPr>
        <w:t xml:space="preserve"> (dữ liệ</w:t>
      </w:r>
      <w:r w:rsidR="0056150C" w:rsidRPr="00823CEC">
        <w:rPr>
          <w:rFonts w:ascii="Arial" w:hAnsi="Arial" w:cs="Arial"/>
          <w:sz w:val="20"/>
          <w:szCs w:val="20"/>
        </w:rPr>
        <w:t>u tháng 9/2020), tăng 1,43</w:t>
      </w:r>
      <w:r w:rsidR="006E7FA6" w:rsidRPr="00823CEC">
        <w:rPr>
          <w:rFonts w:ascii="Arial" w:hAnsi="Arial" w:cs="Arial"/>
          <w:sz w:val="20"/>
          <w:szCs w:val="20"/>
        </w:rPr>
        <w:t xml:space="preserve"> tỷ USD/tháng so với dữ liệu trước đó, xếp thứ 26 trong bảng thống kê. </w:t>
      </w:r>
    </w:p>
    <w:p w:rsidR="00394CEB" w:rsidRPr="00823CEC" w:rsidRDefault="00394CEB" w:rsidP="0097143B">
      <w:pPr>
        <w:spacing w:before="120" w:after="0" w:line="240" w:lineRule="auto"/>
        <w:ind w:firstLine="360"/>
        <w:jc w:val="both"/>
        <w:rPr>
          <w:rFonts w:ascii="Arial" w:hAnsi="Arial" w:cs="Arial"/>
          <w:b/>
          <w:i/>
          <w:sz w:val="20"/>
          <w:szCs w:val="20"/>
        </w:rPr>
      </w:pPr>
      <w:r w:rsidRPr="00823CEC">
        <w:rPr>
          <w:rFonts w:ascii="Arial" w:hAnsi="Arial" w:cs="Arial"/>
          <w:b/>
          <w:i/>
          <w:sz w:val="20"/>
          <w:szCs w:val="20"/>
        </w:rPr>
        <w:lastRenderedPageBreak/>
        <w:t>Hoàng Thế Thỏa</w:t>
      </w:r>
    </w:p>
    <w:p w:rsidR="007E1DF7" w:rsidRPr="00823CEC" w:rsidRDefault="008F6BAA" w:rsidP="0097143B">
      <w:pPr>
        <w:spacing w:before="120" w:after="0" w:line="240" w:lineRule="auto"/>
        <w:ind w:left="360"/>
        <w:jc w:val="both"/>
        <w:rPr>
          <w:rFonts w:ascii="Arial" w:hAnsi="Arial" w:cs="Arial"/>
          <w:i/>
          <w:sz w:val="20"/>
          <w:szCs w:val="20"/>
        </w:rPr>
      </w:pPr>
      <w:r w:rsidRPr="00823CEC">
        <w:rPr>
          <w:rFonts w:ascii="Arial" w:hAnsi="Arial" w:cs="Arial"/>
          <w:i/>
          <w:sz w:val="20"/>
          <w:szCs w:val="20"/>
        </w:rPr>
        <w:t xml:space="preserve">Nguồn: </w:t>
      </w:r>
      <w:r w:rsidR="006E7FA6" w:rsidRPr="00823CEC">
        <w:rPr>
          <w:rFonts w:ascii="Arial" w:hAnsi="Arial" w:cs="Arial"/>
          <w:i/>
          <w:sz w:val="20"/>
          <w:szCs w:val="20"/>
        </w:rPr>
        <w:t>A foreign exchange reserve mystery, which major advanced economy does not report the composition of reserves (</w:t>
      </w:r>
      <w:hyperlink r:id="rId5" w:history="1">
        <w:r w:rsidR="006E7FA6" w:rsidRPr="00823CEC">
          <w:rPr>
            <w:rStyle w:val="Hyperlink"/>
            <w:rFonts w:ascii="Arial" w:hAnsi="Arial" w:cs="Arial"/>
            <w:i/>
            <w:sz w:val="20"/>
            <w:szCs w:val="20"/>
          </w:rPr>
          <w:t>www.piie.com</w:t>
        </w:r>
      </w:hyperlink>
      <w:r w:rsidR="006E7FA6" w:rsidRPr="00823CEC">
        <w:rPr>
          <w:rFonts w:ascii="Arial" w:hAnsi="Arial" w:cs="Arial"/>
          <w:i/>
          <w:sz w:val="20"/>
          <w:szCs w:val="20"/>
        </w:rPr>
        <w:t>); IMF</w:t>
      </w:r>
      <w:r w:rsidR="0056150C" w:rsidRPr="00823CEC">
        <w:rPr>
          <w:rFonts w:ascii="Arial" w:eastAsia="Times New Roman" w:hAnsi="Arial" w:cs="Arial"/>
          <w:i/>
          <w:sz w:val="20"/>
          <w:szCs w:val="20"/>
        </w:rPr>
        <w:t>;</w:t>
      </w:r>
      <w:r w:rsidR="006E7FA6" w:rsidRPr="00823CEC">
        <w:rPr>
          <w:rFonts w:ascii="Arial" w:eastAsia="Times New Roman" w:hAnsi="Arial" w:cs="Arial"/>
          <w:i/>
          <w:sz w:val="20"/>
          <w:szCs w:val="20"/>
        </w:rPr>
        <w:t xml:space="preserve"> Wikipedia</w:t>
      </w:r>
    </w:p>
    <w:sectPr w:rsidR="007E1DF7" w:rsidRPr="0082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72"/>
    <w:rsid w:val="00066330"/>
    <w:rsid w:val="00204872"/>
    <w:rsid w:val="00326CB2"/>
    <w:rsid w:val="003879DD"/>
    <w:rsid w:val="00394CEB"/>
    <w:rsid w:val="00436675"/>
    <w:rsid w:val="0048545D"/>
    <w:rsid w:val="0056150C"/>
    <w:rsid w:val="006E7FA6"/>
    <w:rsid w:val="007E1DF7"/>
    <w:rsid w:val="00823CEC"/>
    <w:rsid w:val="008A7A38"/>
    <w:rsid w:val="008F6BAA"/>
    <w:rsid w:val="0097143B"/>
    <w:rsid w:val="00A5070D"/>
    <w:rsid w:val="00A80C18"/>
    <w:rsid w:val="00BF1662"/>
    <w:rsid w:val="00D55CC8"/>
    <w:rsid w:val="00D6195C"/>
    <w:rsid w:val="00E9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48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872"/>
    <w:rPr>
      <w:rFonts w:ascii="Times New Roman" w:eastAsia="Times New Roman" w:hAnsi="Times New Roman" w:cs="Times New Roman"/>
      <w:b/>
      <w:bCs/>
      <w:sz w:val="36"/>
      <w:szCs w:val="36"/>
    </w:rPr>
  </w:style>
  <w:style w:type="character" w:customStyle="1" w:styleId="mw-headline">
    <w:name w:val="mw-headline"/>
    <w:basedOn w:val="DefaultParagraphFont"/>
    <w:rsid w:val="00204872"/>
  </w:style>
  <w:style w:type="character" w:customStyle="1" w:styleId="mw-editsection">
    <w:name w:val="mw-editsection"/>
    <w:basedOn w:val="DefaultParagraphFont"/>
    <w:rsid w:val="00204872"/>
  </w:style>
  <w:style w:type="character" w:customStyle="1" w:styleId="mw-editsection-bracket">
    <w:name w:val="mw-editsection-bracket"/>
    <w:basedOn w:val="DefaultParagraphFont"/>
    <w:rsid w:val="00204872"/>
  </w:style>
  <w:style w:type="character" w:styleId="Hyperlink">
    <w:name w:val="Hyperlink"/>
    <w:basedOn w:val="DefaultParagraphFont"/>
    <w:uiPriority w:val="99"/>
    <w:unhideWhenUsed/>
    <w:rsid w:val="00204872"/>
    <w:rPr>
      <w:color w:val="0000FF"/>
      <w:u w:val="single"/>
    </w:rPr>
  </w:style>
  <w:style w:type="character" w:customStyle="1" w:styleId="flagicon">
    <w:name w:val="flagicon"/>
    <w:basedOn w:val="DefaultParagraphFont"/>
    <w:rsid w:val="00204872"/>
  </w:style>
  <w:style w:type="paragraph" w:styleId="BalloonText">
    <w:name w:val="Balloon Text"/>
    <w:basedOn w:val="Normal"/>
    <w:link w:val="BalloonTextChar"/>
    <w:uiPriority w:val="99"/>
    <w:semiHidden/>
    <w:unhideWhenUsed/>
    <w:rsid w:val="0020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72"/>
    <w:rPr>
      <w:rFonts w:ascii="Tahoma" w:hAnsi="Tahoma" w:cs="Tahoma"/>
      <w:sz w:val="16"/>
      <w:szCs w:val="16"/>
    </w:rPr>
  </w:style>
  <w:style w:type="table" w:styleId="TableGrid">
    <w:name w:val="Table Grid"/>
    <w:basedOn w:val="TableNormal"/>
    <w:uiPriority w:val="59"/>
    <w:rsid w:val="00D5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D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48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872"/>
    <w:rPr>
      <w:rFonts w:ascii="Times New Roman" w:eastAsia="Times New Roman" w:hAnsi="Times New Roman" w:cs="Times New Roman"/>
      <w:b/>
      <w:bCs/>
      <w:sz w:val="36"/>
      <w:szCs w:val="36"/>
    </w:rPr>
  </w:style>
  <w:style w:type="character" w:customStyle="1" w:styleId="mw-headline">
    <w:name w:val="mw-headline"/>
    <w:basedOn w:val="DefaultParagraphFont"/>
    <w:rsid w:val="00204872"/>
  </w:style>
  <w:style w:type="character" w:customStyle="1" w:styleId="mw-editsection">
    <w:name w:val="mw-editsection"/>
    <w:basedOn w:val="DefaultParagraphFont"/>
    <w:rsid w:val="00204872"/>
  </w:style>
  <w:style w:type="character" w:customStyle="1" w:styleId="mw-editsection-bracket">
    <w:name w:val="mw-editsection-bracket"/>
    <w:basedOn w:val="DefaultParagraphFont"/>
    <w:rsid w:val="00204872"/>
  </w:style>
  <w:style w:type="character" w:styleId="Hyperlink">
    <w:name w:val="Hyperlink"/>
    <w:basedOn w:val="DefaultParagraphFont"/>
    <w:uiPriority w:val="99"/>
    <w:unhideWhenUsed/>
    <w:rsid w:val="00204872"/>
    <w:rPr>
      <w:color w:val="0000FF"/>
      <w:u w:val="single"/>
    </w:rPr>
  </w:style>
  <w:style w:type="character" w:customStyle="1" w:styleId="flagicon">
    <w:name w:val="flagicon"/>
    <w:basedOn w:val="DefaultParagraphFont"/>
    <w:rsid w:val="00204872"/>
  </w:style>
  <w:style w:type="paragraph" w:styleId="BalloonText">
    <w:name w:val="Balloon Text"/>
    <w:basedOn w:val="Normal"/>
    <w:link w:val="BalloonTextChar"/>
    <w:uiPriority w:val="99"/>
    <w:semiHidden/>
    <w:unhideWhenUsed/>
    <w:rsid w:val="0020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72"/>
    <w:rPr>
      <w:rFonts w:ascii="Tahoma" w:hAnsi="Tahoma" w:cs="Tahoma"/>
      <w:sz w:val="16"/>
      <w:szCs w:val="16"/>
    </w:rPr>
  </w:style>
  <w:style w:type="table" w:styleId="TableGrid">
    <w:name w:val="Table Grid"/>
    <w:basedOn w:val="TableNormal"/>
    <w:uiPriority w:val="59"/>
    <w:rsid w:val="00D5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i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8</cp:revision>
  <dcterms:created xsi:type="dcterms:W3CDTF">2020-10-02T02:58:00Z</dcterms:created>
  <dcterms:modified xsi:type="dcterms:W3CDTF">2020-10-05T08:29:00Z</dcterms:modified>
</cp:coreProperties>
</file>