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E4" w:rsidRPr="00752A07" w:rsidRDefault="00BA13E4" w:rsidP="00BA13E4">
      <w:pPr>
        <w:spacing w:before="120" w:after="0" w:line="240" w:lineRule="auto"/>
        <w:jc w:val="both"/>
        <w:rPr>
          <w:rFonts w:ascii="Arial" w:hAnsi="Arial" w:cs="Arial"/>
          <w:sz w:val="20"/>
          <w:szCs w:val="20"/>
        </w:rPr>
      </w:pPr>
      <w:bookmarkStart w:id="0" w:name="_GoBack"/>
      <w:bookmarkEnd w:id="0"/>
      <w:r w:rsidRPr="00752A07">
        <w:rPr>
          <w:rFonts w:ascii="Arial" w:hAnsi="Arial" w:cs="Arial"/>
          <w:sz w:val="20"/>
          <w:szCs w:val="20"/>
        </w:rPr>
        <w:t>Đó là một trong những nội dung tại báo cáo 478/BC-CP</w:t>
      </w:r>
      <w:r w:rsidR="00293686" w:rsidRPr="00293686">
        <w:rPr>
          <w:rFonts w:ascii="Arial" w:hAnsi="Arial" w:cs="Arial"/>
          <w:sz w:val="20"/>
          <w:szCs w:val="20"/>
        </w:rPr>
        <w:t xml:space="preserve"> ngày 8/10/2020</w:t>
      </w:r>
      <w:r w:rsidRPr="00752A07">
        <w:rPr>
          <w:rFonts w:ascii="Arial" w:hAnsi="Arial" w:cs="Arial"/>
          <w:sz w:val="20"/>
          <w:szCs w:val="20"/>
        </w:rPr>
        <w:t xml:space="preserve"> của Chính phủ gửi các các đại biểu Quốc hội thực hiệ</w:t>
      </w:r>
      <w:r w:rsidR="00E15F87">
        <w:rPr>
          <w:rFonts w:ascii="Arial" w:hAnsi="Arial" w:cs="Arial"/>
          <w:sz w:val="20"/>
          <w:szCs w:val="20"/>
        </w:rPr>
        <w:t xml:space="preserve">n </w:t>
      </w:r>
      <w:r w:rsidR="00E15F87">
        <w:rPr>
          <w:rFonts w:ascii="Arial" w:hAnsi="Arial" w:cs="Arial"/>
          <w:sz w:val="20"/>
          <w:szCs w:val="20"/>
          <w:lang w:val="en-US"/>
        </w:rPr>
        <w:t>N</w:t>
      </w:r>
      <w:r w:rsidRPr="00752A07">
        <w:rPr>
          <w:rFonts w:ascii="Arial" w:hAnsi="Arial" w:cs="Arial"/>
          <w:sz w:val="20"/>
          <w:szCs w:val="20"/>
        </w:rPr>
        <w:t xml:space="preserve">ghị quyêt của Quốc hội về giảm sát chuyên đề và chất vấn trong nhiệm kỳ khóa XIV và một số nghị quyết trong nhiệm kỳ khóa XIII thuộc lĩnh vực ngân hàng (báo cáo 478/BC-CP). </w:t>
      </w:r>
    </w:p>
    <w:p w:rsidR="00BA13E4" w:rsidRPr="00752A07" w:rsidRDefault="00BA13E4" w:rsidP="00BA13E4">
      <w:pPr>
        <w:spacing w:before="120" w:after="0" w:line="240" w:lineRule="auto"/>
        <w:jc w:val="both"/>
        <w:rPr>
          <w:rFonts w:ascii="Arial" w:hAnsi="Arial" w:cs="Arial"/>
          <w:b/>
          <w:sz w:val="20"/>
          <w:szCs w:val="20"/>
        </w:rPr>
      </w:pPr>
      <w:r w:rsidRPr="00752A07">
        <w:rPr>
          <w:rFonts w:ascii="Arial" w:hAnsi="Arial" w:cs="Arial"/>
          <w:b/>
          <w:sz w:val="20"/>
          <w:szCs w:val="20"/>
        </w:rPr>
        <w:t>Hoàn thành các nhiệm vụ được giao và đạt được mục tiêu Quốc hội, Chính phủ đề ra</w:t>
      </w:r>
    </w:p>
    <w:p w:rsidR="00BA13E4" w:rsidRPr="00752A07" w:rsidRDefault="00BA13E4" w:rsidP="00BA13E4">
      <w:pPr>
        <w:spacing w:before="120" w:after="0" w:line="240" w:lineRule="auto"/>
        <w:jc w:val="both"/>
        <w:rPr>
          <w:rFonts w:ascii="Arial" w:hAnsi="Arial" w:cs="Arial"/>
          <w:sz w:val="20"/>
          <w:szCs w:val="20"/>
        </w:rPr>
      </w:pPr>
      <w:r w:rsidRPr="00752A07">
        <w:rPr>
          <w:rFonts w:ascii="Arial" w:hAnsi="Arial" w:cs="Arial"/>
          <w:sz w:val="20"/>
          <w:szCs w:val="20"/>
        </w:rPr>
        <w:t>Báo cáo 478/BC-CP của Chính phủ nêu rõ, đến nay, về cơ bản NHNN đã hoàn thành các nhiệm vụ được giao và đạt được mục tiêu Quốc hội, Chính phủ đề ra. Chủ động, linh hoạt trong điều hành chính sách tiền tệ (CSTT) phù hợp với diễn biến kinh tế vĩ mô, thị trường tiền tệ, góp phần quan trọng vào việc kiểm soát lạm phát, ổn định kinh tế vĩ mô. Thị trường tiền tệ, ngoại hối ổn định, dự trữ ngoại hối nhà nước tăng cao, niềm tin vào VND được củng cố. Mặt bằng lãi suất ổn định, lãi suất cho vay đối với lĩnh vực ưu tiên tiếp tục giảm. Tăng trưởng tín dụng gắn với chất lượng và hiệu quả, tập trung chủ yếu vào lĩnh vực sản xuất kinh doanh, nhất là lĩnh vực có vai trò động lực cho tăng trưởng. Công tác cơ cấu lại hệ thống các TCTD gắn với xử lý nợ xấu tiếp tục được triển khai mạnh mẽ, đạt được kết quả quan trọng, giữ vững sự ổn định, an toàn hệ thống, quy mô và năng lực tài chính tiếp tục được nâng cao; năng lực quản trị điều hành từng bước tiếp cận với thông lệ quốc tế; tính minh bạch và chất lượng dịch vụ ngân hàng được cải thiện; nợ xấu được kiểm soát và tiếp tục duy trì ở mức an toàn, ổn định. Hoạt động thanh toán tiếp tục có bước phát triển mạnh mẽ với nhiều sản phẩm, tiện ích ngân hàng mới, hiện đại được áp dụng; số lượng và giá trị thanh toán tăng trưởng mạnh; các rủi ro, nguy cơ mất an toàn cơ bản được lường đón, kiểm soát và xử lý kịp thời.</w:t>
      </w:r>
    </w:p>
    <w:p w:rsidR="00BA13E4" w:rsidRPr="00752A07" w:rsidRDefault="00BA13E4" w:rsidP="00BA13E4">
      <w:pPr>
        <w:spacing w:before="120" w:after="0" w:line="240" w:lineRule="auto"/>
        <w:jc w:val="both"/>
        <w:rPr>
          <w:rFonts w:ascii="Arial" w:hAnsi="Arial" w:cs="Arial"/>
          <w:sz w:val="20"/>
          <w:szCs w:val="20"/>
        </w:rPr>
      </w:pPr>
      <w:r w:rsidRPr="00752A07">
        <w:rPr>
          <w:rFonts w:ascii="Arial" w:hAnsi="Arial" w:cs="Arial"/>
          <w:sz w:val="20"/>
          <w:szCs w:val="20"/>
        </w:rPr>
        <w:t xml:space="preserve">Các giải pháp đồng bộ nêu trên đã góp phần tích cực giúp nền kinh tế đạt được nhiều kết quả khả quan trong bối cảnh nền kinh tế thế giới có nhiều diễn biến phức tạp, góp phần củng cố vững chắc nền tảng kinh tế vĩ mô, nâng cao năng lực nội tại của nền kinh tế, duy trì mức tăng trưởng khá giai đoạn 2016-2020 (khoảng 6,21-7,08%), lạm phát được kiểm soát ở mức thấp hơn mục tiêu do Quốc hội đề ra. </w:t>
      </w:r>
    </w:p>
    <w:p w:rsidR="00BA13E4" w:rsidRPr="00752A07" w:rsidRDefault="00BA13E4" w:rsidP="00BA13E4">
      <w:pPr>
        <w:spacing w:before="120" w:after="0" w:line="240" w:lineRule="auto"/>
        <w:jc w:val="both"/>
        <w:rPr>
          <w:rFonts w:ascii="Arial" w:hAnsi="Arial" w:cs="Arial"/>
          <w:sz w:val="20"/>
          <w:szCs w:val="20"/>
        </w:rPr>
      </w:pPr>
      <w:r w:rsidRPr="00752A07">
        <w:rPr>
          <w:rFonts w:ascii="Arial" w:hAnsi="Arial" w:cs="Arial"/>
          <w:sz w:val="20"/>
          <w:szCs w:val="20"/>
        </w:rPr>
        <w:t>NHNN điều hành đồng bộ và linh hoạt các công cụchính  CSTT; phối hợp với chính sách tài khóa và các chính sách vĩ mô khác nhằm ổn định kinh tế vĩ mô, kiểm soát lạm phát, thúc đẩy tăng trưởng kinh tế.</w:t>
      </w:r>
    </w:p>
    <w:p w:rsidR="00BA13E4" w:rsidRPr="00752A07" w:rsidRDefault="00BA13E4" w:rsidP="00BA13E4">
      <w:pPr>
        <w:spacing w:before="120" w:after="0" w:line="240" w:lineRule="auto"/>
        <w:jc w:val="both"/>
        <w:rPr>
          <w:rFonts w:ascii="Arial" w:hAnsi="Arial" w:cs="Arial"/>
          <w:sz w:val="20"/>
          <w:szCs w:val="20"/>
        </w:rPr>
      </w:pPr>
      <w:r w:rsidRPr="00752A07">
        <w:rPr>
          <w:rFonts w:ascii="Arial" w:hAnsi="Arial" w:cs="Arial"/>
          <w:sz w:val="20"/>
          <w:szCs w:val="20"/>
        </w:rPr>
        <w:t>Ngay từ đầu nhiệm kỳ, nhận thức được vai trò và trách nhiệm của mình, NHNN đã điều hành linh hoạt, đồng bộ các công cụ CSTT, góp phần quan trọng thực hiện thành công mục tiêu ổn định kinh tế vĩ mô, kiểm soát lạm phát, đảm bảo giá trị đồng Việt Nam,thanh khoản hệ thống, ổn định thị trường, chia sẻ và tháo gỡ khó khăn cho sản xuất kinh doanh… tạo tiền đề cho tăng trưởng kinh tế bền vững. Từ năm 2016 đến nay, trong những giai đoạn thị trường thuận lợi, NHNN mua ngoại tệ từ TCTD để củng cố dự trữ ngoại hối Nhà nước (DTNHNN), phối hợp đồng bộ các biện pháp, công cụ CSTT, bao gồm cả chủ động truyền thông định hướng thị trường, bán ngoại tệ can thiệp một cách linh hoạt, phù hợp để ổn định thị trường ngoại tệ khi tỷ giá chịu nhiều áp lực; đồng thời, hút tiền về thông qua chào bán tín phiếu NHNN với khối lượng, kỳ hạn và lãi suất phù hợp nhằm chủ động kiểm soát tiền tệ, đảm bảo duy trì vốn khả dụng ở mức hợp lý, góp phần kiểm soát lạm phát, đồng thời hỗ trợ giảm mặt bằng lãi suất thị trường và góp phần thúc đẩy tăng trưởng kinh tế; tiếp tục duy trì ổn định tỷ lệ dự trữ bắt buộc (DTBB) để chủ động kiểm soát tiền tệ, tạo điều kiện ổn định thanh khoản, thị trường tiền tệ. Mặt khác, NHNN đã thực hiện tái cấp vốn đối với TCTD để hỗ trợ thanh khoản, cho vay theo các chương trình đã được Chính phủ, Thủ tướng Chính phủ phê duyệt; tái cấp vốn trên cơ sở trái phiếu đặc biệt của VAMC để hỗ trợ nguồn vốn hoạt động của TCTD trong quá trình xử lý nợ xấu theo Nghị định số 53/2013/NĐ-CP, Nghị định số 34/2015/NĐ-CP, Nghị định số 18/2016/NĐ-CP.</w:t>
      </w:r>
    </w:p>
    <w:p w:rsidR="00BA13E4" w:rsidRPr="00752A07" w:rsidRDefault="00BA13E4" w:rsidP="00BA13E4">
      <w:pPr>
        <w:spacing w:before="120" w:after="0" w:line="240" w:lineRule="auto"/>
        <w:jc w:val="both"/>
        <w:rPr>
          <w:rFonts w:ascii="Arial" w:hAnsi="Arial" w:cs="Arial"/>
          <w:b/>
          <w:sz w:val="20"/>
          <w:szCs w:val="20"/>
        </w:rPr>
      </w:pPr>
      <w:r w:rsidRPr="00752A07">
        <w:rPr>
          <w:rFonts w:ascii="Arial" w:hAnsi="Arial" w:cs="Arial"/>
          <w:b/>
          <w:sz w:val="20"/>
          <w:szCs w:val="20"/>
        </w:rPr>
        <w:t>Phối hợp trong điều hành CSTT và CSTK được triển khai đồng bộ</w:t>
      </w:r>
    </w:p>
    <w:p w:rsidR="00BA13E4" w:rsidRPr="00752A07" w:rsidRDefault="00BA13E4" w:rsidP="00BA13E4">
      <w:pPr>
        <w:spacing w:before="120" w:after="0" w:line="240" w:lineRule="auto"/>
        <w:jc w:val="both"/>
        <w:rPr>
          <w:rFonts w:ascii="Arial" w:hAnsi="Arial" w:cs="Arial"/>
          <w:sz w:val="20"/>
          <w:szCs w:val="20"/>
        </w:rPr>
      </w:pPr>
      <w:r w:rsidRPr="00752A07">
        <w:rPr>
          <w:rFonts w:ascii="Arial" w:hAnsi="Arial" w:cs="Arial"/>
          <w:sz w:val="20"/>
          <w:szCs w:val="20"/>
        </w:rPr>
        <w:t>Trong giai đoạn từ năm 2016 đến nay, công tác phối hợp trong điều hành CSTT và chính sách tài khóa (CSTK) giữa NHNN và Bộ Tài chính đã được triển khai đồng bộ, chặt chẽ từ cấp lãnh đạo đến các cấp tham mưu; qua đó giúp ổn định giá trị đồng tiền, hỗ trợ kiểm soát lạm phát, ổn định kinh tế vĩ mô; đồng thời, góp phần hỗ trợ công tác phát hành trái phiếu Chính phủ (TPCP), nâng cao hiệu quả quản lý ngân quỹ nhà nước. Trong đó, (i) NHNN đã điều hành giữ mặt bằng lãi suất ổn định, tạo điều kiện thuận lợi cho việc phát hành TPCP với kỳ hạn dài hơn và lãi suất thấp hơn giúp làm giảm chi phí huy động vốn cho ngân sách nhà nước; (ii) Chủ động trao đổi, phối hợp trong việc chuyển tiền gửi Kho bạc từ hệ thống ngân hàng thương mại (NHTM) về NHNN và gửi tiền có kỳ hạn tại các NHTM, qua đó, hỗ trợ NHNN kiểm soát tiền tệ và ổn định thị trường tiền tệ; (iii) Thường xuyên trao đổi các thông tin về thị trường tiền tệ, thị trường TPCP, việc điều hành ngân quỹ của KBNN để tăng cường sự phối hợp giữa công tác điều hành CSTT&amp;CSTK.</w:t>
      </w:r>
    </w:p>
    <w:p w:rsidR="00BA13E4" w:rsidRPr="00752A07" w:rsidRDefault="00BA13E4" w:rsidP="00BA13E4">
      <w:pPr>
        <w:spacing w:before="120" w:after="0" w:line="240" w:lineRule="auto"/>
        <w:jc w:val="both"/>
        <w:rPr>
          <w:rFonts w:ascii="Arial" w:hAnsi="Arial" w:cs="Arial"/>
          <w:sz w:val="20"/>
          <w:szCs w:val="20"/>
        </w:rPr>
      </w:pPr>
      <w:r w:rsidRPr="00752A07">
        <w:rPr>
          <w:rFonts w:ascii="Arial" w:hAnsi="Arial" w:cs="Arial"/>
          <w:sz w:val="20"/>
          <w:szCs w:val="20"/>
        </w:rPr>
        <w:lastRenderedPageBreak/>
        <w:t>Kết quả là, mặc dù dự trữ ngoại hối tăng lên mức kỷ lục nhưng mức tăng của tổng phương tiện thanh toán (M2) và lạm phát được kiểm soát ở mức phù hợp: M2 giai đoạn 2016-2019 và 9 tháng đầu năm 2020 (đến ngày 24/9/2020) tăng lần lượt là 17,65%; 14,91%; 12,21%; 14,22% và 8%. Lạm phát bình quân các năm 2016-2019 và 9 tháng đầu năm 2020 lần lượt là 2,66%; 3,53%; 3,54%; 2,79% và 3,85%, được duy trì khá ổn định quanh ngưỡng mục tiêu 4% và thấp hơn nhiều so với mức bình quân 18,58% của năm 2011 và 7,8%/năm của giai đoạn 2011-2015. Lạm phát cơ bản từ năm 2016 đến nay tương đối ổn định ở mức thấp, thể hiện sự ổn định và hiệu quả trong công tác điều hành CSTT; đồng thời, tạo dư địa để Chính phủ điều chỉnh giá các mặt hàng và dịch vụ Nhà nước quản lý (lạm phát cơ bản bình quân các năm 2016-2019 và bình quân 9 tháng đầu năm 2020 lần lượt là 1,83%; 1,41%; 1,48%; 2,01% và 2,59%). Ước cả năm 2020, lạm phát bình quân dưới 4%, hoàn thành mục tiêu Quốc hội giao.</w:t>
      </w:r>
    </w:p>
    <w:p w:rsidR="00140E0E" w:rsidRPr="00752A07" w:rsidRDefault="00140E0E" w:rsidP="00E15F87">
      <w:pPr>
        <w:spacing w:before="120" w:after="0" w:line="240" w:lineRule="auto"/>
        <w:jc w:val="center"/>
        <w:rPr>
          <w:rFonts w:ascii="Arial" w:hAnsi="Arial" w:cs="Arial"/>
          <w:sz w:val="20"/>
          <w:szCs w:val="20"/>
        </w:rPr>
      </w:pPr>
      <w:r w:rsidRPr="00752A07">
        <w:rPr>
          <w:rFonts w:ascii="Arial" w:hAnsi="Arial" w:cs="Arial"/>
          <w:noProof/>
          <w:sz w:val="20"/>
          <w:szCs w:val="20"/>
          <w:lang w:val="en-US"/>
        </w:rPr>
        <w:drawing>
          <wp:inline distT="0" distB="0" distL="0" distR="0">
            <wp:extent cx="5731510" cy="3834884"/>
            <wp:effectExtent l="0" t="0" r="2540" b="0"/>
            <wp:docPr id="4" name="Picture 4" descr="D:\Nam 2020\Thang 11\Lãi suất vay giảm đã giúp khách hàng có hội đầu tư mở rộng sản xuất NHN_1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am 2020\Thang 11\Lãi suất vay giảm đã giúp khách hàng có hội đầu tư mở rộng sản xuất NHN_1510.jp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5731510" cy="3834884"/>
                    </a:xfrm>
                    <a:prstGeom prst="rect">
                      <a:avLst/>
                    </a:prstGeom>
                    <a:noFill/>
                    <a:ln>
                      <a:noFill/>
                    </a:ln>
                  </pic:spPr>
                </pic:pic>
              </a:graphicData>
            </a:graphic>
          </wp:inline>
        </w:drawing>
      </w:r>
    </w:p>
    <w:p w:rsidR="00B40E99" w:rsidRPr="00752A07" w:rsidRDefault="00B40E99" w:rsidP="00B40E99">
      <w:pPr>
        <w:spacing w:before="120" w:after="0" w:line="240" w:lineRule="auto"/>
        <w:jc w:val="center"/>
        <w:rPr>
          <w:rFonts w:ascii="Arial" w:hAnsi="Arial" w:cs="Arial"/>
          <w:sz w:val="16"/>
          <w:szCs w:val="16"/>
        </w:rPr>
      </w:pPr>
      <w:r w:rsidRPr="00752A07">
        <w:rPr>
          <w:rFonts w:ascii="Arial" w:hAnsi="Arial" w:cs="Arial"/>
          <w:sz w:val="16"/>
          <w:szCs w:val="16"/>
        </w:rPr>
        <w:t>Lãi suất vay giảm đã giúp khách hàng có hội đầu tư mở rộng sản xuất</w:t>
      </w:r>
    </w:p>
    <w:p w:rsidR="00BA13E4" w:rsidRPr="00752A07" w:rsidRDefault="00BA13E4" w:rsidP="00BA13E4">
      <w:pPr>
        <w:spacing w:before="120" w:after="0" w:line="240" w:lineRule="auto"/>
        <w:jc w:val="both"/>
        <w:rPr>
          <w:rFonts w:ascii="Arial" w:hAnsi="Arial" w:cs="Arial"/>
          <w:sz w:val="20"/>
          <w:szCs w:val="20"/>
        </w:rPr>
      </w:pPr>
      <w:r w:rsidRPr="00752A07">
        <w:rPr>
          <w:rFonts w:ascii="Arial" w:hAnsi="Arial" w:cs="Arial"/>
          <w:sz w:val="20"/>
          <w:szCs w:val="20"/>
        </w:rPr>
        <w:t>Bên cạnh đó, từ năm 2016 đến nay, NHNN điều chỉnh giảm 2-2,5%/năm các mức lãi suất điều hành, giảm 0,8-1,5%/năm trần lãi suất tiền gửi các kỳ hạn dưới 6 tháng, giảm 2,5%/năm trần lãi suất cho vay đối với các lĩnh vực ưu tiên; đồng thời kết hợp với điều tiết và đáp ứng kịp thời nhu cầu thanh khoản cho các TCTD, duy trì lãi suất thị trường liên ngân hàng ở mức phù hợp để tạo điều kiện hỗ trợ nguồn vốn với chi phí hợp lý cho các TCTD; chỉ đạo các TCTD cân đối khả năng tài chính để áp dụng mức lãi suất cho vay hợp lý nhằm chia sẻ khó khăn với khách hàng vay.</w:t>
      </w:r>
    </w:p>
    <w:p w:rsidR="009B68A4" w:rsidRPr="00752A07" w:rsidRDefault="00BA13E4" w:rsidP="00C04E19">
      <w:pPr>
        <w:spacing w:before="120" w:after="0" w:line="240" w:lineRule="auto"/>
        <w:jc w:val="both"/>
        <w:rPr>
          <w:rFonts w:ascii="Arial" w:hAnsi="Arial" w:cs="Arial"/>
          <w:sz w:val="20"/>
          <w:szCs w:val="20"/>
        </w:rPr>
      </w:pPr>
      <w:r w:rsidRPr="00752A07">
        <w:rPr>
          <w:rFonts w:ascii="Arial" w:hAnsi="Arial" w:cs="Arial"/>
          <w:sz w:val="20"/>
          <w:szCs w:val="20"/>
        </w:rPr>
        <w:t xml:space="preserve">Trong đó, chỉ riêng trong 9 tháng đầu năm 2020, trước diễn biến phức tạp của dịch Covid-19, NHNN đã 03 lần điều chỉnh giảm đồng bộ các mức lãi suất với quy mô cắt giảm tương đối mạnh, cụ thể: (i) Ngày 17/3/2020, NHNN giảm các mức lãi suất điều hành từ 0,5-1%/năm, giảm 0,25-0,3%/năm trần lãi suất tiền gửi các kỳ hạn dưới 6 tháng và giảm 0,5% trần lãi suất cho vay đối với các lĩnh vực ưu tiên; (ii) Ngày 13/5/2020, NHNN tiếp tục giảm đồng bộ 0,5%/năm các mức lãi suất điều hành để phát tín hiệu mạnh mẽ và nhất quán về định hướng điều hành giảm lãi suất, sẵn sàng hỗ trợ thanh khoản cho các TCTD; giảm 0,3-0,5%/năm trần lãi suất tiền gửi và giảm 0,5%/năm trần lãi suất cho vay đối với các lĩnh vực ưu tiên nhằm tiếp tục giảm chi phí vốn vay của khách hàng; (iii) Ngày 01/10/2020, NHNN tiếp tục giảm đồng bộ 0,5%/năm các mức lãi suất điều hành, giảm 0,25%/năm trần lãi suất tiền gửi và giảm 0,5% trần lãi suất cho vay đối với các lĩnh vực ưu tiên. </w:t>
      </w:r>
    </w:p>
    <w:p w:rsidR="00D25351" w:rsidRPr="00752A07" w:rsidRDefault="00BA13E4" w:rsidP="00BA13E4">
      <w:pPr>
        <w:spacing w:before="120" w:after="0" w:line="240" w:lineRule="auto"/>
        <w:jc w:val="both"/>
        <w:rPr>
          <w:rFonts w:ascii="Arial" w:hAnsi="Arial" w:cs="Arial"/>
          <w:sz w:val="20"/>
          <w:szCs w:val="20"/>
        </w:rPr>
      </w:pPr>
      <w:r w:rsidRPr="00752A07">
        <w:rPr>
          <w:rFonts w:ascii="Arial" w:hAnsi="Arial" w:cs="Arial"/>
          <w:sz w:val="20"/>
          <w:szCs w:val="20"/>
        </w:rPr>
        <w:t xml:space="preserve">Cùng với các giải pháp điều hành đồng bộ, linh hoạt các công cụ CSTT, việc giảm mạnh các mức lãi suất điều hành của NHNN đã góp phần tháo gỡ khó khăn và hỗ trợ phục hồi kinh tế. So với các nước trong khu vực, mức giảm lãi suất điều hành của Việt Nam hiện là một trong các mức giảm mạnh nhất. Mặt bằng lãi suất có xu hướng giảm, lãi suất cho vay tối đa đối với các lĩnh vực ưu tiên hiện ở mức </w:t>
      </w:r>
      <w:r w:rsidRPr="00752A07">
        <w:rPr>
          <w:rFonts w:ascii="Arial" w:hAnsi="Arial" w:cs="Arial"/>
          <w:sz w:val="20"/>
          <w:szCs w:val="20"/>
        </w:rPr>
        <w:lastRenderedPageBreak/>
        <w:t>4,5%/năm, giảm khoảng 2,5%/năm so với năm 2016. Theo số liệu của Quỹ tiền tệ quốc tế (IMF), lãi suất cho vay của Việt Nam không cao hơn mặt bằng lãi suất cho vay của các nước trong khu vực có trình độ phát triển tương đồng. Tính đến tháng 7/2020, lãi suất cho vay bình quân của ASEAN-6 khoảng 5,7%/năm, ASEAN-4 khoảng 4,82%; Việt Nam 7,2%/năm. Trong đó, lãi suất cho vay ngắn hạn tối đa đối với các lĩnh vực ưu tiên của Việt Nam (4,5%/năm) hiện thấp hơn mức lãi suất cho vay bình quân của ASEAN-4. Nếu so với các nước có trình độ phát triển tương đồng như Indonesia (9,41%), Mông Cổ (16,92%), Bangladesh (7,79%), Myanmar (14,5%), và Ấn Độ (9,05%)  thì lãi suất Việt Nam chỉ ở mức trung bình.</w:t>
      </w:r>
    </w:p>
    <w:p w:rsidR="00752A07" w:rsidRPr="00752A07" w:rsidRDefault="00BA13E4" w:rsidP="00BA13E4">
      <w:pPr>
        <w:spacing w:before="120" w:after="0" w:line="240" w:lineRule="auto"/>
        <w:jc w:val="both"/>
        <w:rPr>
          <w:rFonts w:ascii="Arial" w:hAnsi="Arial" w:cs="Arial"/>
          <w:sz w:val="20"/>
          <w:szCs w:val="20"/>
          <w:lang w:val="en-US"/>
        </w:rPr>
      </w:pPr>
      <w:r w:rsidRPr="00752A07">
        <w:rPr>
          <w:rFonts w:ascii="Arial" w:hAnsi="Arial" w:cs="Arial"/>
          <w:sz w:val="20"/>
          <w:szCs w:val="20"/>
          <w:lang w:val="en-US"/>
        </w:rPr>
        <w:t>NN</w:t>
      </w:r>
    </w:p>
    <w:sectPr w:rsidR="00752A07" w:rsidRPr="00752A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F69" w:rsidRDefault="002D4F69" w:rsidP="00BA13E4">
      <w:pPr>
        <w:spacing w:after="0" w:line="240" w:lineRule="auto"/>
      </w:pPr>
      <w:r>
        <w:separator/>
      </w:r>
    </w:p>
  </w:endnote>
  <w:endnote w:type="continuationSeparator" w:id="0">
    <w:p w:rsidR="002D4F69" w:rsidRDefault="002D4F69" w:rsidP="00BA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F69" w:rsidRDefault="002D4F69" w:rsidP="00BA13E4">
      <w:pPr>
        <w:spacing w:after="0" w:line="240" w:lineRule="auto"/>
      </w:pPr>
      <w:r>
        <w:separator/>
      </w:r>
    </w:p>
  </w:footnote>
  <w:footnote w:type="continuationSeparator" w:id="0">
    <w:p w:rsidR="002D4F69" w:rsidRDefault="002D4F69" w:rsidP="00BA13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E4"/>
    <w:rsid w:val="00060104"/>
    <w:rsid w:val="00140A23"/>
    <w:rsid w:val="00140E0E"/>
    <w:rsid w:val="00293686"/>
    <w:rsid w:val="002D4F69"/>
    <w:rsid w:val="00472D5B"/>
    <w:rsid w:val="004C433F"/>
    <w:rsid w:val="00562B32"/>
    <w:rsid w:val="005854CF"/>
    <w:rsid w:val="00595FB2"/>
    <w:rsid w:val="00752A07"/>
    <w:rsid w:val="009B68A4"/>
    <w:rsid w:val="00A43FAB"/>
    <w:rsid w:val="00A8198D"/>
    <w:rsid w:val="00B40E99"/>
    <w:rsid w:val="00B64F07"/>
    <w:rsid w:val="00BA13E4"/>
    <w:rsid w:val="00C04E19"/>
    <w:rsid w:val="00CE79EE"/>
    <w:rsid w:val="00D25351"/>
    <w:rsid w:val="00E15F87"/>
    <w:rsid w:val="00EC6A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F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1282</Words>
  <Characters>7310</Characters>
  <Application>Microsoft Office Word</Application>
  <DocSecurity>0</DocSecurity>
  <Lines>60</Lines>
  <Paragraphs>17</Paragraphs>
  <ScaleCrop>false</ScaleCrop>
  <Company>VietNam.Com</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HP 348G3</cp:lastModifiedBy>
  <cp:revision>3</cp:revision>
  <dcterms:created xsi:type="dcterms:W3CDTF">2020-11-12T15:32:00Z</dcterms:created>
  <dcterms:modified xsi:type="dcterms:W3CDTF">2020-11-12T15:35:00Z</dcterms:modified>
</cp:coreProperties>
</file>