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4A7" w:rsidRPr="000365F4" w:rsidRDefault="009E34A7" w:rsidP="00974C9C">
      <w:pPr>
        <w:spacing w:before="120" w:line="240" w:lineRule="auto"/>
        <w:jc w:val="both"/>
        <w:rPr>
          <w:rFonts w:ascii="Arial" w:hAnsi="Arial" w:cs="Arial"/>
          <w:sz w:val="20"/>
          <w:szCs w:val="20"/>
        </w:rPr>
      </w:pPr>
      <w:r w:rsidRPr="000365F4">
        <w:rPr>
          <w:rFonts w:ascii="Arial" w:hAnsi="Arial" w:cs="Arial"/>
          <w:sz w:val="20"/>
          <w:szCs w:val="20"/>
        </w:rPr>
        <w:t>Tổng hợp số liệu của NHNN chi nhánh các tỉnh, thành phố, đến 30/11/2020, tổng dư nợ tín dụng bị ảnh hưởng bởi đợt bão, lũ năm nay khoảng 34,07 nghìn tỷ đồng. Các tổ chức tín dụng đang hỗ trợ khách hàng bị thiệt hại qua các giải pháp như cơ cấu lại thời hạn trả nợ cho 4.706 khách hàng, với dư nợ 262 tỷ đồng; miễn, giảm lãi vay cho 30.439 khách hàng, với dư nợ 31.958 tỷ đồng; cho vay mới 40.077 khách hàng với số tiền cho vay mới 8.375 tỷ đồng. Ngoài ra, các tổ chức tín dụng đang xem xét đề xuất khoanh nợ cho một số khách hàng, riêng Ngân hàng Chính sách xã hội đang thực hiện khoanh nợ số tiền 85,93 tỷ đồng cho 2.087 khách hàng, xóa nợ 470 triệu đồng cho 23 khách hàng. Cùng đó, đến cuối tháng 11/2020, các tổ chức tín dụng, Công đoàn Cơ quan NHNN Trung ương và các cán bộ ngành Ngân hàng đóng góp, ủng hộ, hỗ trợ an sinh xã hội cho các tỉnh, thành phố, người dân bị thiệt hại nặng bởi bão, lũ số tiền 153,6 tỷ đồng.</w:t>
      </w:r>
    </w:p>
    <w:p w:rsidR="00E86B5D" w:rsidRPr="00556CD7" w:rsidRDefault="00E86B5D" w:rsidP="00974C9C">
      <w:pPr>
        <w:spacing w:before="120" w:line="240" w:lineRule="auto"/>
        <w:jc w:val="both"/>
        <w:rPr>
          <w:rFonts w:ascii="Arial" w:hAnsi="Arial" w:cs="Arial"/>
          <w:b/>
          <w:sz w:val="20"/>
          <w:szCs w:val="20"/>
        </w:rPr>
      </w:pPr>
      <w:r w:rsidRPr="00556CD7">
        <w:rPr>
          <w:rFonts w:ascii="Arial" w:hAnsi="Arial" w:cs="Arial"/>
          <w:b/>
          <w:sz w:val="20"/>
          <w:szCs w:val="20"/>
        </w:rPr>
        <w:t>Cơ cấu lại nợ, miễn giảm lãi suất cho ngườ</w:t>
      </w:r>
      <w:r w:rsidR="0075388F" w:rsidRPr="00556CD7">
        <w:rPr>
          <w:rFonts w:ascii="Arial" w:hAnsi="Arial" w:cs="Arial"/>
          <w:b/>
          <w:sz w:val="20"/>
          <w:szCs w:val="20"/>
        </w:rPr>
        <w:t>i dân, doanh nghiệp</w:t>
      </w:r>
    </w:p>
    <w:p w:rsidR="00E10EA2" w:rsidRPr="000365F4" w:rsidRDefault="001E3EA9" w:rsidP="00974C9C">
      <w:pPr>
        <w:spacing w:before="120" w:line="240" w:lineRule="auto"/>
        <w:jc w:val="both"/>
        <w:rPr>
          <w:rFonts w:ascii="Arial" w:hAnsi="Arial" w:cs="Arial"/>
          <w:sz w:val="20"/>
          <w:szCs w:val="20"/>
          <w:lang w:val="it-IT"/>
        </w:rPr>
      </w:pPr>
      <w:r w:rsidRPr="000365F4">
        <w:rPr>
          <w:rFonts w:ascii="Arial" w:hAnsi="Arial" w:cs="Arial"/>
          <w:sz w:val="20"/>
          <w:szCs w:val="20"/>
          <w:lang w:val="de-DE"/>
        </w:rPr>
        <w:t>Ông</w:t>
      </w:r>
      <w:r w:rsidRPr="000365F4">
        <w:rPr>
          <w:rFonts w:ascii="Arial" w:hAnsi="Arial" w:cs="Arial"/>
          <w:i/>
          <w:sz w:val="20"/>
          <w:szCs w:val="20"/>
          <w:lang w:val="de-AT"/>
        </w:rPr>
        <w:t xml:space="preserve"> </w:t>
      </w:r>
      <w:r w:rsidRPr="000365F4">
        <w:rPr>
          <w:rFonts w:ascii="Arial" w:hAnsi="Arial" w:cs="Arial"/>
          <w:sz w:val="20"/>
          <w:szCs w:val="20"/>
          <w:lang w:val="de-DE"/>
        </w:rPr>
        <w:t>Nguyễn Hồng Quang, Phó Chủ tịch UBND tỉnh Quảng Nam cho biết</w:t>
      </w:r>
      <w:r w:rsidRPr="000365F4">
        <w:rPr>
          <w:rFonts w:ascii="Arial" w:hAnsi="Arial" w:cs="Arial"/>
          <w:color w:val="000000"/>
          <w:sz w:val="20"/>
          <w:szCs w:val="20"/>
          <w:shd w:val="clear" w:color="auto" w:fill="FFFFFF"/>
          <w:lang w:val="de-DE"/>
        </w:rPr>
        <w:t xml:space="preserve">, </w:t>
      </w:r>
      <w:r w:rsidRPr="000365F4">
        <w:rPr>
          <w:rFonts w:ascii="Arial" w:hAnsi="Arial" w:cs="Arial"/>
          <w:color w:val="000000"/>
          <w:sz w:val="20"/>
          <w:szCs w:val="20"/>
          <w:shd w:val="clear" w:color="auto" w:fill="FFFFFF"/>
          <w:lang w:val="it-IT"/>
        </w:rPr>
        <w:t>t</w:t>
      </w:r>
      <w:r w:rsidRPr="000365F4">
        <w:rPr>
          <w:rFonts w:ascii="Arial" w:hAnsi="Arial" w:cs="Arial"/>
          <w:sz w:val="20"/>
          <w:szCs w:val="20"/>
          <w:lang w:val="de-DE"/>
        </w:rPr>
        <w:t>hời gian qua, NHNN đã chỉ đạo các tổ chức tín dụng phối hợp với các địa phương trong thực hiện việc khoanh, giãn, hoãn nợ, đây là việc làm rất ý nghĩa của hệ thống ngân hàng với doanh nghiệp, cộng đồng nhân dân trên địa bàn.</w:t>
      </w:r>
      <w:r w:rsidRPr="000365F4">
        <w:rPr>
          <w:rFonts w:ascii="Arial" w:hAnsi="Arial" w:cs="Arial"/>
          <w:sz w:val="20"/>
          <w:szCs w:val="20"/>
          <w:lang w:val="it-IT"/>
        </w:rPr>
        <w:t xml:space="preserve"> </w:t>
      </w:r>
    </w:p>
    <w:p w:rsidR="00E86B5D" w:rsidRPr="000365F4" w:rsidRDefault="00E86B5D" w:rsidP="00974C9C">
      <w:pPr>
        <w:spacing w:before="120" w:line="240" w:lineRule="auto"/>
        <w:jc w:val="both"/>
        <w:rPr>
          <w:rFonts w:ascii="Arial" w:hAnsi="Arial" w:cs="Arial"/>
          <w:sz w:val="20"/>
          <w:szCs w:val="20"/>
        </w:rPr>
      </w:pPr>
      <w:r w:rsidRPr="000365F4">
        <w:rPr>
          <w:rFonts w:ascii="Arial" w:hAnsi="Arial" w:cs="Arial"/>
          <w:sz w:val="20"/>
          <w:szCs w:val="20"/>
        </w:rPr>
        <w:t>Các đợt bão, lũ, mưa lớn kéo dài trên diện rộng tại miền Trung và Tây Nguyên vừa qua đã gây thiệt hại nghiêm trọng về người và tài sản, khiến hoạt động sản xuất kinh doanh của người dân, DN bị đình trệ, từ đó ảnh hưởng tới hoạt động ngành Ngân hàng. Theo số liệu tổng hợp của NHNN chi nhánh các tỉnh, thành phố, đến 30/11/2020, tổng dư nợ tín dụng bị ảnh hưởng bởi đợt bão, lũ năm nay khoảng 34,07 nghìn tỷ đồng.</w:t>
      </w:r>
    </w:p>
    <w:p w:rsidR="00C77332" w:rsidRPr="000365F4" w:rsidRDefault="00E92C26" w:rsidP="00974C9C">
      <w:pPr>
        <w:spacing w:before="120" w:line="240" w:lineRule="auto"/>
        <w:jc w:val="both"/>
        <w:rPr>
          <w:rFonts w:ascii="Arial" w:hAnsi="Arial" w:cs="Arial"/>
          <w:sz w:val="20"/>
          <w:szCs w:val="20"/>
        </w:rPr>
      </w:pPr>
      <w:r w:rsidRPr="000365F4">
        <w:rPr>
          <w:rFonts w:ascii="Arial" w:hAnsi="Arial" w:cs="Arial"/>
          <w:sz w:val="20"/>
          <w:szCs w:val="20"/>
        </w:rPr>
        <w:t>Đ</w:t>
      </w:r>
      <w:r w:rsidR="00E86B5D" w:rsidRPr="000365F4">
        <w:rPr>
          <w:rFonts w:ascii="Arial" w:hAnsi="Arial" w:cs="Arial"/>
          <w:sz w:val="20"/>
          <w:szCs w:val="20"/>
        </w:rPr>
        <w:t>ể hỗ trợ người dân, DN khắc phục khó khăn, ổn định sản xuất kinh doanh, Phó Thống đốc Thường trực NHNN Đào Minh Tú cho biết, ngành Ngân hàng đã và đang quyết liệt chỉ đạo triển khai nhiều giải pháp đồng bộ về tín dụng, lãi suất. Theo đó, NHNN đã khẩn trương ban hành các Công văn 7751/NHNN-TD và 8247/NHNN-TD chỉ đạo các TCTD khẩn trương áp dụng các biện pháp hỗ trợ, tháo gỡ khó khăn cho khách hàng như: Cơ cấu lại thời hạn trả nợ, miễn, giảm, hạ lãi suất cho vay, đơn giản hóa các thủ tục vay vốn để tạo điều kiện cho khách hàng giảm bớt áp lực về tài chính, tiếp cận vốn vay, khôi phục sản xuất sau bão, lũ; hướng dẫn và hỗ trợ khách hàng hoàn thiện hồ sơ đề nghị xử lý khoanh nợ theo Nghị định số 55/2015/NĐ-CP, Nghị định số 116/2018/NĐ-CP của Chính phủ về chính sách tín dụng phục vụ phát triển nông nghiệp, nông thôn. Đồng thời, hoàn thiện các thủ tục gia hạn nợ, khoanh nợ, xóa nợ theo Quyết định số 50/2010/QĐ-TTg của Thủ tướng Chính phủ về cơ chế xử lý nợ bị rủi ro tại Ngân hàng Chính sách xã hội.</w:t>
      </w:r>
    </w:p>
    <w:p w:rsidR="00520E4D" w:rsidRPr="000365F4" w:rsidRDefault="00E86B5D" w:rsidP="00974C9C">
      <w:pPr>
        <w:spacing w:before="120" w:line="240" w:lineRule="auto"/>
        <w:jc w:val="both"/>
        <w:rPr>
          <w:rFonts w:ascii="Arial" w:hAnsi="Arial" w:cs="Arial"/>
          <w:sz w:val="20"/>
          <w:szCs w:val="20"/>
        </w:rPr>
      </w:pPr>
      <w:r w:rsidRPr="000365F4">
        <w:rPr>
          <w:rFonts w:ascii="Arial" w:hAnsi="Arial" w:cs="Arial"/>
          <w:sz w:val="20"/>
          <w:szCs w:val="20"/>
        </w:rPr>
        <w:t>NHNN đã chỉ đạo các TCTD tổ chức thăm hỏi, động viên đối với các gia đình bị thiệt hại, thực hiện công tác an sinh xã hội đối với những khu vực bị ảnh hưởng nặng nề và chỉ đạo NHNN chi nhánh các tỉnh, thành phố tăng cường các biện pháp đảm bảo an ninh, an toàn về con người và tài sản, kho quỹ trong quá trình mưa lũ, thường xuyên cập nhật các thông tin để có giải pháp xử lý kịp thời. Đến cuối tháng 11/2020, Công đoàn Cơ quan NHNN Trung ương và các TCTD đã ủng hộ, hỗ trợ an sinh xã hội cho các tỉnh, thành phố, người dân bị thiệt hại nặng bởi bão, lũ số tiền 153,6 tỷ đồng.</w:t>
      </w:r>
    </w:p>
    <w:p w:rsidR="00E17669" w:rsidRPr="000365F4" w:rsidRDefault="00327F4A" w:rsidP="00974C9C">
      <w:pPr>
        <w:spacing w:before="120" w:line="240" w:lineRule="auto"/>
        <w:jc w:val="both"/>
        <w:rPr>
          <w:rFonts w:ascii="Arial" w:hAnsi="Arial" w:cs="Arial"/>
          <w:spacing w:val="-10"/>
          <w:sz w:val="20"/>
          <w:szCs w:val="20"/>
          <w:lang w:val="es-MX"/>
        </w:rPr>
      </w:pPr>
      <w:r w:rsidRPr="000365F4">
        <w:rPr>
          <w:rFonts w:ascii="Arial" w:hAnsi="Arial" w:cs="Arial"/>
          <w:color w:val="222222"/>
          <w:sz w:val="20"/>
          <w:szCs w:val="20"/>
        </w:rPr>
        <w:t xml:space="preserve">Theo báo cáo của </w:t>
      </w:r>
      <w:r w:rsidR="00E507C9" w:rsidRPr="000365F4">
        <w:rPr>
          <w:rFonts w:ascii="Arial" w:hAnsi="Arial" w:cs="Arial"/>
          <w:color w:val="222222"/>
          <w:sz w:val="20"/>
          <w:szCs w:val="20"/>
        </w:rPr>
        <w:t>Ngân hàng nông nghiệp và Phát triể</w:t>
      </w:r>
      <w:r w:rsidR="00707F5C" w:rsidRPr="000365F4">
        <w:rPr>
          <w:rFonts w:ascii="Arial" w:hAnsi="Arial" w:cs="Arial"/>
          <w:color w:val="222222"/>
          <w:sz w:val="20"/>
          <w:szCs w:val="20"/>
        </w:rPr>
        <w:t xml:space="preserve">n nông </w:t>
      </w:r>
      <w:r w:rsidR="00B93EF7" w:rsidRPr="000365F4">
        <w:rPr>
          <w:rFonts w:ascii="Arial" w:hAnsi="Arial" w:cs="Arial"/>
          <w:color w:val="222222"/>
          <w:sz w:val="20"/>
          <w:szCs w:val="20"/>
        </w:rPr>
        <w:t>t</w:t>
      </w:r>
      <w:r w:rsidR="00E507C9" w:rsidRPr="000365F4">
        <w:rPr>
          <w:rFonts w:ascii="Arial" w:hAnsi="Arial" w:cs="Arial"/>
          <w:color w:val="222222"/>
          <w:sz w:val="20"/>
          <w:szCs w:val="20"/>
        </w:rPr>
        <w:t xml:space="preserve">hôn Việt Nam </w:t>
      </w:r>
      <w:r w:rsidR="004B6751" w:rsidRPr="000365F4">
        <w:rPr>
          <w:rFonts w:ascii="Arial" w:hAnsi="Arial" w:cs="Arial"/>
          <w:color w:val="222222"/>
          <w:sz w:val="20"/>
          <w:szCs w:val="20"/>
        </w:rPr>
        <w:t>(</w:t>
      </w:r>
      <w:r w:rsidR="00E507C9" w:rsidRPr="000365F4">
        <w:rPr>
          <w:rFonts w:ascii="Arial" w:hAnsi="Arial" w:cs="Arial"/>
          <w:color w:val="222222"/>
          <w:sz w:val="20"/>
          <w:szCs w:val="20"/>
        </w:rPr>
        <w:t>Agribank</w:t>
      </w:r>
      <w:r w:rsidR="008738AD" w:rsidRPr="000365F4">
        <w:rPr>
          <w:rFonts w:ascii="Arial" w:hAnsi="Arial" w:cs="Arial"/>
          <w:color w:val="222222"/>
          <w:sz w:val="20"/>
          <w:szCs w:val="20"/>
        </w:rPr>
        <w:t>)</w:t>
      </w:r>
      <w:r w:rsidR="00E507C9" w:rsidRPr="000365F4">
        <w:rPr>
          <w:rFonts w:ascii="Arial" w:hAnsi="Arial" w:cs="Arial"/>
          <w:color w:val="222222"/>
          <w:sz w:val="20"/>
          <w:szCs w:val="20"/>
        </w:rPr>
        <w:t>, n</w:t>
      </w:r>
      <w:r w:rsidR="00E507C9" w:rsidRPr="000365F4">
        <w:rPr>
          <w:rFonts w:ascii="Arial" w:hAnsi="Arial" w:cs="Arial"/>
          <w:sz w:val="20"/>
          <w:szCs w:val="20"/>
          <w:lang w:val="es-MX"/>
        </w:rPr>
        <w:t xml:space="preserve">hiều chi nhánh, phòng giao dịch và khách hàng của Agribank tại các tỉnh Hà Tĩnh, Quảng Bình, Quảng Trị, Thừa Thiên Huế, Quảng Nam, Quảng </w:t>
      </w:r>
      <w:r w:rsidR="00E507C9" w:rsidRPr="000365F4">
        <w:rPr>
          <w:rFonts w:ascii="Arial" w:hAnsi="Arial" w:cs="Arial"/>
          <w:spacing w:val="-10"/>
          <w:sz w:val="20"/>
          <w:szCs w:val="20"/>
          <w:lang w:val="es-MX"/>
        </w:rPr>
        <w:t>Ngãi,… phải dừng hoạt động, gây ảnh hưởng đến hoạt động kinh doanh của toàn hệ thống.</w:t>
      </w:r>
    </w:p>
    <w:p w:rsidR="00E507C9" w:rsidRPr="000365F4" w:rsidRDefault="00E507C9" w:rsidP="00974C9C">
      <w:pPr>
        <w:spacing w:before="120" w:after="120" w:line="240" w:lineRule="auto"/>
        <w:jc w:val="both"/>
        <w:rPr>
          <w:rFonts w:ascii="Arial" w:hAnsi="Arial" w:cs="Arial"/>
          <w:color w:val="000000"/>
          <w:sz w:val="20"/>
          <w:szCs w:val="20"/>
          <w:lang w:val="de-DE"/>
        </w:rPr>
      </w:pPr>
      <w:r w:rsidRPr="000365F4">
        <w:rPr>
          <w:rFonts w:ascii="Arial" w:hAnsi="Arial" w:cs="Arial"/>
          <w:color w:val="000000"/>
          <w:sz w:val="20"/>
          <w:szCs w:val="20"/>
          <w:lang w:val="de-DE"/>
        </w:rPr>
        <w:t>Là Ngân hàng thương mại lớn nhất hệ thống với tổng tài sản hơn 1,5 triệu tỷ đồng, hơn 20 triệu khách hàng, 2.300 chi nhánh, phòng giao dịch có mặt tại khắp mọi vùng, miền, Agribank luôn xác định việc đồng hành tháo gỡ khó khăn cho khách hàng là ưu tiên hàng đầu. Trước diễn biến phức tạp của tình trạng bão lũ, Agribank đã chủ động bám sát, phối hợp với khách hàng và chính quyền địa phương triển khai công tác phòng chống lũ; thống kê các thiệt hại và kịp thời áp dụng các chính sách hỗ trợ cho khách hàng.</w:t>
      </w:r>
    </w:p>
    <w:p w:rsidR="00E507C9" w:rsidRDefault="00E507C9" w:rsidP="00974C9C">
      <w:pPr>
        <w:spacing w:before="120" w:after="120" w:line="240" w:lineRule="auto"/>
        <w:jc w:val="both"/>
        <w:rPr>
          <w:rFonts w:ascii="Arial" w:hAnsi="Arial" w:cs="Arial"/>
          <w:sz w:val="20"/>
          <w:szCs w:val="20"/>
          <w:lang w:val="es-MX"/>
        </w:rPr>
      </w:pPr>
      <w:r w:rsidRPr="000365F4">
        <w:rPr>
          <w:rFonts w:ascii="Arial" w:hAnsi="Arial" w:cs="Arial"/>
          <w:sz w:val="20"/>
          <w:szCs w:val="20"/>
          <w:lang w:val="es-MX"/>
        </w:rPr>
        <w:t xml:space="preserve">Thực hiện chỉ đạo của Ngân hàng Nhà nước tại văn bản số 7751/NHNN-TD ngày 22/10/2020 về việc hỗ trợ người dân khắc phục hậu quả do mưa lũ tại khu vực miền Trung và Tây Nguyên, ngày 26/10/2020, Tổng Giám đốc Agribank đã ban hành văn bản số 8356/NHNo-TD về hỗ trợ khách hàng khắc phục hậu quả do mưa lũ tại khu vực Miền Trung, Tây Nguyên. Theo đó, Agribank đã chỉ đạo các chi nhánh thuộc các khu vực bị ảnh hưởng bởi bảo lũ khẩn trương phối hợp với khách hàng, chính quyền địa phương thống </w:t>
      </w:r>
      <w:r w:rsidRPr="000365F4">
        <w:rPr>
          <w:rFonts w:ascii="Arial" w:hAnsi="Arial" w:cs="Arial"/>
          <w:sz w:val="20"/>
          <w:szCs w:val="20"/>
          <w:lang w:val="es-MX"/>
        </w:rPr>
        <w:lastRenderedPageBreak/>
        <w:t>kê những thiệt hại đối với khách hàng vay vốn bị ảnh hưởng bởi bão lũ. Trên cơ sở đó, chủ động làm việc với khách hàng, kịp thời áp dụng các biện pháp nghiệp vụ (cơ cấu lại thời hạn trả nợ, miễn giảm lãi, cho vay mới,…) để hỗ trợ, tháo gỡ khó khăn cho khách hàng, đặc biệt hướng dẫn khách hàng hoàn thiện hồ sơ và thực hiện xử lý nợ đối với khách hàng bị thiệt hại về vốn vay theo quy định tại Nghị định 55</w:t>
      </w:r>
      <w:r w:rsidR="001A18D0" w:rsidRPr="000365F4">
        <w:rPr>
          <w:rFonts w:ascii="Arial" w:hAnsi="Arial" w:cs="Arial"/>
          <w:sz w:val="20"/>
          <w:szCs w:val="20"/>
          <w:lang w:val="es-MX"/>
        </w:rPr>
        <w:t>/2015/NĐ-CP ngày 09/6/2015…</w:t>
      </w:r>
      <w:r w:rsidRPr="000365F4">
        <w:rPr>
          <w:rFonts w:ascii="Arial" w:hAnsi="Arial" w:cs="Arial"/>
          <w:sz w:val="20"/>
          <w:szCs w:val="20"/>
          <w:lang w:val="es-MX"/>
        </w:rPr>
        <w:t>và các chính sách hỗ trợ của Agribank.</w:t>
      </w:r>
    </w:p>
    <w:p w:rsidR="00290B9E" w:rsidRDefault="00290B9E" w:rsidP="00974C9C">
      <w:pPr>
        <w:spacing w:before="120" w:after="120" w:line="240" w:lineRule="auto"/>
        <w:jc w:val="center"/>
        <w:rPr>
          <w:rFonts w:ascii="Arial" w:hAnsi="Arial" w:cs="Arial"/>
          <w:sz w:val="20"/>
          <w:szCs w:val="20"/>
          <w:lang w:val="es-MX"/>
        </w:rPr>
      </w:pPr>
      <w:r w:rsidRPr="00290B9E">
        <w:rPr>
          <w:rFonts w:ascii="Arial" w:hAnsi="Arial" w:cs="Arial"/>
          <w:noProof/>
          <w:sz w:val="20"/>
          <w:szCs w:val="20"/>
        </w:rPr>
        <w:drawing>
          <wp:inline distT="0" distB="0" distL="0" distR="0">
            <wp:extent cx="5943600" cy="3963300"/>
            <wp:effectExtent l="0" t="0" r="0" b="0"/>
            <wp:docPr id="3" name="Picture 3" descr="F:\Bai nam 2020\Thang 12\Tai lieu bao lu\TNB080920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Bai nam 2020\Thang 12\Tai lieu bao lu\TNB080920_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963300"/>
                    </a:xfrm>
                    <a:prstGeom prst="rect">
                      <a:avLst/>
                    </a:prstGeom>
                    <a:noFill/>
                    <a:ln>
                      <a:noFill/>
                    </a:ln>
                  </pic:spPr>
                </pic:pic>
              </a:graphicData>
            </a:graphic>
          </wp:inline>
        </w:drawing>
      </w:r>
    </w:p>
    <w:p w:rsidR="008E5430" w:rsidRPr="007B11BB" w:rsidRDefault="008E5430" w:rsidP="00974C9C">
      <w:pPr>
        <w:spacing w:before="120" w:after="120" w:line="240" w:lineRule="auto"/>
        <w:jc w:val="center"/>
        <w:rPr>
          <w:rFonts w:ascii="Arial" w:hAnsi="Arial" w:cs="Arial"/>
          <w:sz w:val="16"/>
          <w:szCs w:val="16"/>
          <w:lang w:val="es-MX"/>
        </w:rPr>
      </w:pPr>
      <w:r w:rsidRPr="007B11BB">
        <w:rPr>
          <w:rFonts w:ascii="Arial" w:hAnsi="Arial" w:cs="Arial"/>
          <w:sz w:val="16"/>
          <w:szCs w:val="16"/>
          <w:lang w:val="es-MX"/>
        </w:rPr>
        <w:t>Cán bộ Agribank khảo sát mô hình vay vốn đầ</w:t>
      </w:r>
      <w:r w:rsidR="00CF494A">
        <w:rPr>
          <w:rFonts w:ascii="Arial" w:hAnsi="Arial" w:cs="Arial"/>
          <w:sz w:val="16"/>
          <w:szCs w:val="16"/>
          <w:lang w:val="es-MX"/>
        </w:rPr>
        <w:t>u tư</w:t>
      </w:r>
      <w:bookmarkStart w:id="0" w:name="_GoBack"/>
      <w:bookmarkEnd w:id="0"/>
      <w:r w:rsidRPr="007B11BB">
        <w:rPr>
          <w:rFonts w:ascii="Arial" w:hAnsi="Arial" w:cs="Arial"/>
          <w:sz w:val="16"/>
          <w:szCs w:val="16"/>
          <w:lang w:val="es-MX"/>
        </w:rPr>
        <w:t xml:space="preserve"> sản xuất</w:t>
      </w:r>
    </w:p>
    <w:p w:rsidR="009E5230" w:rsidRPr="000365F4" w:rsidRDefault="00180D22" w:rsidP="00974C9C">
      <w:pPr>
        <w:spacing w:before="120" w:after="120" w:line="240" w:lineRule="auto"/>
        <w:jc w:val="both"/>
        <w:rPr>
          <w:rFonts w:ascii="Arial" w:hAnsi="Arial" w:cs="Arial"/>
          <w:sz w:val="20"/>
          <w:szCs w:val="20"/>
          <w:lang w:val="es-MX"/>
        </w:rPr>
      </w:pPr>
      <w:r w:rsidRPr="000365F4">
        <w:rPr>
          <w:rFonts w:ascii="Arial" w:hAnsi="Arial" w:cs="Arial"/>
          <w:sz w:val="20"/>
          <w:szCs w:val="20"/>
          <w:lang w:val="es-MX"/>
        </w:rPr>
        <w:t xml:space="preserve">Theo báo cáo của Agribank </w:t>
      </w:r>
      <w:r w:rsidR="00B641B0" w:rsidRPr="000365F4">
        <w:rPr>
          <w:rFonts w:ascii="Arial" w:hAnsi="Arial" w:cs="Arial"/>
          <w:sz w:val="20"/>
          <w:szCs w:val="20"/>
          <w:lang w:val="es-MX"/>
        </w:rPr>
        <w:t xml:space="preserve">tính </w:t>
      </w:r>
      <w:r w:rsidR="00E058E9" w:rsidRPr="000365F4">
        <w:rPr>
          <w:rFonts w:ascii="Arial" w:hAnsi="Arial" w:cs="Arial"/>
          <w:sz w:val="20"/>
          <w:szCs w:val="20"/>
          <w:lang w:val="es-MX"/>
        </w:rPr>
        <w:t>đ</w:t>
      </w:r>
      <w:r w:rsidRPr="000365F4">
        <w:rPr>
          <w:rFonts w:ascii="Arial" w:hAnsi="Arial" w:cs="Arial"/>
          <w:sz w:val="20"/>
          <w:szCs w:val="20"/>
          <w:lang w:val="es-MX"/>
        </w:rPr>
        <w:t>ến 30/11/2020, tổng dư nợ ảnh hưởng, thiệt hại của khách hàng tại khu vực Miền Trung và Tây Nguyên là 6.284 tỷ đồng, chiếm 2% tổng dư nợ của khu vự</w:t>
      </w:r>
      <w:r w:rsidR="00125C8B" w:rsidRPr="000365F4">
        <w:rPr>
          <w:rFonts w:ascii="Arial" w:hAnsi="Arial" w:cs="Arial"/>
          <w:sz w:val="20"/>
          <w:szCs w:val="20"/>
          <w:lang w:val="es-MX"/>
        </w:rPr>
        <w:t xml:space="preserve">c. </w:t>
      </w:r>
      <w:r w:rsidRPr="000365F4">
        <w:rPr>
          <w:rFonts w:ascii="Arial" w:hAnsi="Arial" w:cs="Arial"/>
          <w:sz w:val="20"/>
          <w:szCs w:val="20"/>
          <w:lang w:val="es-MX"/>
        </w:rPr>
        <w:t>Những ngành bị ảnh hưởng, thiệt hại nhiều nhất là: sản xuất và phân phối điện (2.852 tỷ đồng, chiếm 45% tổng dư nợ bị ảnh hưởng), nông, lâm, thủy sản (2.414 tỷ đồng, chiếm 38% tổng dư nợ bị ảnh hưở</w:t>
      </w:r>
      <w:r w:rsidR="009E5230" w:rsidRPr="000365F4">
        <w:rPr>
          <w:rFonts w:ascii="Arial" w:hAnsi="Arial" w:cs="Arial"/>
          <w:sz w:val="20"/>
          <w:szCs w:val="20"/>
          <w:lang w:val="es-MX"/>
        </w:rPr>
        <w:t>ng).</w:t>
      </w:r>
    </w:p>
    <w:p w:rsidR="00545E32" w:rsidRDefault="00180D22" w:rsidP="00974C9C">
      <w:pPr>
        <w:spacing w:before="120" w:after="120" w:line="240" w:lineRule="auto"/>
        <w:jc w:val="both"/>
        <w:rPr>
          <w:rFonts w:ascii="Arial" w:hAnsi="Arial" w:cs="Arial"/>
          <w:sz w:val="20"/>
          <w:szCs w:val="20"/>
          <w:lang w:val="es-MX"/>
        </w:rPr>
      </w:pPr>
      <w:r w:rsidRPr="000365F4">
        <w:rPr>
          <w:rFonts w:ascii="Arial" w:hAnsi="Arial" w:cs="Arial"/>
          <w:sz w:val="20"/>
          <w:szCs w:val="20"/>
          <w:lang w:val="es-MX"/>
        </w:rPr>
        <w:t>Các chi nhánh bị ảnh hưởng nhiều nhất: Quảng Bình (2.072 tỷ đồng), Kon Tum (1.715 tỷ đồng), Đông Gia Lai (739 tỷ đồng). Tại chi nhánh Quảng Bình, hầu hết toàn bộ các khách hàng tại huyện Lệ Thủy đều bị ảnh hưởng, thiệt hạ</w:t>
      </w:r>
      <w:r w:rsidR="00265719">
        <w:rPr>
          <w:rFonts w:ascii="Arial" w:hAnsi="Arial" w:cs="Arial"/>
          <w:sz w:val="20"/>
          <w:szCs w:val="20"/>
          <w:lang w:val="es-MX"/>
        </w:rPr>
        <w:t>i…</w:t>
      </w:r>
    </w:p>
    <w:p w:rsidR="001D437E" w:rsidRPr="000365F4" w:rsidRDefault="0040404A" w:rsidP="00974C9C">
      <w:pPr>
        <w:spacing w:before="120" w:after="120" w:line="240" w:lineRule="auto"/>
        <w:jc w:val="both"/>
        <w:rPr>
          <w:rFonts w:ascii="Arial" w:hAnsi="Arial" w:cs="Arial"/>
          <w:sz w:val="20"/>
          <w:szCs w:val="20"/>
          <w:lang w:val="es-MX"/>
        </w:rPr>
      </w:pPr>
      <w:r w:rsidRPr="000365F4">
        <w:rPr>
          <w:rFonts w:ascii="Arial" w:hAnsi="Arial" w:cs="Arial"/>
          <w:sz w:val="20"/>
          <w:szCs w:val="20"/>
        </w:rPr>
        <w:t xml:space="preserve">Còn tại NHTMCP Á Châu </w:t>
      </w:r>
      <w:r w:rsidR="00C97BD8" w:rsidRPr="000365F4">
        <w:rPr>
          <w:rFonts w:ascii="Arial" w:hAnsi="Arial" w:cs="Arial"/>
          <w:sz w:val="20"/>
          <w:szCs w:val="20"/>
        </w:rPr>
        <w:t>(ACB), t</w:t>
      </w:r>
      <w:r w:rsidR="00734AF3" w:rsidRPr="000365F4">
        <w:rPr>
          <w:rFonts w:ascii="Arial" w:hAnsi="Arial" w:cs="Arial"/>
          <w:sz w:val="20"/>
          <w:szCs w:val="20"/>
        </w:rPr>
        <w:t>rước mức độ ảnh hưởng của đợt bão, lũ tại khu vực Miền Trung và Tây Nguyên tháng 10/2020 vừ</w:t>
      </w:r>
      <w:r w:rsidR="009F6C52" w:rsidRPr="000365F4">
        <w:rPr>
          <w:rFonts w:ascii="Arial" w:hAnsi="Arial" w:cs="Arial"/>
          <w:sz w:val="20"/>
          <w:szCs w:val="20"/>
        </w:rPr>
        <w:t xml:space="preserve">a qua, </w:t>
      </w:r>
      <w:r w:rsidR="00734AF3" w:rsidRPr="000365F4">
        <w:rPr>
          <w:rFonts w:ascii="Arial" w:hAnsi="Arial" w:cs="Arial"/>
          <w:sz w:val="20"/>
          <w:szCs w:val="20"/>
        </w:rPr>
        <w:t xml:space="preserve">ACB yêu cầu tất cả Trưởng đơn vị tại Chi nhánh, Phòng giao dịch trong toàn hệ thống phải </w:t>
      </w:r>
      <w:r w:rsidR="00734AF3" w:rsidRPr="000365F4">
        <w:rPr>
          <w:rFonts w:ascii="Arial" w:hAnsi="Arial" w:cs="Arial"/>
          <w:bCs/>
          <w:sz w:val="20"/>
          <w:szCs w:val="20"/>
        </w:rPr>
        <w:t>chủ động nắm bắt mức độ thiệt hại</w:t>
      </w:r>
      <w:r w:rsidR="00734AF3" w:rsidRPr="000365F4">
        <w:rPr>
          <w:rFonts w:ascii="Arial" w:hAnsi="Arial" w:cs="Arial"/>
          <w:sz w:val="20"/>
          <w:szCs w:val="20"/>
        </w:rPr>
        <w:t xml:space="preserve"> của tất cả khách hàng đang cư ngụ, sản xuất kinh doanh vay vốn tại đơn vị mình bị ảnh hưởng do bão, lũ để </w:t>
      </w:r>
      <w:r w:rsidR="00734AF3" w:rsidRPr="000365F4">
        <w:rPr>
          <w:rFonts w:ascii="Arial" w:hAnsi="Arial" w:cs="Arial"/>
          <w:bCs/>
          <w:sz w:val="20"/>
          <w:szCs w:val="20"/>
        </w:rPr>
        <w:t>kịp thời áp dụng các biện pháp hỗ trợ, tháo gỡ khó khăn cho khách hàng</w:t>
      </w:r>
      <w:r w:rsidR="00734AF3" w:rsidRPr="000365F4">
        <w:rPr>
          <w:rFonts w:ascii="Arial" w:hAnsi="Arial" w:cs="Arial"/>
          <w:sz w:val="20"/>
          <w:szCs w:val="20"/>
        </w:rPr>
        <w:t>.</w:t>
      </w:r>
      <w:r w:rsidR="00920CCB" w:rsidRPr="000365F4">
        <w:rPr>
          <w:rFonts w:ascii="Arial" w:hAnsi="Arial" w:cs="Arial"/>
          <w:sz w:val="20"/>
          <w:szCs w:val="20"/>
        </w:rPr>
        <w:t xml:space="preserve"> </w:t>
      </w:r>
      <w:r w:rsidR="00734AF3" w:rsidRPr="000365F4">
        <w:rPr>
          <w:rFonts w:ascii="Arial" w:hAnsi="Arial" w:cs="Arial"/>
          <w:sz w:val="20"/>
          <w:szCs w:val="20"/>
        </w:rPr>
        <w:t xml:space="preserve">Việc triển khai được thực hiện chủ động từ cán bộ tín dụng phụ trách quản lý hồ sơ khách hàng, </w:t>
      </w:r>
      <w:r w:rsidR="00734AF3" w:rsidRPr="000365F4">
        <w:rPr>
          <w:rFonts w:ascii="Arial" w:hAnsi="Arial" w:cs="Arial"/>
          <w:bCs/>
          <w:sz w:val="20"/>
          <w:szCs w:val="20"/>
        </w:rPr>
        <w:t>đảm bảo tất cả khách hàng bị ảnh hưởng do bão, lũ dẫn đến khó khăn trả nợ phải được xem xét hỗ trợ, tháo gỡ khó khăn</w:t>
      </w:r>
      <w:r w:rsidR="00734AF3" w:rsidRPr="000365F4">
        <w:rPr>
          <w:rFonts w:ascii="Arial" w:hAnsi="Arial" w:cs="Arial"/>
          <w:sz w:val="20"/>
          <w:szCs w:val="20"/>
        </w:rPr>
        <w:t xml:space="preserve">. Các biện pháp hỗ trợ, tháo gỡ khó khăn không giới hạn hình thức nào, có thể kết hợp cùng lúc: </w:t>
      </w:r>
      <w:r w:rsidR="00D235F3" w:rsidRPr="000365F4">
        <w:rPr>
          <w:rFonts w:ascii="Arial" w:hAnsi="Arial" w:cs="Arial"/>
          <w:bCs/>
          <w:sz w:val="20"/>
          <w:szCs w:val="20"/>
        </w:rPr>
        <w:t>C</w:t>
      </w:r>
      <w:r w:rsidR="00734AF3" w:rsidRPr="000365F4">
        <w:rPr>
          <w:rFonts w:ascii="Arial" w:hAnsi="Arial" w:cs="Arial"/>
          <w:bCs/>
          <w:sz w:val="20"/>
          <w:szCs w:val="20"/>
        </w:rPr>
        <w:t>ơ cấu nợ, miễn giảm lãi vay, gi</w:t>
      </w:r>
      <w:r w:rsidR="009709A0" w:rsidRPr="000365F4">
        <w:rPr>
          <w:rFonts w:ascii="Arial" w:hAnsi="Arial" w:cs="Arial"/>
          <w:bCs/>
          <w:sz w:val="20"/>
          <w:szCs w:val="20"/>
        </w:rPr>
        <w:t>ảm</w:t>
      </w:r>
      <w:r w:rsidR="00734AF3" w:rsidRPr="000365F4">
        <w:rPr>
          <w:rFonts w:ascii="Arial" w:hAnsi="Arial" w:cs="Arial"/>
          <w:bCs/>
          <w:sz w:val="20"/>
          <w:szCs w:val="20"/>
        </w:rPr>
        <w:t xml:space="preserve"> lãi suất cho vay, xem xét cho vay mới.</w:t>
      </w:r>
    </w:p>
    <w:p w:rsidR="00374D80" w:rsidRPr="000365F4" w:rsidRDefault="00734AF3" w:rsidP="00974C9C">
      <w:pPr>
        <w:widowControl w:val="0"/>
        <w:suppressAutoHyphens/>
        <w:spacing w:before="120" w:after="120" w:line="240" w:lineRule="auto"/>
        <w:jc w:val="both"/>
        <w:rPr>
          <w:rFonts w:ascii="Arial" w:hAnsi="Arial" w:cs="Arial"/>
          <w:sz w:val="20"/>
          <w:szCs w:val="20"/>
        </w:rPr>
      </w:pPr>
      <w:r w:rsidRPr="000365F4">
        <w:rPr>
          <w:rFonts w:ascii="Arial" w:hAnsi="Arial" w:cs="Arial"/>
          <w:color w:val="000000" w:themeColor="text1"/>
          <w:sz w:val="20"/>
          <w:szCs w:val="20"/>
        </w:rPr>
        <w:t xml:space="preserve">Thông qua đợt rà soát đầu tiên, ACB đã tổng hợp và báo cáo cho </w:t>
      </w:r>
      <w:r w:rsidR="004A6C94" w:rsidRPr="000365F4">
        <w:rPr>
          <w:rFonts w:ascii="Arial" w:hAnsi="Arial" w:cs="Arial"/>
          <w:color w:val="000000" w:themeColor="text1"/>
          <w:sz w:val="20"/>
          <w:szCs w:val="20"/>
        </w:rPr>
        <w:t xml:space="preserve">NHNN </w:t>
      </w:r>
      <w:r w:rsidRPr="000365F4">
        <w:rPr>
          <w:rFonts w:ascii="Arial" w:hAnsi="Arial" w:cs="Arial"/>
          <w:color w:val="000000" w:themeColor="text1"/>
          <w:sz w:val="20"/>
          <w:szCs w:val="20"/>
        </w:rPr>
        <w:t>kết quả số lượng khách hàng bị thiệt hạ</w:t>
      </w:r>
      <w:r w:rsidR="00392119" w:rsidRPr="000365F4">
        <w:rPr>
          <w:rFonts w:ascii="Arial" w:hAnsi="Arial" w:cs="Arial"/>
          <w:color w:val="000000" w:themeColor="text1"/>
          <w:sz w:val="20"/>
          <w:szCs w:val="20"/>
        </w:rPr>
        <w:t xml:space="preserve">i tính đến </w:t>
      </w:r>
      <w:r w:rsidRPr="000365F4">
        <w:rPr>
          <w:rFonts w:ascii="Arial" w:hAnsi="Arial" w:cs="Arial"/>
          <w:color w:val="000000" w:themeColor="text1"/>
          <w:sz w:val="20"/>
          <w:szCs w:val="20"/>
        </w:rPr>
        <w:t xml:space="preserve">ngày 20/11/2020 gồm </w:t>
      </w:r>
      <w:r w:rsidRPr="000365F4">
        <w:rPr>
          <w:rFonts w:ascii="Arial" w:hAnsi="Arial" w:cs="Arial"/>
          <w:bCs/>
          <w:color w:val="000000" w:themeColor="text1"/>
          <w:sz w:val="20"/>
          <w:szCs w:val="20"/>
        </w:rPr>
        <w:t>3 khách hàng</w:t>
      </w:r>
      <w:r w:rsidRPr="000365F4">
        <w:rPr>
          <w:rFonts w:ascii="Arial" w:hAnsi="Arial" w:cs="Arial"/>
          <w:color w:val="000000" w:themeColor="text1"/>
          <w:sz w:val="20"/>
          <w:szCs w:val="20"/>
        </w:rPr>
        <w:t xml:space="preserve">, với quy mô dư nợ </w:t>
      </w:r>
      <w:r w:rsidRPr="000365F4">
        <w:rPr>
          <w:rFonts w:ascii="Arial" w:hAnsi="Arial" w:cs="Arial"/>
          <w:bCs/>
          <w:color w:val="000000" w:themeColor="text1"/>
          <w:sz w:val="20"/>
          <w:szCs w:val="20"/>
        </w:rPr>
        <w:t>7.348 triệu đồng</w:t>
      </w:r>
      <w:r w:rsidRPr="000365F4">
        <w:rPr>
          <w:rFonts w:ascii="Arial" w:hAnsi="Arial" w:cs="Arial"/>
          <w:color w:val="000000" w:themeColor="text1"/>
          <w:sz w:val="20"/>
          <w:szCs w:val="20"/>
        </w:rPr>
        <w:t xml:space="preserve">, quy mô dư nợ ước tính ảnh hưởng/thiệt hại </w:t>
      </w:r>
      <w:r w:rsidRPr="000365F4">
        <w:rPr>
          <w:rFonts w:ascii="Arial" w:hAnsi="Arial" w:cs="Arial"/>
          <w:bCs/>
          <w:color w:val="000000" w:themeColor="text1"/>
          <w:sz w:val="20"/>
          <w:szCs w:val="20"/>
        </w:rPr>
        <w:t>650 triệu đồng</w:t>
      </w:r>
      <w:r w:rsidRPr="000365F4">
        <w:rPr>
          <w:rFonts w:ascii="Arial" w:hAnsi="Arial" w:cs="Arial"/>
          <w:color w:val="000000" w:themeColor="text1"/>
          <w:sz w:val="20"/>
          <w:szCs w:val="20"/>
        </w:rPr>
        <w:t xml:space="preserve"> (chiếm </w:t>
      </w:r>
      <w:r w:rsidRPr="000365F4">
        <w:rPr>
          <w:rFonts w:ascii="Arial" w:hAnsi="Arial" w:cs="Arial"/>
          <w:bCs/>
          <w:color w:val="000000" w:themeColor="text1"/>
          <w:sz w:val="20"/>
          <w:szCs w:val="20"/>
        </w:rPr>
        <w:t>8,85%</w:t>
      </w:r>
      <w:r w:rsidRPr="000365F4">
        <w:rPr>
          <w:rFonts w:ascii="Arial" w:hAnsi="Arial" w:cs="Arial"/>
          <w:color w:val="000000" w:themeColor="text1"/>
          <w:sz w:val="20"/>
          <w:szCs w:val="20"/>
        </w:rPr>
        <w:t xml:space="preserve"> dư nợ bị ảnh hưởng). </w:t>
      </w:r>
    </w:p>
    <w:p w:rsidR="00E86B5D" w:rsidRPr="00EF0AE6" w:rsidRDefault="00E86B5D" w:rsidP="00974C9C">
      <w:pPr>
        <w:widowControl w:val="0"/>
        <w:suppressAutoHyphens/>
        <w:spacing w:before="120" w:after="120" w:line="240" w:lineRule="auto"/>
        <w:jc w:val="both"/>
        <w:rPr>
          <w:rFonts w:ascii="Arial" w:hAnsi="Arial" w:cs="Arial"/>
          <w:b/>
          <w:sz w:val="20"/>
          <w:szCs w:val="20"/>
        </w:rPr>
      </w:pPr>
      <w:r w:rsidRPr="00EF0AE6">
        <w:rPr>
          <w:rFonts w:ascii="Arial" w:hAnsi="Arial" w:cs="Arial"/>
          <w:b/>
          <w:sz w:val="20"/>
          <w:szCs w:val="20"/>
        </w:rPr>
        <w:t>Tập trung hỗ trợ vốn, nguồn lực để khôi phục sản xuất kinh doanh</w:t>
      </w:r>
    </w:p>
    <w:p w:rsidR="00084AFE" w:rsidRDefault="007547B7" w:rsidP="00974C9C">
      <w:pPr>
        <w:spacing w:before="120" w:line="240" w:lineRule="auto"/>
        <w:jc w:val="both"/>
        <w:rPr>
          <w:rFonts w:ascii="Arial" w:hAnsi="Arial" w:cs="Arial"/>
          <w:sz w:val="20"/>
          <w:szCs w:val="20"/>
        </w:rPr>
      </w:pPr>
      <w:r w:rsidRPr="000365F4">
        <w:rPr>
          <w:rFonts w:ascii="Arial" w:hAnsi="Arial" w:cs="Arial"/>
          <w:sz w:val="20"/>
          <w:szCs w:val="20"/>
        </w:rPr>
        <w:lastRenderedPageBreak/>
        <w:t>Quảng Nam là một trong những địa phương chịu nhiều thiệt hại về người và tài sản do mưa lũ gây ra. Theo ông Phạm Trọng, Phó Giám đốc phụ trách NHNN chi nhánh Quảng Nam, mặc dù chính quyền địa phương triển khai nhiều giải pháp ứng phó, song sức tàn phá của thiên tai quá lớn dẫn đến thiệt hại nặng. Tại Quảng Nam, bão, lũ đã làm 42 người chết, 19 người mất tích và 423 người bị thương, gây nhiều thiệt hại về cơ sở vật chất trường trạm, đường xá với tổng thiệt hại ước tính 10.500 tỷ đồ</w:t>
      </w:r>
      <w:r w:rsidR="00636FCF" w:rsidRPr="000365F4">
        <w:rPr>
          <w:rFonts w:ascii="Arial" w:hAnsi="Arial" w:cs="Arial"/>
          <w:sz w:val="20"/>
          <w:szCs w:val="20"/>
        </w:rPr>
        <w:t xml:space="preserve">ng. </w:t>
      </w:r>
      <w:r w:rsidRPr="000365F4">
        <w:rPr>
          <w:rFonts w:ascii="Arial" w:hAnsi="Arial" w:cs="Arial"/>
          <w:sz w:val="20"/>
          <w:szCs w:val="20"/>
        </w:rPr>
        <w:t>Đến cuối tháng 11/2020, có 9/30 tổ chức tín dụng trên địa bàn phát sinh dư nợ thiệt hại do mưa lũ gây ra, ước tính thiệt hại hơn 750 tỷ đồng. Các tổ chức tín dụng đã triển khai hỗ trợ cơ cấu thời hạn trả nợ cho 23 khách hàng với dư nợ hơn 11 tỷ đồng; miễn, giảm lãi cho 3.805 khách hàng với dư nợ 3.970 tỷ đồng. Cho vay mới đối với 3.954 khách hàng...</w:t>
      </w:r>
    </w:p>
    <w:p w:rsidR="00522831" w:rsidRPr="000365F4" w:rsidRDefault="007547B7" w:rsidP="00974C9C">
      <w:pPr>
        <w:spacing w:before="120" w:line="240" w:lineRule="auto"/>
        <w:jc w:val="both"/>
        <w:rPr>
          <w:rFonts w:ascii="Arial" w:hAnsi="Arial" w:cs="Arial"/>
          <w:sz w:val="20"/>
          <w:szCs w:val="20"/>
        </w:rPr>
      </w:pPr>
      <w:r w:rsidRPr="000365F4">
        <w:rPr>
          <w:rFonts w:ascii="Arial" w:hAnsi="Arial" w:cs="Arial"/>
          <w:sz w:val="20"/>
          <w:szCs w:val="20"/>
        </w:rPr>
        <w:t>Ông Lê Việt Sỹ, Phó Giám đốc phụ trách NHNN chi nhánh Thừa Thiên - Huế</w:t>
      </w:r>
      <w:r w:rsidR="00F01A26" w:rsidRPr="000365F4">
        <w:rPr>
          <w:rFonts w:ascii="Arial" w:hAnsi="Arial" w:cs="Arial"/>
          <w:sz w:val="20"/>
          <w:szCs w:val="20"/>
        </w:rPr>
        <w:t xml:space="preserve"> cho biết</w:t>
      </w:r>
      <w:r w:rsidR="00B242C6" w:rsidRPr="000365F4">
        <w:rPr>
          <w:rFonts w:ascii="Arial" w:hAnsi="Arial" w:cs="Arial"/>
          <w:sz w:val="20"/>
          <w:szCs w:val="20"/>
        </w:rPr>
        <w:t xml:space="preserve">, </w:t>
      </w:r>
      <w:r w:rsidRPr="000365F4">
        <w:rPr>
          <w:rFonts w:ascii="Arial" w:hAnsi="Arial" w:cs="Arial"/>
          <w:sz w:val="20"/>
          <w:szCs w:val="20"/>
        </w:rPr>
        <w:t>Thừa Thiên – Huế bị ảnh hưởng nặng nề do thiên tai, đặc biệt, những trận mưa lớn vào cuối vụ Đông Xuân gây ngập úng làm giảm năng suất nhiều loại cây trồng đến kỳ thu hoạch (giảm gần 10 ngàn tấ</w:t>
      </w:r>
      <w:r w:rsidR="00B164BF" w:rsidRPr="000365F4">
        <w:rPr>
          <w:rFonts w:ascii="Arial" w:hAnsi="Arial" w:cs="Arial"/>
          <w:sz w:val="20"/>
          <w:szCs w:val="20"/>
        </w:rPr>
        <w:t xml:space="preserve">n thóc). </w:t>
      </w:r>
      <w:r w:rsidRPr="000365F4">
        <w:rPr>
          <w:rFonts w:ascii="Arial" w:hAnsi="Arial" w:cs="Arial"/>
          <w:sz w:val="20"/>
          <w:szCs w:val="20"/>
        </w:rPr>
        <w:t>Bão, lũ đã gây thiệt hại nặng nề về người và tài sả</w:t>
      </w:r>
      <w:r w:rsidR="00B164BF" w:rsidRPr="000365F4">
        <w:rPr>
          <w:rFonts w:ascii="Arial" w:hAnsi="Arial" w:cs="Arial"/>
          <w:sz w:val="20"/>
          <w:szCs w:val="20"/>
        </w:rPr>
        <w:t xml:space="preserve">n. </w:t>
      </w:r>
      <w:r w:rsidRPr="000365F4">
        <w:rPr>
          <w:rFonts w:ascii="Arial" w:hAnsi="Arial" w:cs="Arial"/>
          <w:sz w:val="20"/>
          <w:szCs w:val="20"/>
        </w:rPr>
        <w:t>Đồng thời, ảnh hưởng trực tiếp đến hoạt động sản xuất nông, lâm, ngư nghiệp, giao thông, công trình cấp nước sinh hoạt, thông tin liên lạc, ước tính thiệt hại lên trên 2.000 tỷ đồng...</w:t>
      </w:r>
    </w:p>
    <w:p w:rsidR="00160ACE" w:rsidRPr="000365F4" w:rsidRDefault="00D46D41" w:rsidP="00974C9C">
      <w:pPr>
        <w:pStyle w:val="ListParagraph"/>
        <w:tabs>
          <w:tab w:val="left" w:pos="993"/>
        </w:tabs>
        <w:spacing w:before="120" w:after="120"/>
        <w:ind w:left="0"/>
        <w:contextualSpacing w:val="0"/>
        <w:jc w:val="both"/>
        <w:rPr>
          <w:rFonts w:ascii="Arial" w:hAnsi="Arial" w:cs="Arial"/>
          <w:bCs/>
          <w:spacing w:val="-4"/>
          <w:sz w:val="20"/>
          <w:szCs w:val="20"/>
          <w:lang w:val="nl-NL"/>
        </w:rPr>
      </w:pPr>
      <w:r w:rsidRPr="000365F4">
        <w:rPr>
          <w:rFonts w:ascii="Arial" w:hAnsi="Arial" w:cs="Arial"/>
          <w:color w:val="000000"/>
          <w:sz w:val="20"/>
          <w:szCs w:val="20"/>
          <w:lang w:val="de-DE"/>
        </w:rPr>
        <w:t>Chỉ tính riêng Agribank đã thực hiện hỗ trợ khách hàng qua</w:t>
      </w:r>
      <w:r w:rsidR="00BD081F" w:rsidRPr="000365F4">
        <w:rPr>
          <w:rFonts w:ascii="Arial" w:hAnsi="Arial" w:cs="Arial"/>
          <w:color w:val="000000"/>
          <w:sz w:val="20"/>
          <w:szCs w:val="20"/>
          <w:lang w:val="de-DE"/>
        </w:rPr>
        <w:t xml:space="preserve"> c</w:t>
      </w:r>
      <w:r w:rsidRPr="000365F4">
        <w:rPr>
          <w:rFonts w:ascii="Arial" w:hAnsi="Arial" w:cs="Arial"/>
          <w:spacing w:val="2"/>
          <w:sz w:val="20"/>
          <w:szCs w:val="20"/>
          <w:lang w:val="es-MX"/>
        </w:rPr>
        <w:t xml:space="preserve">ơ cấu lại thời hạn trả nợ là 16,2 tỷ đồng với 36 khách hàng; miễn giảm lãi cho 102 khách hàng với dư nợ 18 tỷ đồng; hạ lãi suất cho vay cho 674 khách hàng với dư nợ 71 tỷ đồng; </w:t>
      </w:r>
      <w:r w:rsidRPr="000365F4">
        <w:rPr>
          <w:rFonts w:ascii="Arial" w:hAnsi="Arial" w:cs="Arial"/>
          <w:sz w:val="20"/>
          <w:szCs w:val="20"/>
          <w:lang w:val="nl-NL"/>
        </w:rPr>
        <w:t>thực hiện cho vay mới đối với 743 khách hàng với dư nợ 200 tỷ đồng</w:t>
      </w:r>
      <w:r w:rsidRPr="000365F4">
        <w:rPr>
          <w:rFonts w:ascii="Arial" w:hAnsi="Arial" w:cs="Arial"/>
          <w:spacing w:val="2"/>
          <w:sz w:val="20"/>
          <w:szCs w:val="20"/>
          <w:lang w:val="es-MX"/>
        </w:rPr>
        <w:t xml:space="preserve">; </w:t>
      </w:r>
      <w:r w:rsidRPr="000365F4">
        <w:rPr>
          <w:rFonts w:ascii="Arial" w:hAnsi="Arial" w:cs="Arial"/>
          <w:sz w:val="20"/>
          <w:szCs w:val="20"/>
          <w:lang w:val="es-MX"/>
        </w:rPr>
        <w:t xml:space="preserve">…Ngoài ra, toàn hệ thống Agribank đã </w:t>
      </w:r>
      <w:r w:rsidRPr="000365F4">
        <w:rPr>
          <w:rFonts w:ascii="Arial" w:hAnsi="Arial" w:cs="Arial"/>
          <w:bCs/>
          <w:sz w:val="20"/>
          <w:szCs w:val="20"/>
          <w:lang w:val="nl-NL"/>
        </w:rPr>
        <w:t xml:space="preserve">ủng hộ gần 30 tỷ đồng cùng nhiều thực </w:t>
      </w:r>
      <w:r w:rsidRPr="000365F4">
        <w:rPr>
          <w:rFonts w:ascii="Arial" w:hAnsi="Arial" w:cs="Arial"/>
          <w:bCs/>
          <w:spacing w:val="-4"/>
          <w:sz w:val="20"/>
          <w:szCs w:val="20"/>
          <w:lang w:val="nl-NL"/>
        </w:rPr>
        <w:t>phẩm, dụng cụ học tập,... góp phần chung tay với người dân vượt qua khó khăn sau lũ.</w:t>
      </w:r>
    </w:p>
    <w:p w:rsidR="000F7618" w:rsidRPr="000365F4" w:rsidRDefault="00787A3D" w:rsidP="00974C9C">
      <w:pPr>
        <w:pStyle w:val="ListParagraph"/>
        <w:tabs>
          <w:tab w:val="left" w:pos="993"/>
        </w:tabs>
        <w:spacing w:before="120" w:after="120"/>
        <w:ind w:left="0"/>
        <w:contextualSpacing w:val="0"/>
        <w:jc w:val="both"/>
        <w:rPr>
          <w:rFonts w:ascii="Arial" w:hAnsi="Arial" w:cs="Arial"/>
          <w:sz w:val="20"/>
          <w:szCs w:val="20"/>
        </w:rPr>
      </w:pPr>
      <w:r w:rsidRPr="000365F4">
        <w:rPr>
          <w:rFonts w:ascii="Arial" w:hAnsi="Arial" w:cs="Arial"/>
          <w:color w:val="000000" w:themeColor="text1"/>
          <w:sz w:val="20"/>
          <w:szCs w:val="20"/>
        </w:rPr>
        <w:t xml:space="preserve">Còn tại ACB đã tiến hành việc </w:t>
      </w:r>
      <w:r w:rsidRPr="000365F4">
        <w:rPr>
          <w:rFonts w:ascii="Arial" w:hAnsi="Arial" w:cs="Arial"/>
          <w:bCs/>
          <w:color w:val="000000" w:themeColor="text1"/>
          <w:sz w:val="20"/>
          <w:szCs w:val="20"/>
        </w:rPr>
        <w:t>giảm lãi suất cho vay khách hàng từ 0,5%-1,1%/năm</w:t>
      </w:r>
      <w:r w:rsidRPr="000365F4">
        <w:rPr>
          <w:rFonts w:ascii="Arial" w:hAnsi="Arial" w:cs="Arial"/>
          <w:color w:val="000000" w:themeColor="text1"/>
          <w:sz w:val="20"/>
          <w:szCs w:val="20"/>
        </w:rPr>
        <w:t xml:space="preserve">. Tính đến nay, ACB phát sinh thêm </w:t>
      </w:r>
      <w:r w:rsidRPr="000365F4">
        <w:rPr>
          <w:rFonts w:ascii="Arial" w:hAnsi="Arial" w:cs="Arial"/>
          <w:bCs/>
          <w:color w:val="000000" w:themeColor="text1"/>
          <w:sz w:val="20"/>
          <w:szCs w:val="20"/>
        </w:rPr>
        <w:t>51 khách hàng</w:t>
      </w:r>
      <w:r w:rsidRPr="000365F4">
        <w:rPr>
          <w:rFonts w:ascii="Arial" w:hAnsi="Arial" w:cs="Arial"/>
          <w:color w:val="000000" w:themeColor="text1"/>
          <w:sz w:val="20"/>
          <w:szCs w:val="20"/>
        </w:rPr>
        <w:t xml:space="preserve">, với quy mô dư nợ </w:t>
      </w:r>
      <w:r w:rsidRPr="000365F4">
        <w:rPr>
          <w:rFonts w:ascii="Arial" w:hAnsi="Arial" w:cs="Arial"/>
          <w:bCs/>
          <w:color w:val="000000" w:themeColor="text1"/>
          <w:sz w:val="20"/>
          <w:szCs w:val="20"/>
        </w:rPr>
        <w:t>90.067 triệu đồng</w:t>
      </w:r>
      <w:r w:rsidRPr="000365F4">
        <w:rPr>
          <w:rFonts w:ascii="Arial" w:hAnsi="Arial" w:cs="Arial"/>
          <w:color w:val="000000" w:themeColor="text1"/>
          <w:sz w:val="20"/>
          <w:szCs w:val="20"/>
        </w:rPr>
        <w:t xml:space="preserve">. Doanh thu/thu nhập các khách hàng này giảm khoảng 20% đến 40% sau khi bị ảnh hưởng bởi bão, lũ.Theo đó, ACB dự kiến sẽ thực hiện việc giảm lãi suất cho vay khách hàng từ </w:t>
      </w:r>
      <w:r w:rsidRPr="000365F4">
        <w:rPr>
          <w:rFonts w:ascii="Arial" w:hAnsi="Arial" w:cs="Arial"/>
          <w:bCs/>
          <w:color w:val="000000" w:themeColor="text1"/>
          <w:sz w:val="20"/>
          <w:szCs w:val="20"/>
        </w:rPr>
        <w:t>0,5%-1%/năm</w:t>
      </w:r>
      <w:r w:rsidRPr="000365F4">
        <w:rPr>
          <w:rFonts w:ascii="Arial" w:hAnsi="Arial" w:cs="Arial"/>
          <w:color w:val="000000" w:themeColor="text1"/>
          <w:sz w:val="20"/>
          <w:szCs w:val="20"/>
        </w:rPr>
        <w:t>. Thời gian tới, ACB vẫn sẽ tiếp tục cùng đồng hành, phối hợp chặt chẽ với khách hàng. ACB cam kết và đảm bảo tất cả khách hàng đang vay vốn tại ACB bị</w:t>
      </w:r>
      <w:r w:rsidRPr="000365F4">
        <w:rPr>
          <w:rFonts w:ascii="Arial" w:hAnsi="Arial" w:cs="Arial"/>
          <w:sz w:val="20"/>
          <w:szCs w:val="20"/>
        </w:rPr>
        <w:t xml:space="preserve"> ảnh hưởng do bão, lũ thời gian qua sẽ được ACB hỗ trợ tối đa các biện pháp tháo gỡ để khách hàng vượt quá khó khăn và phục hồi kinh tế và ổn định đời sống.</w:t>
      </w:r>
    </w:p>
    <w:p w:rsidR="00C25DCF" w:rsidRPr="000365F4" w:rsidRDefault="00AE0CB6" w:rsidP="00974C9C">
      <w:pPr>
        <w:pStyle w:val="ListParagraph"/>
        <w:tabs>
          <w:tab w:val="left" w:pos="993"/>
        </w:tabs>
        <w:spacing w:before="120" w:after="120"/>
        <w:ind w:left="0"/>
        <w:contextualSpacing w:val="0"/>
        <w:jc w:val="both"/>
        <w:rPr>
          <w:rFonts w:ascii="Arial" w:hAnsi="Arial" w:cs="Arial"/>
          <w:sz w:val="20"/>
          <w:szCs w:val="20"/>
        </w:rPr>
      </w:pPr>
      <w:r w:rsidRPr="000365F4">
        <w:rPr>
          <w:rFonts w:ascii="Arial" w:hAnsi="Arial" w:cs="Arial"/>
          <w:sz w:val="20"/>
          <w:szCs w:val="20"/>
        </w:rPr>
        <w:t>Phát biểu tại Hội nghị Giải pháp tín dụng hỗ trợ khách hàng bị ảnh hưởng bởi bão, lũ tại các tỉnh miền Trung và Tây Nguyên do NHNN Việt Nam phối hợp với UBND tỉnh Quảng Nam vừa tổ chức,</w:t>
      </w:r>
      <w:r w:rsidR="00E86B5D" w:rsidRPr="000365F4">
        <w:rPr>
          <w:rFonts w:ascii="Arial" w:hAnsi="Arial" w:cs="Arial"/>
          <w:sz w:val="20"/>
          <w:szCs w:val="20"/>
        </w:rPr>
        <w:t xml:space="preserve"> Phó Thống đốc Thường trực NHNN Đào Minh Tú khẳng định, Chính sách của NHNN trong thời gian tới sẽ tập trung quyết liệt trong vấn đề hỗ trợ vốn, hỗ trợ điều kiện về nguồn lực để tập trung, nhanh chóng khôi phục lại sản xuất bằng việc khoanh, hoãn, giãn những khoản nợ cũ mà bà con chưa có điều kiện trả nợ được, cho vay mới với mức lãi suất ưu đãi, lãi suất thấp để tạo điều kiện cho bà con có thể khôi phục lại khu vực sản xuất, nuôi trồng đánh bắt thủy hải sản đã bị thiệt hại do bão lũ. Bên cạnh đó, tập trung nguồn vốn đẩy mạnh cho vay tiêu dùng để bà con có nguồn và tiền để xây dựng lại nhà cửa, đổ vỡ, hỏng do bão lũ vừa qua. Cho vay tiêu dùng để mua sắm những trang thiết bị, đồ dùng sinh hoạt trong gia đình...</w:t>
      </w:r>
    </w:p>
    <w:p w:rsidR="000F7618" w:rsidRPr="000365F4" w:rsidRDefault="00E86B5D" w:rsidP="00974C9C">
      <w:pPr>
        <w:spacing w:before="120" w:line="240" w:lineRule="auto"/>
        <w:jc w:val="both"/>
        <w:rPr>
          <w:rFonts w:ascii="Arial" w:hAnsi="Arial" w:cs="Arial"/>
          <w:sz w:val="20"/>
          <w:szCs w:val="20"/>
        </w:rPr>
      </w:pPr>
      <w:r w:rsidRPr="000365F4">
        <w:rPr>
          <w:rFonts w:ascii="Arial" w:hAnsi="Arial" w:cs="Arial"/>
          <w:sz w:val="20"/>
          <w:szCs w:val="20"/>
        </w:rPr>
        <w:t>Với tinh thần đó, Phó Thống đốc chỉ đạo, đối với NHNN chi nhánh các địa phương cần thực hiện kịp thời các giải pháp về tiền tệ, tín dụng, lãi suất để hỗ trợ phát triển kinh tế - xã hội địa phương. Triển khai đầy đủ các chương trình, chính sách tín dụng đặc thù hỗ trợ người dân, DN trên địa bàn trong các ngành/lĩnh vực thế mạnh của vùng như công nghiệp chế biến chế tạo, năng lượng, du lịch, kinh tế biển, cây công nghiệp... Nắm sát tình hình sản xuất kinh doanh, theo dõi diễn biến và ảnh hưởng của bão, lũ trên địa bàn để chỉ đạo và giám sát các TCTD tiếp tục triển khai tốt các biện pháp hỗ trợ khách hàng vay vốn bị thiệt hại theo chỉ đạo của NHNN. Đồng thời, phối hợp với các sở, ban, ngành hoàn thiện hồ sơ đề nghị khoanh nợ (nếu có), báo cáo UBND cấp tỉnh để thực hiện thủ tục xem xét, quyết định việc đề nghị khoanh nợ theo quy định tại Nghị định số 55/2015/NĐ-CP và Nghị định số 116/2018/NĐ-CP.</w:t>
      </w:r>
    </w:p>
    <w:p w:rsidR="005D443D" w:rsidRPr="000365F4" w:rsidRDefault="00E86B5D" w:rsidP="00974C9C">
      <w:pPr>
        <w:spacing w:before="120" w:line="240" w:lineRule="auto"/>
        <w:jc w:val="both"/>
        <w:rPr>
          <w:rFonts w:ascii="Arial" w:hAnsi="Arial" w:cs="Arial"/>
          <w:sz w:val="20"/>
          <w:szCs w:val="20"/>
        </w:rPr>
      </w:pPr>
      <w:r w:rsidRPr="000365F4">
        <w:rPr>
          <w:rFonts w:ascii="Arial" w:hAnsi="Arial" w:cs="Arial"/>
          <w:sz w:val="20"/>
          <w:szCs w:val="20"/>
        </w:rPr>
        <w:t>Đối với các TCTD cần chủ động cân đối nguồn vốn, tập trung cho các lĩnh vực ưu tiên, các ngành, lĩnh vực thế mạnh của khu vực, cho vay các công trình, dự án kinh tế trọng điểm, các dự án và các chương trình phòng chống thiên tai, biến đổi khí hậu của vùng. Cùng với đó, tiếp tục triển khai nghiêm túc chỉ đạo của Thống đốc NHNN tại Văn bản số 7751/NHNN-TD tháo gỡ khó khăn cho khách hàng bị thiệt hại do bão, lũ; tuân thủ quy định và nghiêm túc chấp hành chỉ đạo của NHNN về giảm lãi suất, phí, lệ phí nhằm chia sẻ với người dân, DN đang bị ảnh hưởng, thiệt hại bởi dịch Covid-19, bão, lũ khu vực miền Trung và Tây Nguyên…</w:t>
      </w:r>
    </w:p>
    <w:p w:rsidR="00E86B5D" w:rsidRPr="000365F4" w:rsidRDefault="00E86B5D" w:rsidP="00974C9C">
      <w:pPr>
        <w:spacing w:before="120" w:line="240" w:lineRule="auto"/>
        <w:jc w:val="both"/>
        <w:rPr>
          <w:rFonts w:ascii="Arial" w:hAnsi="Arial" w:cs="Arial"/>
          <w:sz w:val="20"/>
          <w:szCs w:val="20"/>
        </w:rPr>
      </w:pPr>
      <w:r w:rsidRPr="000365F4">
        <w:rPr>
          <w:rFonts w:ascii="Arial" w:hAnsi="Arial" w:cs="Arial"/>
          <w:sz w:val="20"/>
          <w:szCs w:val="20"/>
        </w:rPr>
        <w:lastRenderedPageBreak/>
        <w:t>Tuy nhiên để hoạt động tín dụng ngân hàng ngày càng hỗ trợ tốt hơn việc phát triển kinh tế - xã hội của vùng và để thực hiện hiệu quả, thiết thực công tác hỗ trợ khách hàng bị ảnh hưởng bởi bão lũ, ngành Ngân hàng cũng mong muốn nhận được sự quan tâm, phối hợp của các bộ, ngành và lãnh đạo các tỉnh, thành phố vùng miền Trung và Tây Nguyên trong việc: xác định, xác nhận thiệt hại của đợt bão lũ trên địa bàn để kịp thời thực hiện các biện pháp hỗ trợ, tháo gỡ khó khăn cho khách hàng theo quy định; hỗ trợ TCTD trên địa bàn trong công tác huy động vốn và phối hợp triển khai các chương trình, chính sách tín dụng phục vụ phát triển lĩnh vực thế mạnh của vùng; chương trình kết nối ngân hàng - DN; đẩy mạnh việc ủy thác nguồn vốn từ ngân sách địa phương qua Ngân hàng Chính sách xã hội để bổ sung nguồn vốn cho vay hộ nghèo, các đối tượng chính sách xã hội trên địa bàn; tạo điều kiện cho người dân tiếp cận dễ dàng với nguồn vốn tín dụng ngân hàng phục vụ sản xuất, kinh doanh; đề nghị Bộ Tài chính hướng dẫn, cân đối nguồn hỗ trợ ngân sách cho các địa phương miền Trung và Tây Nguyên để thực hiện khoanh nợ theo Nghị định 55/2015/NĐ-CP và Nghị định 116/2018/NĐ-CP và Bộ Xây dựng nghiên cứu, sửa đổi chính sách cho vay xây nhà phòng tránh bão, lũ...</w:t>
      </w:r>
    </w:p>
    <w:p w:rsidR="00690DCA" w:rsidRPr="000365F4" w:rsidRDefault="005F3667" w:rsidP="00974C9C">
      <w:pPr>
        <w:spacing w:before="120" w:line="240" w:lineRule="auto"/>
        <w:jc w:val="both"/>
        <w:rPr>
          <w:rFonts w:ascii="Arial" w:hAnsi="Arial" w:cs="Arial"/>
          <w:sz w:val="20"/>
          <w:szCs w:val="20"/>
        </w:rPr>
      </w:pPr>
      <w:r w:rsidRPr="000365F4">
        <w:rPr>
          <w:rFonts w:ascii="Arial" w:hAnsi="Arial" w:cs="Arial"/>
          <w:sz w:val="20"/>
          <w:szCs w:val="20"/>
        </w:rPr>
        <w:t>NN</w:t>
      </w:r>
    </w:p>
    <w:sectPr w:rsidR="00690DCA" w:rsidRPr="000365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597617"/>
    <w:multiLevelType w:val="hybridMultilevel"/>
    <w:tmpl w:val="70200EC2"/>
    <w:lvl w:ilvl="0" w:tplc="8382823C">
      <w:start w:val="1"/>
      <w:numFmt w:val="decimal"/>
      <w:lvlText w:val="%1."/>
      <w:lvlJc w:val="left"/>
      <w:pPr>
        <w:ind w:left="1170" w:hanging="360"/>
      </w:pPr>
      <w:rPr>
        <w:rFonts w:hint="default"/>
        <w:b/>
        <w:color w:val="auto"/>
        <w:sz w:val="28"/>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733C1B94"/>
    <w:multiLevelType w:val="hybridMultilevel"/>
    <w:tmpl w:val="51F48364"/>
    <w:lvl w:ilvl="0" w:tplc="3B7A4B7A">
      <w:start w:val="1"/>
      <w:numFmt w:val="bullet"/>
      <w:lvlText w:val="-"/>
      <w:lvlJc w:val="left"/>
      <w:pPr>
        <w:ind w:left="720" w:hanging="360"/>
      </w:pPr>
      <w:rPr>
        <w:rFonts w:ascii="Sylfaen" w:hAnsi="Sylfaen" w:hint="default"/>
      </w:rPr>
    </w:lvl>
    <w:lvl w:ilvl="1" w:tplc="4A540D4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B5D"/>
    <w:rsid w:val="0003447D"/>
    <w:rsid w:val="000365F4"/>
    <w:rsid w:val="00064336"/>
    <w:rsid w:val="000776FF"/>
    <w:rsid w:val="00084AFE"/>
    <w:rsid w:val="000C1C65"/>
    <w:rsid w:val="000F7618"/>
    <w:rsid w:val="00125C8B"/>
    <w:rsid w:val="0015219F"/>
    <w:rsid w:val="00160ACE"/>
    <w:rsid w:val="00180D22"/>
    <w:rsid w:val="001A18D0"/>
    <w:rsid w:val="001A2685"/>
    <w:rsid w:val="001D055C"/>
    <w:rsid w:val="001D437E"/>
    <w:rsid w:val="001E3EA9"/>
    <w:rsid w:val="001F13C1"/>
    <w:rsid w:val="00212217"/>
    <w:rsid w:val="00212341"/>
    <w:rsid w:val="00237465"/>
    <w:rsid w:val="002505D2"/>
    <w:rsid w:val="00260AB1"/>
    <w:rsid w:val="0026512B"/>
    <w:rsid w:val="00265719"/>
    <w:rsid w:val="00290B9E"/>
    <w:rsid w:val="00290F0A"/>
    <w:rsid w:val="002D2D43"/>
    <w:rsid w:val="002F1905"/>
    <w:rsid w:val="003119A9"/>
    <w:rsid w:val="00327F4A"/>
    <w:rsid w:val="00374D80"/>
    <w:rsid w:val="00392119"/>
    <w:rsid w:val="003A0531"/>
    <w:rsid w:val="003D6F99"/>
    <w:rsid w:val="0040404A"/>
    <w:rsid w:val="004649C5"/>
    <w:rsid w:val="00473964"/>
    <w:rsid w:val="0049414C"/>
    <w:rsid w:val="004A6C94"/>
    <w:rsid w:val="004B1D08"/>
    <w:rsid w:val="004B6751"/>
    <w:rsid w:val="004D7698"/>
    <w:rsid w:val="004E1565"/>
    <w:rsid w:val="004E2715"/>
    <w:rsid w:val="00520E4D"/>
    <w:rsid w:val="00522831"/>
    <w:rsid w:val="00545E32"/>
    <w:rsid w:val="00556CD7"/>
    <w:rsid w:val="005858E5"/>
    <w:rsid w:val="005D443D"/>
    <w:rsid w:val="005F3667"/>
    <w:rsid w:val="00636FCF"/>
    <w:rsid w:val="00644434"/>
    <w:rsid w:val="00690DCA"/>
    <w:rsid w:val="006A0996"/>
    <w:rsid w:val="00707F5C"/>
    <w:rsid w:val="00714F0E"/>
    <w:rsid w:val="00734AF3"/>
    <w:rsid w:val="0075388F"/>
    <w:rsid w:val="007547B7"/>
    <w:rsid w:val="00770FC8"/>
    <w:rsid w:val="00787A3D"/>
    <w:rsid w:val="007B11BB"/>
    <w:rsid w:val="007B45E1"/>
    <w:rsid w:val="007C64A1"/>
    <w:rsid w:val="0081073C"/>
    <w:rsid w:val="008536D4"/>
    <w:rsid w:val="008738AD"/>
    <w:rsid w:val="008B3C18"/>
    <w:rsid w:val="008B7DFF"/>
    <w:rsid w:val="008C5855"/>
    <w:rsid w:val="008E5430"/>
    <w:rsid w:val="00902C88"/>
    <w:rsid w:val="00920CCB"/>
    <w:rsid w:val="009348F1"/>
    <w:rsid w:val="009709A0"/>
    <w:rsid w:val="00972BDA"/>
    <w:rsid w:val="00974C9C"/>
    <w:rsid w:val="009D094B"/>
    <w:rsid w:val="009E34A7"/>
    <w:rsid w:val="009E5230"/>
    <w:rsid w:val="009F6C52"/>
    <w:rsid w:val="00A548FF"/>
    <w:rsid w:val="00A6694F"/>
    <w:rsid w:val="00A76E32"/>
    <w:rsid w:val="00AC6886"/>
    <w:rsid w:val="00AD3552"/>
    <w:rsid w:val="00AD553E"/>
    <w:rsid w:val="00AE0CB6"/>
    <w:rsid w:val="00B164BF"/>
    <w:rsid w:val="00B23AEC"/>
    <w:rsid w:val="00B242C6"/>
    <w:rsid w:val="00B32E66"/>
    <w:rsid w:val="00B641B0"/>
    <w:rsid w:val="00B64DC6"/>
    <w:rsid w:val="00B93EF7"/>
    <w:rsid w:val="00BC3E35"/>
    <w:rsid w:val="00BD081F"/>
    <w:rsid w:val="00BE23CD"/>
    <w:rsid w:val="00C01D0C"/>
    <w:rsid w:val="00C25B56"/>
    <w:rsid w:val="00C25DCF"/>
    <w:rsid w:val="00C77332"/>
    <w:rsid w:val="00C97BD8"/>
    <w:rsid w:val="00CF494A"/>
    <w:rsid w:val="00D235F3"/>
    <w:rsid w:val="00D3186A"/>
    <w:rsid w:val="00D31EE0"/>
    <w:rsid w:val="00D46D41"/>
    <w:rsid w:val="00D539D2"/>
    <w:rsid w:val="00D6634D"/>
    <w:rsid w:val="00DA2421"/>
    <w:rsid w:val="00DF7A97"/>
    <w:rsid w:val="00E058E9"/>
    <w:rsid w:val="00E10EA2"/>
    <w:rsid w:val="00E17669"/>
    <w:rsid w:val="00E17B31"/>
    <w:rsid w:val="00E507C9"/>
    <w:rsid w:val="00E60073"/>
    <w:rsid w:val="00E672C7"/>
    <w:rsid w:val="00E86B5D"/>
    <w:rsid w:val="00E92C26"/>
    <w:rsid w:val="00E97414"/>
    <w:rsid w:val="00EF0AE6"/>
    <w:rsid w:val="00F01A26"/>
    <w:rsid w:val="00F2364E"/>
    <w:rsid w:val="00F45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C6CFE9-C72F-4E79-97F8-F56E730D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ullet,List Paragraph1,Citation List,List Paragraph-rfp content,VNA - List Paragraph,Table Sequence,Bullet L1,lp1,lp11 Char,lp1 Char,List Paragraph1 Char Char,List Paragraph 1,My checklist,lp11,1.,Bullet Number,Resume Title,Ha"/>
    <w:basedOn w:val="Normal"/>
    <w:link w:val="ListParagraphChar"/>
    <w:uiPriority w:val="34"/>
    <w:qFormat/>
    <w:rsid w:val="00E507C9"/>
    <w:pPr>
      <w:spacing w:after="0" w:line="240" w:lineRule="auto"/>
      <w:ind w:left="720"/>
      <w:contextualSpacing/>
    </w:pPr>
    <w:rPr>
      <w:rFonts w:ascii="Times New Roman" w:eastAsia="Times New Roman" w:hAnsi="Times New Roman" w:cs="Times New Roman"/>
      <w:sz w:val="24"/>
      <w:szCs w:val="24"/>
      <w:lang w:eastAsia="x-none"/>
    </w:rPr>
  </w:style>
  <w:style w:type="character" w:customStyle="1" w:styleId="ListParagraphChar">
    <w:name w:val="List Paragraph Char"/>
    <w:aliases w:val="bullet 1 Char,bullet Char,List Paragraph1 Char,Citation List Char,List Paragraph-rfp content Char,VNA - List Paragraph Char,Table Sequence Char,Bullet L1 Char,lp1 Char1,lp11 Char Char,lp1 Char Char,List Paragraph1 Char Char Char"/>
    <w:link w:val="ListParagraph"/>
    <w:uiPriority w:val="34"/>
    <w:rsid w:val="00E507C9"/>
    <w:rPr>
      <w:rFonts w:ascii="Times New Roman" w:eastAsia="Times New Roman" w:hAnsi="Times New Roman" w:cs="Times New Roman"/>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559443">
      <w:bodyDiv w:val="1"/>
      <w:marLeft w:val="0"/>
      <w:marRight w:val="0"/>
      <w:marTop w:val="0"/>
      <w:marBottom w:val="0"/>
      <w:divBdr>
        <w:top w:val="none" w:sz="0" w:space="0" w:color="auto"/>
        <w:left w:val="none" w:sz="0" w:space="0" w:color="auto"/>
        <w:bottom w:val="none" w:sz="0" w:space="0" w:color="auto"/>
        <w:right w:val="none" w:sz="0" w:space="0" w:color="auto"/>
      </w:divBdr>
      <w:divsChild>
        <w:div w:id="543637878">
          <w:marLeft w:val="0"/>
          <w:marRight w:val="0"/>
          <w:marTop w:val="0"/>
          <w:marBottom w:val="0"/>
          <w:divBdr>
            <w:top w:val="none" w:sz="0" w:space="0" w:color="auto"/>
            <w:left w:val="none" w:sz="0" w:space="0" w:color="auto"/>
            <w:bottom w:val="none" w:sz="0" w:space="0" w:color="auto"/>
            <w:right w:val="none" w:sz="0" w:space="0" w:color="auto"/>
          </w:divBdr>
        </w:div>
        <w:div w:id="297613514">
          <w:marLeft w:val="0"/>
          <w:marRight w:val="0"/>
          <w:marTop w:val="0"/>
          <w:marBottom w:val="0"/>
          <w:divBdr>
            <w:top w:val="none" w:sz="0" w:space="0" w:color="auto"/>
            <w:left w:val="none" w:sz="0" w:space="0" w:color="auto"/>
            <w:bottom w:val="none" w:sz="0" w:space="0" w:color="auto"/>
            <w:right w:val="none" w:sz="0" w:space="0" w:color="auto"/>
          </w:divBdr>
        </w:div>
      </w:divsChild>
    </w:div>
    <w:div w:id="193227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28C8A-F03F-4E5D-B5D7-74C7574C0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1946</Words>
  <Characters>11097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140</cp:revision>
  <dcterms:created xsi:type="dcterms:W3CDTF">2020-12-09T06:52:00Z</dcterms:created>
  <dcterms:modified xsi:type="dcterms:W3CDTF">2020-12-09T08:14:00Z</dcterms:modified>
</cp:coreProperties>
</file>