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themeOverride+xml" PartName="/word/theme/themeOverride1.xml"/>
  <Override ContentType="application/vnd.openxmlformats-officedocument.themeOverride+xml" PartName="/word/theme/themeOverride2.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BA7" w:rsidRPr="002B2BA7" w:rsidRDefault="002B2BA7" w:rsidP="002B2BA7">
      <w:pPr>
        <w:jc w:val="center"/>
        <w:rPr>
          <w:rFonts w:ascii="Times New Roman" w:hAnsi="Times New Roman"/>
          <w:b/>
          <w:sz w:val="28"/>
          <w:szCs w:val="28"/>
        </w:rPr>
      </w:pPr>
      <w:r w:rsidRPr="002B2BA7">
        <w:rPr>
          <w:rFonts w:ascii="Times New Roman" w:hAnsi="Times New Roman"/>
          <w:b/>
          <w:sz w:val="28"/>
          <w:szCs w:val="28"/>
        </w:rPr>
        <w:t>BỨC TRANH TỔNG QUAN TÌNH HÌNH KINH DOANH CỦA NGÀNH NGÂN HÀNG NĂM 2015 VÀ TRIỂN VỌNG KINH DOANH NĂM 2016</w:t>
      </w:r>
    </w:p>
    <w:p w:rsidR="002B2BA7" w:rsidRPr="002B2BA7" w:rsidRDefault="002B2BA7" w:rsidP="002B2BA7">
      <w:pPr>
        <w:jc w:val="both"/>
        <w:rPr>
          <w:rFonts w:ascii="Times New Roman" w:hAnsi="Times New Roman"/>
          <w:sz w:val="28"/>
          <w:szCs w:val="28"/>
        </w:rPr>
      </w:pPr>
      <w:r w:rsidRPr="002B2BA7">
        <w:rPr>
          <w:rFonts w:ascii="Times New Roman" w:hAnsi="Times New Roman"/>
          <w:sz w:val="28"/>
          <w:szCs w:val="28"/>
        </w:rPr>
        <w:t>Theo Kết quả tổng hợp cuộc điều tra mới nhất về xu hướng kinh doanh của các TCTD do Vụ Dự báo, thống kê, NHNN tiến hành, môi trường kinh doanh và kết quả hoạt động kinh doanh của ngành Ngân hàng đã có sự cải thiện rõ rệt trong năm 2015 so với năm 2014, thanh khoản dồi dào, tỷ lệ nợ xấu/dư nợ tín dụng giảm đáng kể về mức dưới 3%, mức độ rủi ro của các nhóm khách hàng tiếp tục xu hướng giảm, cầu của nền kinh tế và điều kiện kinh doanh, tài chính của khách hàng cải thiện tích cực, nhu cầu đối với sản phẩm dịch vụ ngân hàng gia tăng, đặc biệt là nhu cầu tín dụng. Huy động vốn và tín dụng của hệ thống ngân hàng tiếp tục tăng trưởng tích cực. Kết quả trên phản ánh sự thành công trong công tác quản lý, điều hành của NHNN trong việc kiểm soát lạm phát, ổn định giá trị đồng tiền, kiểm soát nợ xấu, định hướng tăng trưởng tín dụng cho từng đối tượng và ngành sản xuất một cách hợp lý, đồng thời là tiền đề cho các TCTD kỳ vọng về xu hướng phục hồi diễn ra mạnh mẽ hơn nữa trong năm 2016.</w:t>
      </w:r>
    </w:p>
    <w:p w:rsidR="00FB5AB0" w:rsidRPr="002B2BA7" w:rsidRDefault="00FB5AB0" w:rsidP="00FB5AB0">
      <w:pPr>
        <w:spacing w:before="120" w:after="120" w:line="288" w:lineRule="auto"/>
        <w:rPr>
          <w:rFonts w:ascii="Times New Roman" w:hAnsi="Times New Roman"/>
          <w:sz w:val="28"/>
          <w:szCs w:val="28"/>
        </w:rPr>
      </w:pPr>
      <w:r w:rsidRPr="002B2BA7">
        <w:rPr>
          <w:rFonts w:ascii="Times New Roman" w:hAnsi="Times New Roman"/>
          <w:b/>
          <w:bCs/>
          <w:sz w:val="28"/>
          <w:szCs w:val="28"/>
          <w:bdr w:val="none" w:sz="0" w:space="0" w:color="auto" w:frame="1"/>
        </w:rPr>
        <w:t>Môi trường kinh doanh phục hồi bền vững</w:t>
      </w:r>
    </w:p>
    <w:p w:rsidR="00FB5AB0" w:rsidRPr="002B2BA7" w:rsidRDefault="00FB5AB0" w:rsidP="00FB5AB0">
      <w:pPr>
        <w:tabs>
          <w:tab w:val="left" w:pos="0"/>
        </w:tabs>
        <w:spacing w:before="120" w:after="120" w:line="288" w:lineRule="auto"/>
        <w:jc w:val="both"/>
        <w:rPr>
          <w:rFonts w:ascii="Times New Roman" w:hAnsi="Times New Roman"/>
          <w:sz w:val="28"/>
          <w:szCs w:val="28"/>
        </w:rPr>
      </w:pPr>
      <w:r w:rsidRPr="002B2BA7">
        <w:rPr>
          <w:rFonts w:ascii="Times New Roman" w:hAnsi="Times New Roman"/>
          <w:sz w:val="28"/>
          <w:szCs w:val="28"/>
        </w:rPr>
        <w:t xml:space="preserve">Theo đánh giá của các TCTD, các yếu tố nội tại và khách quan trong môi trường kinh doanh của các TCTD đều được cải thiện rõ nét hơn trong năm 2015 so với năm 2014, trong đó “Điều kiện kinh doanh và tài chính của khách hàng” và “Cầu của nền kinh tế đối với sản phẩm dịch vụ” là 2 nhân tố khách quan được nhận định có sự cải thiện mạnh mẽ nhất. </w:t>
      </w:r>
    </w:p>
    <w:p w:rsidR="00FB5AB0" w:rsidRPr="002B2BA7" w:rsidRDefault="00FB5AB0" w:rsidP="00FB5AB0">
      <w:pPr>
        <w:tabs>
          <w:tab w:val="left" w:pos="0"/>
        </w:tabs>
        <w:spacing w:before="120" w:after="120" w:line="288" w:lineRule="auto"/>
        <w:jc w:val="both"/>
        <w:rPr>
          <w:rFonts w:ascii="Times New Roman" w:hAnsi="Times New Roman"/>
          <w:sz w:val="28"/>
          <w:szCs w:val="28"/>
        </w:rPr>
      </w:pPr>
      <w:r w:rsidRPr="002B2BA7">
        <w:rPr>
          <w:rFonts w:ascii="Times New Roman" w:hAnsi="Times New Roman"/>
          <w:sz w:val="28"/>
          <w:szCs w:val="28"/>
          <w:lang w:val="da-DK"/>
        </w:rPr>
        <w:t>Nhu cầu của khách hàng đối v</w:t>
      </w:r>
      <w:r w:rsidRPr="002B2BA7">
        <w:rPr>
          <w:rFonts w:ascii="Times New Roman" w:hAnsi="Times New Roman"/>
          <w:sz w:val="28"/>
          <w:szCs w:val="28"/>
        </w:rPr>
        <w:t xml:space="preserve">ới sản phẩm dịch vụ ngân hàng năm nay được nhận định tăng lên rõ rệt so với năm ngoái và kỳ vọng tiếp tục tăng trưởng nhanh hơn trong năm tới, trong đó nhu cầu vay vốn được kỳ vọng gia tăng mạnh nhất. </w:t>
      </w:r>
    </w:p>
    <w:p w:rsidR="00FB5AB0" w:rsidRPr="002B2BA7" w:rsidRDefault="00FB5AB0" w:rsidP="00FB5AB0">
      <w:pPr>
        <w:tabs>
          <w:tab w:val="left" w:pos="0"/>
        </w:tabs>
        <w:spacing w:before="120" w:after="120" w:line="288" w:lineRule="auto"/>
        <w:jc w:val="both"/>
        <w:rPr>
          <w:rFonts w:ascii="Times New Roman" w:hAnsi="Times New Roman"/>
          <w:sz w:val="28"/>
          <w:szCs w:val="28"/>
        </w:rPr>
      </w:pPr>
      <w:r w:rsidRPr="002B2BA7">
        <w:rPr>
          <w:rFonts w:ascii="Times New Roman" w:hAnsi="Times New Roman"/>
          <w:sz w:val="28"/>
          <w:szCs w:val="28"/>
        </w:rPr>
        <w:t xml:space="preserve">Hơn 90% TCTD nhận định mức độ rủi ro của các nhóm khách hàng tại thời điểm cuối năm 2015 đang ở mức bình thường và thấp, có xu hướng giảm rõ rệt so với năm 2014 và được kỳ vọng tiếp tục xu hướng ổn định hoặc giảm trong năm 2016 ở tất cả các nhóm khách hàng, trong đó giảm mạnh nhất là nhóm khách hàng TCKT, sau đó là nhóm khách hàng cá nhân và các TCTD khác.  </w:t>
      </w:r>
    </w:p>
    <w:p w:rsidR="00FB5AB0" w:rsidRPr="002B2BA7" w:rsidRDefault="00FB5AB0" w:rsidP="00FB5AB0">
      <w:pPr>
        <w:tabs>
          <w:tab w:val="left" w:pos="0"/>
        </w:tabs>
        <w:spacing w:before="120" w:after="120" w:line="288" w:lineRule="auto"/>
        <w:jc w:val="both"/>
        <w:rPr>
          <w:rFonts w:ascii="Times New Roman" w:hAnsi="Times New Roman"/>
          <w:sz w:val="28"/>
          <w:szCs w:val="28"/>
        </w:rPr>
      </w:pPr>
      <w:r w:rsidRPr="002B2BA7">
        <w:rPr>
          <w:rFonts w:ascii="Times New Roman" w:hAnsi="Times New Roman"/>
          <w:sz w:val="28"/>
          <w:szCs w:val="28"/>
        </w:rPr>
        <w:t>Các TCTD kỳ vọng môi trường kinh doanh trong và ngoài của các TCTD tiếp tục được cải thiện tích cực hơn nữa trong năm 2016.</w:t>
      </w:r>
    </w:p>
    <w:p w:rsidR="00FB5AB0" w:rsidRPr="002B2BA7" w:rsidRDefault="00FB5AB0" w:rsidP="00FB5AB0">
      <w:pPr>
        <w:spacing w:before="120" w:after="120" w:line="288" w:lineRule="auto"/>
        <w:jc w:val="both"/>
        <w:rPr>
          <w:rFonts w:ascii="Times New Roman" w:hAnsi="Times New Roman"/>
          <w:b/>
          <w:sz w:val="28"/>
          <w:szCs w:val="28"/>
        </w:rPr>
      </w:pPr>
      <w:r w:rsidRPr="002B2BA7">
        <w:rPr>
          <w:rFonts w:ascii="Times New Roman" w:hAnsi="Times New Roman"/>
          <w:b/>
          <w:sz w:val="28"/>
          <w:szCs w:val="28"/>
        </w:rPr>
        <w:t>Kết quả kinh doanh được cải thiện</w:t>
      </w:r>
    </w:p>
    <w:p w:rsidR="00FB5AB0" w:rsidRPr="002B2BA7" w:rsidRDefault="00FB5AB0" w:rsidP="00FB5AB0">
      <w:pPr>
        <w:tabs>
          <w:tab w:val="left" w:pos="0"/>
        </w:tabs>
        <w:spacing w:before="120" w:after="120" w:line="288" w:lineRule="auto"/>
        <w:jc w:val="both"/>
        <w:rPr>
          <w:rFonts w:ascii="Times New Roman" w:hAnsi="Times New Roman"/>
          <w:sz w:val="28"/>
          <w:szCs w:val="28"/>
        </w:rPr>
      </w:pPr>
      <w:r w:rsidRPr="002B2BA7">
        <w:rPr>
          <w:rFonts w:ascii="Times New Roman" w:hAnsi="Times New Roman"/>
          <w:sz w:val="28"/>
          <w:szCs w:val="28"/>
        </w:rPr>
        <w:t xml:space="preserve">Kết quả điều tra cho thấy, 81% TCTD đánh giá tình hình kinh doanh của đơn vị mình đã “cải thiện” so với năm 2014, trong đó 34% TCTD đánh giá là “cải thiện nhiều”. Trên cơ sở đó, các TCTD kỳ vọng tình hình kinh doanh sẽ tiếp tục phục </w:t>
      </w:r>
      <w:r w:rsidRPr="002B2BA7">
        <w:rPr>
          <w:rFonts w:ascii="Times New Roman" w:hAnsi="Times New Roman"/>
          <w:sz w:val="28"/>
          <w:szCs w:val="28"/>
        </w:rPr>
        <w:lastRenderedPageBreak/>
        <w:t>hồi bền vững trong quý I/2016 và trong cả năm 2016 với 93% TCTD kỳ vọng tình hình kinh doanh tổng thể của năm 2016 sẽ tốt hơn so với năm 2015, trong đó có 32% TCTD kỳ vọng tình hình kinh doanh sẽ được “cải thiện nhiều”.</w:t>
      </w:r>
    </w:p>
    <w:p w:rsidR="00FB5AB0" w:rsidRPr="002B2BA7" w:rsidRDefault="00FB5AB0" w:rsidP="00FB5AB0">
      <w:pPr>
        <w:spacing w:before="120" w:after="120" w:line="288" w:lineRule="auto"/>
        <w:rPr>
          <w:rFonts w:ascii="Times New Roman" w:hAnsi="Times New Roman"/>
          <w:b/>
          <w:sz w:val="28"/>
          <w:szCs w:val="28"/>
        </w:rPr>
      </w:pPr>
      <w:r w:rsidRPr="002B2BA7">
        <w:rPr>
          <w:rFonts w:ascii="Times New Roman" w:hAnsi="Times New Roman"/>
          <w:b/>
          <w:sz w:val="28"/>
          <w:szCs w:val="28"/>
        </w:rPr>
        <w:t xml:space="preserve">Nhu cầu tuyển dụng lao động trong ngành </w:t>
      </w:r>
      <w:r w:rsidR="00A50287" w:rsidRPr="002B2BA7">
        <w:rPr>
          <w:rFonts w:ascii="Times New Roman" w:hAnsi="Times New Roman"/>
          <w:b/>
          <w:sz w:val="28"/>
          <w:szCs w:val="28"/>
        </w:rPr>
        <w:t>N</w:t>
      </w:r>
      <w:r w:rsidRPr="002B2BA7">
        <w:rPr>
          <w:rFonts w:ascii="Times New Roman" w:hAnsi="Times New Roman"/>
          <w:b/>
          <w:sz w:val="28"/>
          <w:szCs w:val="28"/>
        </w:rPr>
        <w:t>gân hàng gia tăng</w:t>
      </w:r>
    </w:p>
    <w:p w:rsidR="00FB5AB0" w:rsidRPr="002B2BA7" w:rsidRDefault="00FB5AB0" w:rsidP="00FB5AB0">
      <w:pPr>
        <w:spacing w:before="120" w:after="120" w:line="288" w:lineRule="auto"/>
        <w:jc w:val="both"/>
        <w:rPr>
          <w:rFonts w:ascii="Times New Roman" w:hAnsi="Times New Roman"/>
          <w:sz w:val="28"/>
          <w:szCs w:val="28"/>
        </w:rPr>
      </w:pPr>
      <w:r w:rsidRPr="002B2BA7">
        <w:rPr>
          <w:rFonts w:ascii="Times New Roman" w:hAnsi="Times New Roman"/>
          <w:sz w:val="28"/>
          <w:szCs w:val="28"/>
        </w:rPr>
        <w:t>Trong năm 2015, mặc dù đã có 52% TCTD cho biết đã tăng lao động so với cuối năm 2014 nhưng vẫn có 29,6% TCTD cho rằng họ đang thiếu lao động cần thiết cho nhu cầu công việc hiện tại. Vì vậy, dự kiến tình hình nhân sự trong thời gian tới, 50% TCTD cho biết sẽ gia tăng số lượng lao động trong Quý I/2016 so với quý trước và 64,2% TCTD dự kiến tuyển thêm lao động trong năm 2016 để kịp nắm bắt các cơ hội và thời cơ mới. Kết quả điều tra cho thấy thị trường lao động của ngành ngân hàng sẽ là một điểm đến hấp dẫn cho người lao động trong năm 2016 bởi vì nhu cầu tuyển dụng tăng lên trong khi các ngành hoạt động tài chính, ngân hàng và bảo hiểm vẫn được đánh giá là có mức lương bình quân cao nhất (theo kết quả điều tra lực lượng lao động Việt Nam năm 2013 của Tổ chức lao động quốc tế).</w:t>
      </w:r>
    </w:p>
    <w:p w:rsidR="00FB5AB0" w:rsidRPr="002B2BA7" w:rsidRDefault="00FB5AB0" w:rsidP="00FB5AB0">
      <w:pPr>
        <w:spacing w:before="120" w:after="120" w:line="288" w:lineRule="auto"/>
        <w:rPr>
          <w:rFonts w:ascii="Times New Roman" w:hAnsi="Times New Roman"/>
          <w:b/>
          <w:sz w:val="28"/>
          <w:szCs w:val="28"/>
        </w:rPr>
      </w:pPr>
      <w:r w:rsidRPr="002B2BA7">
        <w:rPr>
          <w:rFonts w:ascii="Times New Roman" w:hAnsi="Times New Roman"/>
          <w:b/>
          <w:sz w:val="28"/>
          <w:szCs w:val="28"/>
        </w:rPr>
        <w:t>Thanh khoản và nợ xấu diễn biến tích cực</w:t>
      </w:r>
    </w:p>
    <w:p w:rsidR="00FB5AB0" w:rsidRPr="002B2BA7" w:rsidRDefault="00FB5AB0" w:rsidP="00FB5AB0">
      <w:pPr>
        <w:shd w:val="clear" w:color="auto" w:fill="FFFFFF"/>
        <w:spacing w:before="120" w:after="120" w:line="288" w:lineRule="auto"/>
        <w:jc w:val="both"/>
        <w:rPr>
          <w:rFonts w:ascii="Times New Roman" w:hAnsi="Times New Roman"/>
          <w:sz w:val="28"/>
          <w:szCs w:val="28"/>
        </w:rPr>
      </w:pPr>
      <w:r w:rsidRPr="002B2BA7">
        <w:rPr>
          <w:rFonts w:ascii="Times New Roman" w:hAnsi="Times New Roman"/>
          <w:sz w:val="28"/>
          <w:szCs w:val="28"/>
        </w:rPr>
        <w:t xml:space="preserve">Tỷ lệ nợ xấu/dư nợ tín dụng của phần đông các TCTD đều được nhận định giảm rõ rệt trong năm 2015 và kỳ vọng tiếp tục giảm trong năm 2016. Tính đến cuối năm 2015, trên 90% TCTD cho biết tỷ lệ nợ xấu/dư nợ tín dụng của họ đang ở mức dưới 3%, chỉ có một vài TCTD thuộc nhóm các công ty tài chính và cho thuê tài chính nhận định tỷ lệ nợ xấu của đơn vị mình còn ở mức trên 3%. </w:t>
      </w:r>
    </w:p>
    <w:p w:rsidR="00FB5AB0" w:rsidRPr="002B2BA7" w:rsidRDefault="00FB5AB0" w:rsidP="00FB5AB0">
      <w:pPr>
        <w:shd w:val="clear" w:color="auto" w:fill="FFFFFF"/>
        <w:spacing w:before="120" w:after="120" w:line="288" w:lineRule="auto"/>
        <w:jc w:val="both"/>
        <w:rPr>
          <w:rFonts w:ascii="Times New Roman" w:hAnsi="Times New Roman"/>
          <w:sz w:val="28"/>
          <w:szCs w:val="28"/>
        </w:rPr>
      </w:pPr>
      <w:r w:rsidRPr="002B2BA7">
        <w:rPr>
          <w:rFonts w:ascii="Times New Roman" w:hAnsi="Times New Roman"/>
          <w:sz w:val="28"/>
          <w:szCs w:val="28"/>
        </w:rPr>
        <w:t>Thanh khoản của toàn hệ thống TCTD tiếp tục ở trạng thái dồi dào đối với cả VNĐ và ngoại tệ. Trong Quý I/2016, mặc dù có kỳ nghỉ Tết Nguyên đán với nhu cầu tiền mặt của nền kinh tế tăng cao, 55% TCTD tin tưởng thanh khoản của hệ thống tiếp tục duy trì ở trạng thái tốt như hiện nay, 41% TCTD kỳ vọng thanh khoản tiếp tục tốt hơn nữa đối với cả VNĐ và ngoại tệ.</w:t>
      </w:r>
    </w:p>
    <w:tbl>
      <w:tblPr>
        <w:tblW w:w="10477" w:type="dxa"/>
        <w:tblInd w:w="-833" w:type="dxa"/>
        <w:tblLook w:val="04A0"/>
      </w:tblPr>
      <w:tblGrid>
        <w:gridCol w:w="5166"/>
        <w:gridCol w:w="5311"/>
      </w:tblGrid>
      <w:tr w:rsidR="00FB5AB0" w:rsidRPr="002B2BA7" w:rsidTr="00C721E9">
        <w:trPr>
          <w:trHeight w:val="4547"/>
        </w:trPr>
        <w:tc>
          <w:tcPr>
            <w:tcW w:w="5166" w:type="dxa"/>
            <w:shd w:val="clear" w:color="auto" w:fill="auto"/>
          </w:tcPr>
          <w:p w:rsidR="00FB5AB0" w:rsidRPr="002B2BA7" w:rsidRDefault="00FB5AB0" w:rsidP="00C519B8">
            <w:pPr>
              <w:spacing w:after="150" w:line="300" w:lineRule="atLeast"/>
              <w:jc w:val="both"/>
              <w:rPr>
                <w:rFonts w:ascii="Times New Roman" w:hAnsi="Times New Roman"/>
                <w:b/>
                <w:sz w:val="28"/>
                <w:szCs w:val="28"/>
              </w:rPr>
            </w:pPr>
            <w:r w:rsidRPr="002B2BA7">
              <w:rPr>
                <w:rFonts w:ascii="Times New Roman" w:hAnsi="Times New Roman"/>
                <w:noProof/>
                <w:sz w:val="28"/>
                <w:szCs w:val="28"/>
              </w:rPr>
              <w:lastRenderedPageBreak/>
              <w:drawing>
                <wp:inline distT="0" distB="0" distL="0" distR="0">
                  <wp:extent cx="3051429" cy="2667000"/>
                  <wp:effectExtent l="0" t="0" r="2921" b="0"/>
                  <wp:docPr id="1"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c>
          <w:tcPr>
            <w:tcW w:w="5311" w:type="dxa"/>
            <w:shd w:val="clear" w:color="auto" w:fill="auto"/>
          </w:tcPr>
          <w:p w:rsidR="00FB5AB0" w:rsidRPr="002B2BA7" w:rsidRDefault="00FB5AB0" w:rsidP="00C519B8">
            <w:pPr>
              <w:spacing w:after="150" w:line="300" w:lineRule="atLeast"/>
              <w:jc w:val="both"/>
              <w:rPr>
                <w:rFonts w:ascii="Times New Roman" w:hAnsi="Times New Roman"/>
                <w:b/>
                <w:sz w:val="28"/>
                <w:szCs w:val="28"/>
              </w:rPr>
            </w:pPr>
            <w:r w:rsidRPr="002B2BA7">
              <w:rPr>
                <w:rFonts w:ascii="Times New Roman" w:hAnsi="Times New Roman"/>
                <w:noProof/>
                <w:sz w:val="28"/>
                <w:szCs w:val="28"/>
              </w:rPr>
              <w:drawing>
                <wp:inline distT="0" distB="0" distL="0" distR="0">
                  <wp:extent cx="3140909" cy="2648886"/>
                  <wp:effectExtent l="19050" t="0" r="21391" b="0"/>
                  <wp:docPr id="2"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bl>
    <w:p w:rsidR="00FB5AB0" w:rsidRPr="002B2BA7" w:rsidRDefault="00FB5AB0" w:rsidP="00FB5AB0">
      <w:pPr>
        <w:shd w:val="clear" w:color="auto" w:fill="FFFFFF"/>
        <w:spacing w:after="150" w:line="300" w:lineRule="atLeast"/>
        <w:jc w:val="both"/>
        <w:rPr>
          <w:rFonts w:ascii="Times New Roman" w:hAnsi="Times New Roman"/>
          <w:b/>
          <w:sz w:val="28"/>
          <w:szCs w:val="28"/>
        </w:rPr>
      </w:pPr>
      <w:r w:rsidRPr="002B2BA7">
        <w:rPr>
          <w:rFonts w:ascii="Times New Roman" w:hAnsi="Times New Roman"/>
          <w:b/>
          <w:sz w:val="28"/>
          <w:szCs w:val="28"/>
        </w:rPr>
        <w:t>Huy động vốn và tín dụng được kỳ vọng tăng trưởng mạnh mẽ</w:t>
      </w:r>
    </w:p>
    <w:p w:rsidR="00FB5AB0" w:rsidRPr="002B2BA7" w:rsidRDefault="00FB5AB0" w:rsidP="00FB5AB0">
      <w:pPr>
        <w:shd w:val="clear" w:color="auto" w:fill="FFFFFF"/>
        <w:spacing w:after="150" w:line="300" w:lineRule="atLeast"/>
        <w:jc w:val="both"/>
        <w:rPr>
          <w:rFonts w:ascii="Times New Roman" w:hAnsi="Times New Roman"/>
          <w:b/>
          <w:sz w:val="28"/>
          <w:szCs w:val="28"/>
        </w:rPr>
      </w:pPr>
      <w:r w:rsidRPr="002B2BA7">
        <w:rPr>
          <w:rFonts w:ascii="Times New Roman" w:hAnsi="Times New Roman"/>
          <w:sz w:val="28"/>
          <w:szCs w:val="28"/>
        </w:rPr>
        <w:t>Sự lạc quan của các TCTD về triển vọng tăng trưởng kinh tế và sự sôi động trở lại của thị trường tài chính ngân hàng trong năm 2016 được thể hiện qua kỳ vọng về tốc độ tăng trưởng huy động vốn và tín dụng cho năm tới cao hơn hẳn so với kỳ vọng tại thời điểm cuối năm trước: Huy động vốn của toàn hệ thống ngân hàng được các TCTD kỳ vọng tăng trưởng bình quân 17,46% tính đến cuối năm 2016 (năm 2015 chỉ kỳ vọng tăng 14,35%), trong đó huy động vốn VND tăng nhanh hơn so với huy động vốn ngoại tệ.</w:t>
      </w:r>
    </w:p>
    <w:p w:rsidR="00FB5AB0" w:rsidRPr="002B2BA7" w:rsidRDefault="00FB5AB0" w:rsidP="00FB5AB0">
      <w:pPr>
        <w:shd w:val="clear" w:color="auto" w:fill="FFFFFF"/>
        <w:spacing w:after="150" w:line="300" w:lineRule="atLeast"/>
        <w:jc w:val="both"/>
        <w:rPr>
          <w:rFonts w:ascii="Times New Roman" w:hAnsi="Times New Roman"/>
          <w:sz w:val="28"/>
          <w:szCs w:val="28"/>
        </w:rPr>
      </w:pPr>
      <w:r w:rsidRPr="002B2BA7">
        <w:rPr>
          <w:rFonts w:ascii="Times New Roman" w:hAnsi="Times New Roman"/>
          <w:sz w:val="28"/>
          <w:szCs w:val="28"/>
        </w:rPr>
        <w:t>Dư nợ tín dụng của toàn hệ thống năm 2016 được kỳ vọng tăng trưởng bình quân 21,4%, cao hơn nhiều so với mức kỳ vọng 14.57% cho cả năm 2015 tại cuộc điều tra tiến hành vào cuối năm 2014. Kỳ vọng này cho thấy, các TCTD đang rất lạc quan về sự phục hồi của nền kinh tế và khả năng hấp thụ vốn vay cũng như triển vọng sản xuất kinh doanh của các doanh nghiệp trong năm 2016.</w:t>
      </w:r>
    </w:p>
    <w:p w:rsidR="00FB5AB0" w:rsidRPr="002B2BA7" w:rsidRDefault="00FB5AB0" w:rsidP="00FB5AB0">
      <w:pPr>
        <w:spacing w:after="0" w:line="300" w:lineRule="atLeast"/>
        <w:outlineLvl w:val="1"/>
        <w:rPr>
          <w:rFonts w:ascii="Times New Roman" w:hAnsi="Times New Roman"/>
          <w:sz w:val="28"/>
          <w:szCs w:val="28"/>
        </w:rPr>
      </w:pPr>
      <w:r w:rsidRPr="002B2BA7">
        <w:rPr>
          <w:rFonts w:ascii="Times New Roman" w:hAnsi="Times New Roman"/>
          <w:sz w:val="28"/>
          <w:szCs w:val="28"/>
        </w:rPr>
        <w:t>Thanh Hòa</w:t>
      </w:r>
      <w:r w:rsidR="00C721E9">
        <w:rPr>
          <w:rFonts w:ascii="Times New Roman" w:hAnsi="Times New Roman"/>
          <w:sz w:val="28"/>
          <w:szCs w:val="28"/>
        </w:rPr>
        <w:t>.</w:t>
      </w:r>
    </w:p>
    <w:p w:rsidR="00FB5AB0" w:rsidRPr="002B2BA7" w:rsidRDefault="00FB5AB0" w:rsidP="00FB5AB0">
      <w:pPr>
        <w:shd w:val="clear" w:color="auto" w:fill="FFFFFF"/>
        <w:spacing w:after="150" w:line="300" w:lineRule="atLeast"/>
        <w:ind w:firstLine="426"/>
        <w:jc w:val="both"/>
        <w:rPr>
          <w:rFonts w:ascii="Times New Roman" w:hAnsi="Times New Roman"/>
          <w:color w:val="000000"/>
          <w:sz w:val="28"/>
          <w:szCs w:val="28"/>
        </w:rPr>
      </w:pPr>
    </w:p>
    <w:p w:rsidR="00FB5AB0" w:rsidRPr="002B2BA7" w:rsidRDefault="00FB5AB0" w:rsidP="00FB5AB0">
      <w:pPr>
        <w:spacing w:after="0" w:line="300" w:lineRule="atLeast"/>
        <w:rPr>
          <w:rFonts w:ascii="Times New Roman" w:hAnsi="Times New Roman"/>
          <w:color w:val="333333"/>
          <w:sz w:val="28"/>
          <w:szCs w:val="28"/>
        </w:rPr>
      </w:pPr>
    </w:p>
    <w:p w:rsidR="00FB5AB0" w:rsidRPr="002B2BA7" w:rsidRDefault="00FB5AB0" w:rsidP="00FB5AB0">
      <w:pPr>
        <w:spacing w:after="0" w:line="300" w:lineRule="atLeast"/>
        <w:jc w:val="right"/>
        <w:rPr>
          <w:rFonts w:ascii="Times New Roman" w:hAnsi="Times New Roman"/>
          <w:color w:val="333333"/>
          <w:sz w:val="28"/>
          <w:szCs w:val="28"/>
        </w:rPr>
      </w:pPr>
    </w:p>
    <w:p w:rsidR="00811D76" w:rsidRPr="002B2BA7" w:rsidRDefault="00811D76">
      <w:pPr>
        <w:rPr>
          <w:rFonts w:ascii="Times New Roman" w:hAnsi="Times New Roman"/>
          <w:sz w:val="28"/>
          <w:szCs w:val="28"/>
        </w:rPr>
      </w:pPr>
    </w:p>
    <w:sectPr w:rsidR="00811D76" w:rsidRPr="002B2BA7" w:rsidSect="00C721E9">
      <w:footerReference w:type="default" r:id="rId8"/>
      <w:pgSz w:w="11907" w:h="16840" w:code="9"/>
      <w:pgMar w:top="1247" w:right="1021" w:bottom="1021" w:left="1701" w:header="720" w:footer="289"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03CE" w:rsidRDefault="004D03CE" w:rsidP="00982DFC">
      <w:pPr>
        <w:spacing w:after="0" w:line="240" w:lineRule="auto"/>
      </w:pPr>
      <w:r>
        <w:separator/>
      </w:r>
    </w:p>
  </w:endnote>
  <w:endnote w:type="continuationSeparator" w:id="1">
    <w:p w:rsidR="004D03CE" w:rsidRDefault="004D03CE" w:rsidP="00982D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DED" w:rsidRDefault="00982DFC">
    <w:pPr>
      <w:pStyle w:val="Footer"/>
      <w:jc w:val="right"/>
    </w:pPr>
    <w:r>
      <w:fldChar w:fldCharType="begin"/>
    </w:r>
    <w:r w:rsidR="00A50287">
      <w:instrText xml:space="preserve"> PAGE   \* MERGEFORMAT </w:instrText>
    </w:r>
    <w:r>
      <w:fldChar w:fldCharType="separate"/>
    </w:r>
    <w:r w:rsidR="00C721E9">
      <w:rPr>
        <w:noProof/>
      </w:rPr>
      <w:t>2</w:t>
    </w:r>
    <w:r>
      <w:rPr>
        <w:noProof/>
      </w:rPr>
      <w:fldChar w:fldCharType="end"/>
    </w:r>
  </w:p>
  <w:p w:rsidR="00C92DED" w:rsidRDefault="004D03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03CE" w:rsidRDefault="004D03CE" w:rsidP="00982DFC">
      <w:pPr>
        <w:spacing w:after="0" w:line="240" w:lineRule="auto"/>
      </w:pPr>
      <w:r>
        <w:separator/>
      </w:r>
    </w:p>
  </w:footnote>
  <w:footnote w:type="continuationSeparator" w:id="1">
    <w:p w:rsidR="004D03CE" w:rsidRDefault="004D03CE" w:rsidP="00982DF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B5AB0"/>
    <w:rsid w:val="002B2BA7"/>
    <w:rsid w:val="00384A04"/>
    <w:rsid w:val="004D03CE"/>
    <w:rsid w:val="006E49D1"/>
    <w:rsid w:val="00754E7D"/>
    <w:rsid w:val="00811D76"/>
    <w:rsid w:val="00982DFC"/>
    <w:rsid w:val="00A50287"/>
    <w:rsid w:val="00C721E9"/>
    <w:rsid w:val="00FB5AB0"/>
    <w:rsid w:val="00FC68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AB0"/>
    <w:pPr>
      <w:spacing w:before="0" w:beforeAutospacing="0" w:after="200" w:line="276" w:lineRule="auto"/>
      <w:ind w:firstLine="0"/>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B5AB0"/>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sid w:val="00FB5AB0"/>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FB5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AB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arget="footer1.xml" Type="http://schemas.openxmlformats.org/officeDocument/2006/relationships/footer" Id="rId8"></Relationship><Relationship Target="webSettings.xml" Type="http://schemas.openxmlformats.org/officeDocument/2006/relationships/webSettings" Id="rId3"></Relationship><Relationship Target="charts/chart2.xml" Type="http://schemas.openxmlformats.org/officeDocument/2006/relationships/chart" Id="rId7"></Relationship><Relationship Target="settings.xml" Type="http://schemas.openxmlformats.org/officeDocument/2006/relationships/settings" Id="rId2"></Relationship><Relationship Target="styles.xml" Type="http://schemas.openxmlformats.org/officeDocument/2006/relationships/styles" Id="rId1"></Relationship><Relationship Target="charts/chart1.xml" Type="http://schemas.openxmlformats.org/officeDocument/2006/relationships/chart" Id="rId6"></Relationship><Relationship Target="endnotes.xml" Type="http://schemas.openxmlformats.org/officeDocument/2006/relationships/endnotes" Id="rId5"></Relationship><Relationship Target="theme/theme1.xml" Type="http://schemas.openxmlformats.org/officeDocument/2006/relationships/theme" Id="rId10"></Relationship><Relationship Target="footnotes.xml" Type="http://schemas.openxmlformats.org/officeDocument/2006/relationships/footnotes" Id="rId4"></Relationship><Relationship Target="fontTable.xml" Type="http://schemas.openxmlformats.org/officeDocument/2006/relationships/fontTable" Id="rId9"></Relationship></Relationships>
</file>

<file path=word/charts/_rels/chart1.xml.rels><?xml version="1.0" encoding="UTF-8" standalone="yes"?>
<Relationships xmlns="http://schemas.openxmlformats.org/package/2006/relationships"><Relationship Id="rId2" Type="http://schemas.openxmlformats.org/officeDocument/2006/relationships/oleObject" Target="file:///C:\Users\Hoa%20Pham\AppData\Roaming\Microsoft\Excel\Bieu%20do%201,2%20(version%201).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Hoa%20Pham\Downloads\He%20bieu%20dieu%20ra%2012.2015%20(SPSS)%20-Hoa%20em%20(1).xls"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00"/>
                </a:solidFill>
                <a:latin typeface="Times New Roman"/>
                <a:ea typeface="Times New Roman"/>
                <a:cs typeface="Times New Roman"/>
              </a:defRPr>
            </a:pPr>
            <a:r>
              <a:rPr lang="en-US" sz="1000"/>
              <a:t>Đánh giá tình hình kinh doanh của TCTD tại các thời điểm điều tra</a:t>
            </a:r>
          </a:p>
        </c:rich>
      </c:tx>
      <c:overlay val="1"/>
    </c:title>
    <c:plotArea>
      <c:layout>
        <c:manualLayout>
          <c:layoutTarget val="inner"/>
          <c:xMode val="edge"/>
          <c:yMode val="edge"/>
          <c:x val="9.4218415417558807E-2"/>
          <c:y val="0.18547721764664471"/>
          <c:w val="0.75336689113153554"/>
          <c:h val="0.56029605494715451"/>
        </c:manualLayout>
      </c:layout>
      <c:barChart>
        <c:barDir val="col"/>
        <c:grouping val="percentStacked"/>
        <c:ser>
          <c:idx val="0"/>
          <c:order val="0"/>
          <c:tx>
            <c:strRef>
              <c:f>'1'!$B$16</c:f>
              <c:strCache>
                <c:ptCount val="1"/>
                <c:pt idx="0">
                  <c:v>Tốt</c:v>
                </c:pt>
              </c:strCache>
            </c:strRef>
          </c:tx>
          <c:spPr>
            <a:solidFill>
              <a:srgbClr val="0066FF"/>
            </a:solidFill>
          </c:spPr>
          <c:dLbls>
            <c:spPr>
              <a:noFill/>
              <a:ln w="25400">
                <a:noFill/>
              </a:ln>
            </c:spPr>
            <c:txPr>
              <a:bodyPr wrap="square" lIns="38100" tIns="19050" rIns="38100" bIns="19050" anchor="ctr">
                <a:spAutoFit/>
              </a:bodyPr>
              <a:lstStyle/>
              <a:p>
                <a:pPr>
                  <a:defRPr sz="700" b="1" i="0" u="none" strike="noStrike" baseline="0">
                    <a:solidFill>
                      <a:schemeClr val="bg1"/>
                    </a:solidFill>
                    <a:latin typeface="Times New Roman"/>
                    <a:ea typeface="Times New Roman"/>
                    <a:cs typeface="Times New Roman"/>
                  </a:defRPr>
                </a:pPr>
                <a:endParaRPr lang="en-US"/>
              </a:p>
            </c:txPr>
            <c:showVal val="1"/>
            <c:extLst>
              <c:ext xmlns:c15="http://schemas.microsoft.com/office/drawing/2012/chart" uri="{CE6537A1-D6FC-4f65-9D91-7224C49458BB}">
                <c15:layout/>
                <c15:showLeaderLines val="0"/>
              </c:ext>
            </c:extLst>
          </c:dLbls>
          <c:cat>
            <c:strRef>
              <c:f>'1'!$A$17:$A$22</c:f>
              <c:strCache>
                <c:ptCount val="5"/>
                <c:pt idx="0">
                  <c:v>Thời điểm tháng 12/2014</c:v>
                </c:pt>
                <c:pt idx="1">
                  <c:v>Thời điểm tháng 3/2015</c:v>
                </c:pt>
                <c:pt idx="2">
                  <c:v>Thời điểm tháng 6/2015</c:v>
                </c:pt>
                <c:pt idx="3">
                  <c:v>Thời điểm tháng 9/2015</c:v>
                </c:pt>
                <c:pt idx="4">
                  <c:v>Thời điểm tháng 12/2015</c:v>
                </c:pt>
              </c:strCache>
            </c:strRef>
          </c:cat>
          <c:val>
            <c:numRef>
              <c:f>'1'!$B$17:$B$22</c:f>
              <c:numCache>
                <c:formatCode>0.0</c:formatCode>
                <c:ptCount val="5"/>
                <c:pt idx="0">
                  <c:v>39.800000000000004</c:v>
                </c:pt>
                <c:pt idx="1">
                  <c:v>38.888888888888886</c:v>
                </c:pt>
                <c:pt idx="2">
                  <c:v>41.176470588235297</c:v>
                </c:pt>
                <c:pt idx="3">
                  <c:v>39.5</c:v>
                </c:pt>
                <c:pt idx="4">
                  <c:v>43.209876543209873</c:v>
                </c:pt>
              </c:numCache>
            </c:numRef>
          </c:val>
        </c:ser>
        <c:ser>
          <c:idx val="1"/>
          <c:order val="1"/>
          <c:tx>
            <c:strRef>
              <c:f>'1'!$C$16</c:f>
              <c:strCache>
                <c:ptCount val="1"/>
                <c:pt idx="0">
                  <c:v>Bình thường</c:v>
                </c:pt>
              </c:strCache>
            </c:strRef>
          </c:tx>
          <c:spPr>
            <a:pattFill prst="pct25">
              <a:fgClr>
                <a:srgbClr val="000000"/>
              </a:fgClr>
              <a:bgClr>
                <a:srgbClr val="FFFFFF"/>
              </a:bgClr>
            </a:pattFill>
          </c:spPr>
          <c:dLbls>
            <c:dLbl>
              <c:idx val="0"/>
              <c:layout>
                <c:manualLayout>
                  <c:x val="5.6022408963585504E-3"/>
                  <c:y val="-4.4077147734220577E-2"/>
                </c:manualLayout>
              </c:layout>
              <c:spPr>
                <a:noFill/>
                <a:ln w="25400">
                  <a:noFill/>
                </a:ln>
              </c:spPr>
              <c:txPr>
                <a:bodyPr/>
                <a:lstStyle/>
                <a:p>
                  <a:pPr>
                    <a:defRPr sz="700" b="1" i="0" u="none" strike="noStrike" baseline="0">
                      <a:solidFill>
                        <a:srgbClr val="000000"/>
                      </a:solidFill>
                      <a:latin typeface="Times New Roman"/>
                      <a:ea typeface="Times New Roman"/>
                      <a:cs typeface="Times New Roman"/>
                    </a:defRPr>
                  </a:pPr>
                  <a:endParaRPr lang="en-US"/>
                </a:p>
              </c:txPr>
              <c:dLblPos val="ctr"/>
              <c:showVal val="1"/>
              <c:extLst>
                <c:ext xmlns:c15="http://schemas.microsoft.com/office/drawing/2012/chart" uri="{CE6537A1-D6FC-4f65-9D91-7224C49458BB}">
                  <c15:layout/>
                </c:ext>
              </c:extLst>
            </c:dLbl>
            <c:spPr>
              <a:noFill/>
              <a:ln w="25400">
                <a:noFill/>
              </a:ln>
            </c:spPr>
            <c:txPr>
              <a:bodyPr wrap="square" lIns="38100" tIns="19050" rIns="38100" bIns="19050" anchor="ctr">
                <a:spAutoFit/>
              </a:bodyPr>
              <a:lstStyle/>
              <a:p>
                <a:pPr>
                  <a:defRPr sz="700" b="1" i="0" u="none" strike="noStrike" baseline="0">
                    <a:solidFill>
                      <a:srgbClr val="000000"/>
                    </a:solidFill>
                    <a:latin typeface="Times New Roman"/>
                    <a:ea typeface="Times New Roman"/>
                    <a:cs typeface="Times New Roman"/>
                  </a:defRPr>
                </a:pPr>
                <a:endParaRPr lang="en-US"/>
              </a:p>
            </c:txPr>
            <c:showVal val="1"/>
            <c:extLst>
              <c:ext xmlns:c15="http://schemas.microsoft.com/office/drawing/2012/chart" uri="{CE6537A1-D6FC-4f65-9D91-7224C49458BB}">
                <c15:layout/>
                <c15:showLeaderLines val="0"/>
              </c:ext>
            </c:extLst>
          </c:dLbls>
          <c:cat>
            <c:strRef>
              <c:f>'1'!$A$17:$A$22</c:f>
              <c:strCache>
                <c:ptCount val="5"/>
                <c:pt idx="0">
                  <c:v>Thời điểm tháng 12/2014</c:v>
                </c:pt>
                <c:pt idx="1">
                  <c:v>Thời điểm tháng 3/2015</c:v>
                </c:pt>
                <c:pt idx="2">
                  <c:v>Thời điểm tháng 6/2015</c:v>
                </c:pt>
                <c:pt idx="3">
                  <c:v>Thời điểm tháng 9/2015</c:v>
                </c:pt>
                <c:pt idx="4">
                  <c:v>Thời điểm tháng 12/2015</c:v>
                </c:pt>
              </c:strCache>
            </c:strRef>
          </c:cat>
          <c:val>
            <c:numRef>
              <c:f>'1'!$C$17:$C$22</c:f>
              <c:numCache>
                <c:formatCode>0.0</c:formatCode>
                <c:ptCount val="5"/>
                <c:pt idx="0">
                  <c:v>55.7</c:v>
                </c:pt>
                <c:pt idx="1">
                  <c:v>52.222222222222271</c:v>
                </c:pt>
                <c:pt idx="2">
                  <c:v>52.941176470588225</c:v>
                </c:pt>
                <c:pt idx="3">
                  <c:v>53.5</c:v>
                </c:pt>
                <c:pt idx="4">
                  <c:v>49.382716049382715</c:v>
                </c:pt>
              </c:numCache>
            </c:numRef>
          </c:val>
        </c:ser>
        <c:ser>
          <c:idx val="2"/>
          <c:order val="2"/>
          <c:tx>
            <c:strRef>
              <c:f>'1'!$D$16</c:f>
              <c:strCache>
                <c:ptCount val="1"/>
                <c:pt idx="0">
                  <c:v>Kém</c:v>
                </c:pt>
              </c:strCache>
            </c:strRef>
          </c:tx>
          <c:spPr>
            <a:solidFill>
              <a:schemeClr val="accent6"/>
            </a:solidFill>
          </c:spPr>
          <c:dLbls>
            <c:spPr>
              <a:noFill/>
              <a:ln w="25400">
                <a:noFill/>
              </a:ln>
            </c:spPr>
            <c:txPr>
              <a:bodyPr wrap="square" lIns="38100" tIns="19050" rIns="38100" bIns="19050" anchor="ctr">
                <a:spAutoFit/>
              </a:bodyPr>
              <a:lstStyle/>
              <a:p>
                <a:pPr>
                  <a:defRPr sz="700" b="1" i="0" u="none" strike="noStrike" baseline="0">
                    <a:solidFill>
                      <a:srgbClr val="000000"/>
                    </a:solidFill>
                    <a:latin typeface="Times New Roman"/>
                    <a:ea typeface="Times New Roman"/>
                    <a:cs typeface="Times New Roman"/>
                  </a:defRPr>
                </a:pPr>
                <a:endParaRPr lang="en-US"/>
              </a:p>
            </c:txPr>
            <c:showVal val="1"/>
            <c:extLst>
              <c:ext xmlns:c15="http://schemas.microsoft.com/office/drawing/2012/chart" uri="{CE6537A1-D6FC-4f65-9D91-7224C49458BB}">
                <c15:layout/>
                <c15:showLeaderLines val="0"/>
              </c:ext>
            </c:extLst>
          </c:dLbls>
          <c:cat>
            <c:strRef>
              <c:f>'1'!$A$17:$A$22</c:f>
              <c:strCache>
                <c:ptCount val="5"/>
                <c:pt idx="0">
                  <c:v>Thời điểm tháng 12/2014</c:v>
                </c:pt>
                <c:pt idx="1">
                  <c:v>Thời điểm tháng 3/2015</c:v>
                </c:pt>
                <c:pt idx="2">
                  <c:v>Thời điểm tháng 6/2015</c:v>
                </c:pt>
                <c:pt idx="3">
                  <c:v>Thời điểm tháng 9/2015</c:v>
                </c:pt>
                <c:pt idx="4">
                  <c:v>Thời điểm tháng 12/2015</c:v>
                </c:pt>
              </c:strCache>
            </c:strRef>
          </c:cat>
          <c:val>
            <c:numRef>
              <c:f>'1'!$D$17:$D$22</c:f>
              <c:numCache>
                <c:formatCode>0.0</c:formatCode>
                <c:ptCount val="5"/>
                <c:pt idx="0">
                  <c:v>4.5</c:v>
                </c:pt>
                <c:pt idx="1">
                  <c:v>8.8888888888888893</c:v>
                </c:pt>
                <c:pt idx="2">
                  <c:v>5.8823529411764675</c:v>
                </c:pt>
                <c:pt idx="3">
                  <c:v>7</c:v>
                </c:pt>
                <c:pt idx="4">
                  <c:v>7.4074074074074066</c:v>
                </c:pt>
              </c:numCache>
            </c:numRef>
          </c:val>
        </c:ser>
        <c:overlap val="100"/>
        <c:axId val="106681472"/>
        <c:axId val="106683008"/>
      </c:barChart>
      <c:lineChart>
        <c:grouping val="standard"/>
        <c:ser>
          <c:idx val="3"/>
          <c:order val="3"/>
          <c:tx>
            <c:strRef>
              <c:f>'1'!$E$16</c:f>
              <c:strCache>
                <c:ptCount val="1"/>
                <c:pt idx="0">
                  <c:v>Chỉ số cân bằng</c:v>
                </c:pt>
              </c:strCache>
            </c:strRef>
          </c:tx>
          <c:marker>
            <c:symbol val="diamond"/>
            <c:size val="7"/>
          </c:marker>
          <c:cat>
            <c:strRef>
              <c:f>'1'!$A$17:$A$22</c:f>
              <c:strCache>
                <c:ptCount val="5"/>
                <c:pt idx="0">
                  <c:v>Thời điểm tháng 12/2014</c:v>
                </c:pt>
                <c:pt idx="1">
                  <c:v>Thời điểm tháng 3/2015</c:v>
                </c:pt>
                <c:pt idx="2">
                  <c:v>Thời điểm tháng 6/2015</c:v>
                </c:pt>
                <c:pt idx="3">
                  <c:v>Thời điểm tháng 9/2015</c:v>
                </c:pt>
                <c:pt idx="4">
                  <c:v>Thời điểm tháng 12/2015</c:v>
                </c:pt>
              </c:strCache>
            </c:strRef>
          </c:cat>
          <c:val>
            <c:numRef>
              <c:f>'1'!$E$17:$E$22</c:f>
              <c:numCache>
                <c:formatCode>0.0</c:formatCode>
                <c:ptCount val="5"/>
                <c:pt idx="0">
                  <c:v>35.300000000000004</c:v>
                </c:pt>
                <c:pt idx="1">
                  <c:v>29.999999999999989</c:v>
                </c:pt>
                <c:pt idx="2">
                  <c:v>35.294117647058904</c:v>
                </c:pt>
                <c:pt idx="3">
                  <c:v>32.5</c:v>
                </c:pt>
                <c:pt idx="4">
                  <c:v>35.802469135802404</c:v>
                </c:pt>
              </c:numCache>
            </c:numRef>
          </c:val>
        </c:ser>
        <c:marker val="1"/>
        <c:axId val="106917888"/>
        <c:axId val="106919424"/>
      </c:lineChart>
      <c:catAx>
        <c:axId val="106681472"/>
        <c:scaling>
          <c:orientation val="minMax"/>
        </c:scaling>
        <c:axPos val="b"/>
        <c:numFmt formatCode="General" sourceLinked="0"/>
        <c:tickLblPos val="nextTo"/>
        <c:txPr>
          <a:bodyPr rot="0" vert="horz"/>
          <a:lstStyle/>
          <a:p>
            <a:pPr>
              <a:defRPr sz="800" b="0" i="0" u="none" strike="noStrike" baseline="0">
                <a:solidFill>
                  <a:srgbClr val="000000"/>
                </a:solidFill>
                <a:latin typeface="Times New Roman"/>
                <a:ea typeface="Times New Roman"/>
                <a:cs typeface="Times New Roman"/>
              </a:defRPr>
            </a:pPr>
            <a:endParaRPr lang="en-US"/>
          </a:p>
        </c:txPr>
        <c:crossAx val="106683008"/>
        <c:crosses val="autoZero"/>
        <c:auto val="1"/>
        <c:lblAlgn val="ctr"/>
        <c:lblOffset val="100"/>
      </c:catAx>
      <c:valAx>
        <c:axId val="106683008"/>
        <c:scaling>
          <c:orientation val="minMax"/>
        </c:scaling>
        <c:axPos val="l"/>
        <c:numFmt formatCode="0%" sourceLinked="1"/>
        <c:tickLblPos val="nextTo"/>
        <c:txPr>
          <a:bodyPr rot="0" vert="horz"/>
          <a:lstStyle/>
          <a:p>
            <a:pPr>
              <a:defRPr sz="800" b="0" i="0" u="none" strike="noStrike" baseline="0">
                <a:solidFill>
                  <a:srgbClr val="000000"/>
                </a:solidFill>
                <a:latin typeface="Times New Roman"/>
                <a:ea typeface="Times New Roman"/>
                <a:cs typeface="Times New Roman"/>
              </a:defRPr>
            </a:pPr>
            <a:endParaRPr lang="en-US"/>
          </a:p>
        </c:txPr>
        <c:crossAx val="106681472"/>
        <c:crosses val="autoZero"/>
        <c:crossBetween val="between"/>
        <c:majorUnit val="0.2"/>
      </c:valAx>
      <c:catAx>
        <c:axId val="106917888"/>
        <c:scaling>
          <c:orientation val="minMax"/>
        </c:scaling>
        <c:delete val="1"/>
        <c:axPos val="b"/>
        <c:numFmt formatCode="General" sourceLinked="1"/>
        <c:tickLblPos val="nextTo"/>
        <c:crossAx val="106919424"/>
        <c:crosses val="autoZero"/>
        <c:auto val="1"/>
        <c:lblAlgn val="ctr"/>
        <c:lblOffset val="100"/>
      </c:catAx>
      <c:valAx>
        <c:axId val="106919424"/>
        <c:scaling>
          <c:orientation val="minMax"/>
          <c:max val="100"/>
        </c:scaling>
        <c:axPos val="r"/>
        <c:numFmt formatCode="0.0" sourceLinked="1"/>
        <c:tickLblPos val="nextTo"/>
        <c:txPr>
          <a:bodyPr rot="0" vert="horz"/>
          <a:lstStyle/>
          <a:p>
            <a:pPr>
              <a:defRPr sz="800" b="0" i="0" u="none" strike="noStrike" baseline="0">
                <a:solidFill>
                  <a:srgbClr val="000000"/>
                </a:solidFill>
                <a:latin typeface="Times New Roman"/>
                <a:ea typeface="Times New Roman"/>
                <a:cs typeface="Times New Roman"/>
              </a:defRPr>
            </a:pPr>
            <a:endParaRPr lang="en-US"/>
          </a:p>
        </c:txPr>
        <c:crossAx val="106917888"/>
        <c:crosses val="max"/>
        <c:crossBetween val="between"/>
        <c:majorUnit val="20"/>
      </c:valAx>
      <c:spPr>
        <a:solidFill>
          <a:schemeClr val="lt1"/>
        </a:solidFill>
        <a:ln w="25400" cap="flat" cmpd="sng" algn="ctr">
          <a:solidFill>
            <a:schemeClr val="dk1"/>
          </a:solidFill>
          <a:prstDash val="solid"/>
        </a:ln>
        <a:effectLst/>
      </c:spPr>
    </c:plotArea>
    <c:legend>
      <c:legendPos val="b"/>
      <c:layout>
        <c:manualLayout>
          <c:xMode val="edge"/>
          <c:yMode val="edge"/>
          <c:x val="1.0097151627629648E-2"/>
          <c:y val="0.92857172381011432"/>
          <c:w val="0.97303407596205638"/>
          <c:h val="6.3895123345802329E-2"/>
        </c:manualLayout>
      </c:layout>
      <c:txPr>
        <a:bodyPr/>
        <a:lstStyle/>
        <a:p>
          <a:pPr>
            <a:defRPr sz="920" b="0" i="0" u="none" strike="noStrike" baseline="0">
              <a:solidFill>
                <a:srgbClr val="000000"/>
              </a:solidFill>
              <a:latin typeface="Times New Roman"/>
              <a:ea typeface="Times New Roman"/>
              <a:cs typeface="Times New Roman"/>
            </a:defRPr>
          </a:pPr>
          <a:endParaRPr lang="en-US"/>
        </a:p>
      </c:txPr>
    </c:legend>
    <c:plotVisOnly val="1"/>
    <c:dispBlanksAs val="gap"/>
  </c:chart>
  <c:spPr>
    <a:solidFill>
      <a:srgbClr val="9BBB59">
        <a:lumMod val="40000"/>
        <a:lumOff val="60000"/>
      </a:srgbClr>
    </a:solidFill>
    <a:ln>
      <a:noFill/>
    </a:ln>
  </c:spPr>
  <c:txPr>
    <a:bodyPr/>
    <a:lstStyle/>
    <a:p>
      <a:pPr>
        <a:defRPr sz="1000" b="0" i="0" u="none" strike="noStrike" baseline="0">
          <a:solidFill>
            <a:srgbClr val="000000"/>
          </a:solidFill>
          <a:latin typeface="Calibri"/>
          <a:ea typeface="Calibri"/>
          <a:cs typeface="Calibri"/>
        </a:defRPr>
      </a:pPr>
      <a:endParaRPr lang="en-US"/>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sz="1000" b="0" i="0" u="none" strike="noStrike" baseline="0">
                <a:solidFill>
                  <a:srgbClr val="000000"/>
                </a:solidFill>
                <a:latin typeface="Calibri"/>
                <a:ea typeface="Calibri"/>
                <a:cs typeface="Calibri"/>
              </a:defRPr>
            </a:pPr>
            <a:r>
              <a:rPr lang="en-US" sz="1000" b="1" i="0" u="none" strike="noStrike" baseline="0">
                <a:solidFill>
                  <a:srgbClr val="000000"/>
                </a:solidFill>
                <a:latin typeface="Times New Roman"/>
                <a:cs typeface="Times New Roman"/>
              </a:rPr>
              <a:t>Tăng trưởng HĐV - TD thực tế (2012-2014) và bình quân kỳ vọng năm (2015-2016)</a:t>
            </a:r>
          </a:p>
          <a:p>
            <a:pPr>
              <a:defRPr sz="1000" b="0" i="0" u="none" strike="noStrike" baseline="0">
                <a:solidFill>
                  <a:srgbClr val="000000"/>
                </a:solidFill>
                <a:latin typeface="Calibri"/>
                <a:ea typeface="Calibri"/>
                <a:cs typeface="Calibri"/>
              </a:defRPr>
            </a:pPr>
            <a:r>
              <a:rPr lang="en-US" sz="1000" b="1" i="0" u="none" strike="noStrike" baseline="0">
                <a:solidFill>
                  <a:srgbClr val="000000"/>
                </a:solidFill>
                <a:latin typeface="Times New Roman"/>
                <a:cs typeface="Times New Roman"/>
              </a:rPr>
              <a:t>(%, yoy)</a:t>
            </a:r>
          </a:p>
        </c:rich>
      </c:tx>
    </c:title>
    <c:plotArea>
      <c:layout>
        <c:manualLayout>
          <c:layoutTarget val="inner"/>
          <c:xMode val="edge"/>
          <c:yMode val="edge"/>
          <c:x val="0.11287319553805775"/>
          <c:y val="0.1990740740740741"/>
          <c:w val="0.84431430446194178"/>
          <c:h val="0.69206000291630221"/>
        </c:manualLayout>
      </c:layout>
      <c:lineChart>
        <c:grouping val="standard"/>
        <c:ser>
          <c:idx val="0"/>
          <c:order val="0"/>
          <c:tx>
            <c:v>Tín dụng</c:v>
          </c:tx>
          <c:spPr>
            <a:ln>
              <a:solidFill>
                <a:schemeClr val="accent6">
                  <a:lumMod val="75000"/>
                </a:schemeClr>
              </a:solidFill>
            </a:ln>
          </c:spPr>
          <c:marker>
            <c:symbol val="none"/>
          </c:marker>
          <c:dPt>
            <c:idx val="2"/>
            <c:spPr>
              <a:ln>
                <a:solidFill>
                  <a:srgbClr val="FF0000"/>
                </a:solidFill>
              </a:ln>
            </c:spPr>
          </c:dPt>
          <c:dPt>
            <c:idx val="3"/>
            <c:spPr>
              <a:ln w="41275">
                <a:solidFill>
                  <a:schemeClr val="accent6">
                    <a:lumMod val="75000"/>
                  </a:schemeClr>
                </a:solidFill>
                <a:prstDash val="sysDot"/>
              </a:ln>
            </c:spPr>
          </c:dPt>
          <c:dPt>
            <c:idx val="4"/>
            <c:spPr>
              <a:ln>
                <a:solidFill>
                  <a:schemeClr val="accent6">
                    <a:lumMod val="75000"/>
                  </a:schemeClr>
                </a:solidFill>
                <a:prstDash val="sysDot"/>
              </a:ln>
            </c:spPr>
          </c:dPt>
          <c:cat>
            <c:numRef>
              <c:f>'[He bieu dieu ra 12.2015 (SPSS) -Hoa em (1).xls]Cau 11'!$L$31:$P$31</c:f>
              <c:numCache>
                <c:formatCode>0</c:formatCode>
                <c:ptCount val="5"/>
                <c:pt idx="0">
                  <c:v>2012</c:v>
                </c:pt>
                <c:pt idx="1">
                  <c:v>2013</c:v>
                </c:pt>
                <c:pt idx="2">
                  <c:v>2014</c:v>
                </c:pt>
                <c:pt idx="3">
                  <c:v>2015</c:v>
                </c:pt>
                <c:pt idx="4">
                  <c:v>2016</c:v>
                </c:pt>
              </c:numCache>
            </c:numRef>
          </c:cat>
          <c:val>
            <c:numRef>
              <c:f>'[He bieu dieu ra 12.2015 (SPSS) -Hoa em (1).xls]Cau 11'!$L$34:$P$34</c:f>
              <c:numCache>
                <c:formatCode>_(* #,##0.00_);_(* \(#,##0.00\);_(* "-"??_);_(@_)</c:formatCode>
                <c:ptCount val="5"/>
                <c:pt idx="0">
                  <c:v>8.9700000000000006</c:v>
                </c:pt>
                <c:pt idx="1">
                  <c:v>12.2</c:v>
                </c:pt>
                <c:pt idx="2">
                  <c:v>14.16</c:v>
                </c:pt>
              </c:numCache>
            </c:numRef>
          </c:val>
        </c:ser>
        <c:ser>
          <c:idx val="1"/>
          <c:order val="1"/>
          <c:tx>
            <c:v>Huy động vốn</c:v>
          </c:tx>
          <c:spPr>
            <a:ln>
              <a:solidFill>
                <a:schemeClr val="accent1"/>
              </a:solidFill>
            </a:ln>
          </c:spPr>
          <c:marker>
            <c:symbol val="none"/>
          </c:marker>
          <c:cat>
            <c:numRef>
              <c:f>'[He bieu dieu ra 12.2015 (SPSS) -Hoa em (1).xls]Cau 11'!$L$31:$P$31</c:f>
              <c:numCache>
                <c:formatCode>0</c:formatCode>
                <c:ptCount val="5"/>
                <c:pt idx="0">
                  <c:v>2012</c:v>
                </c:pt>
                <c:pt idx="1">
                  <c:v>2013</c:v>
                </c:pt>
                <c:pt idx="2">
                  <c:v>2014</c:v>
                </c:pt>
                <c:pt idx="3">
                  <c:v>2015</c:v>
                </c:pt>
                <c:pt idx="4">
                  <c:v>2016</c:v>
                </c:pt>
              </c:numCache>
            </c:numRef>
          </c:cat>
          <c:val>
            <c:numRef>
              <c:f>'[He bieu dieu ra 12.2015 (SPSS) -Hoa em (1).xls]Cau 11'!$L$32:$P$32</c:f>
              <c:numCache>
                <c:formatCode>_(* #,##0.00_);_(* \(#,##0.00\);_(* "-"??_);_(@_)</c:formatCode>
                <c:ptCount val="5"/>
                <c:pt idx="0">
                  <c:v>22.798825024063987</c:v>
                </c:pt>
                <c:pt idx="1">
                  <c:v>19.834023687746225</c:v>
                </c:pt>
                <c:pt idx="2">
                  <c:v>17.62</c:v>
                </c:pt>
              </c:numCache>
            </c:numRef>
          </c:val>
        </c:ser>
        <c:ser>
          <c:idx val="2"/>
          <c:order val="2"/>
          <c:spPr>
            <a:ln>
              <a:prstDash val="dash"/>
            </a:ln>
          </c:spPr>
          <c:marker>
            <c:symbol val="none"/>
          </c:marker>
          <c:dLbls>
            <c:dLbl>
              <c:idx val="0"/>
              <c:delete val="1"/>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layout>
                <c:manualLayout>
                  <c:x val="-5.2083333333333419E-2"/>
                  <c:y val="-6.0185185185185154E-2"/>
                </c:manualLayout>
              </c:layout>
              <c:showVal val="1"/>
              <c:extLst>
                <c:ext xmlns:c15="http://schemas.microsoft.com/office/drawing/2012/chart" uri="{CE6537A1-D6FC-4f65-9D91-7224C49458BB}">
                  <c15:layout/>
                </c:ext>
              </c:extLst>
            </c:dLbl>
            <c:spPr>
              <a:noFill/>
              <a:ln>
                <a:noFill/>
              </a:ln>
              <a:effectLst/>
            </c:spPr>
            <c:showVal val="1"/>
            <c:extLst>
              <c:ext xmlns:c15="http://schemas.microsoft.com/office/drawing/2012/chart" uri="{CE6537A1-D6FC-4f65-9D91-7224C49458BB}">
                <c15:layout/>
                <c15:showLeaderLines val="1"/>
              </c:ext>
            </c:extLst>
          </c:dLbls>
          <c:val>
            <c:numRef>
              <c:f>'[He bieu dieu ra 12.2015 (SPSS) -Hoa em (1).xls]Cau 11'!$L$33:$P$33</c:f>
              <c:numCache>
                <c:formatCode>_(* #,##0.00_);_(* \(#,##0.00\);_(* "-"??_);_(@_)</c:formatCode>
                <c:ptCount val="5"/>
                <c:pt idx="0">
                  <c:v>22.798825024063987</c:v>
                </c:pt>
                <c:pt idx="1">
                  <c:v>19.834023687746225</c:v>
                </c:pt>
                <c:pt idx="2">
                  <c:v>17.62</c:v>
                </c:pt>
                <c:pt idx="3">
                  <c:v>14.350000000000007</c:v>
                </c:pt>
                <c:pt idx="4">
                  <c:v>17.459999999999987</c:v>
                </c:pt>
              </c:numCache>
            </c:numRef>
          </c:val>
        </c:ser>
        <c:ser>
          <c:idx val="3"/>
          <c:order val="3"/>
          <c:spPr>
            <a:ln>
              <a:solidFill>
                <a:srgbClr val="FF0000"/>
              </a:solidFill>
              <a:prstDash val="sysDot"/>
            </a:ln>
          </c:spPr>
          <c:marker>
            <c:symbol val="none"/>
          </c:marker>
          <c:dLbls>
            <c:dLbl>
              <c:idx val="2"/>
              <c:layout>
                <c:manualLayout>
                  <c:x val="-3.4722222222222175E-2"/>
                  <c:y val="6.4814814814814867E-2"/>
                </c:manualLayout>
              </c:layout>
              <c:showVal val="1"/>
              <c:extLst>
                <c:ext xmlns:c15="http://schemas.microsoft.com/office/drawing/2012/chart" uri="{CE6537A1-D6FC-4f65-9D91-7224C49458BB}">
                  <c15:layout/>
                </c:ext>
              </c:extLst>
            </c:dLbl>
            <c:dLbl>
              <c:idx val="4"/>
              <c:showVal val="1"/>
              <c:extLst>
                <c:ext xmlns:c15="http://schemas.microsoft.com/office/drawing/2012/chart" uri="{CE6537A1-D6FC-4f65-9D91-7224C49458BB}">
                  <c15:layout/>
                </c:ext>
              </c:extLst>
            </c:dLbl>
            <c:delete val="1"/>
            <c:extLst>
              <c:ext xmlns:c15="http://schemas.microsoft.com/office/drawing/2012/chart" uri="{CE6537A1-D6FC-4f65-9D91-7224C49458BB}">
                <c15:showLeaderLines val="1"/>
              </c:ext>
            </c:extLst>
          </c:dLbls>
          <c:val>
            <c:numRef>
              <c:f>'[He bieu dieu ra 12.2015 (SPSS) -Hoa em (1).xls]Cau 11'!$L$35:$P$35</c:f>
              <c:numCache>
                <c:formatCode>_(* #,##0.00_);_(* \(#,##0.00\);_(* "-"??_);_(@_)</c:formatCode>
                <c:ptCount val="5"/>
                <c:pt idx="0">
                  <c:v>8.9700000000000006</c:v>
                </c:pt>
                <c:pt idx="1">
                  <c:v>12.2</c:v>
                </c:pt>
                <c:pt idx="2">
                  <c:v>14.16</c:v>
                </c:pt>
                <c:pt idx="3">
                  <c:v>14.57</c:v>
                </c:pt>
                <c:pt idx="4">
                  <c:v>21.4</c:v>
                </c:pt>
              </c:numCache>
            </c:numRef>
          </c:val>
        </c:ser>
        <c:marker val="1"/>
        <c:axId val="106800640"/>
        <c:axId val="106802176"/>
      </c:lineChart>
      <c:catAx>
        <c:axId val="106800640"/>
        <c:scaling>
          <c:orientation val="minMax"/>
        </c:scaling>
        <c:axPos val="b"/>
        <c:numFmt formatCode="0" sourceLinked="1"/>
        <c:majorTickMark val="none"/>
        <c:tickLblPos val="nextTo"/>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106802176"/>
        <c:crosses val="autoZero"/>
        <c:auto val="1"/>
        <c:lblAlgn val="ctr"/>
        <c:lblOffset val="100"/>
      </c:catAx>
      <c:valAx>
        <c:axId val="106802176"/>
        <c:scaling>
          <c:orientation val="minMax"/>
        </c:scaling>
        <c:axPos val="l"/>
        <c:numFmt formatCode="#.##0" sourceLinked="0"/>
        <c:majorTickMark val="none"/>
        <c:tickLblPos val="nextTo"/>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106800640"/>
        <c:crosses val="autoZero"/>
        <c:crossBetween val="between"/>
        <c:majorUnit val="5"/>
      </c:valAx>
    </c:plotArea>
    <c:legend>
      <c:legendPos val="r"/>
      <c:legendEntry>
        <c:idx val="2"/>
        <c:delete val="1"/>
      </c:legendEntry>
      <c:legendEntry>
        <c:idx val="3"/>
        <c:delete val="1"/>
      </c:legendEntry>
      <c:layout>
        <c:manualLayout>
          <c:xMode val="edge"/>
          <c:yMode val="edge"/>
          <c:x val="0.63774305555555644"/>
          <c:y val="0.68017169728783944"/>
          <c:w val="0.29975694444444467"/>
          <c:h val="0.16743438320209997"/>
        </c:manualLayout>
      </c:layout>
    </c:legend>
    <c:plotVisOnly val="1"/>
    <c:dispBlanksAs val="gap"/>
  </c:chart>
  <c:spPr>
    <a:solidFill>
      <a:schemeClr val="accent3">
        <a:lumMod val="40000"/>
        <a:lumOff val="60000"/>
      </a:schemeClr>
    </a:solidFill>
    <a:ln>
      <a:solidFill>
        <a:schemeClr val="accent3">
          <a:lumMod val="40000"/>
          <a:lumOff val="60000"/>
        </a:schemeClr>
      </a:solidFill>
    </a:ln>
  </c:spPr>
  <c:txPr>
    <a:bodyPr/>
    <a:lstStyle/>
    <a:p>
      <a:pPr>
        <a:defRPr sz="1000" b="0" i="0" u="none" strike="noStrike" baseline="0">
          <a:solidFill>
            <a:srgbClr val="000000"/>
          </a:solidFill>
          <a:latin typeface="Calibri"/>
          <a:ea typeface="Calibri"/>
          <a:cs typeface="Calibri"/>
        </a:defRPr>
      </a:pPr>
      <a:endParaRPr lang="en-US"/>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TotalTime>
  <Pages>3</Pages>
  <Words>783</Words>
  <Characters>4465</Characters>
  <Application>Microsoft Office Word</Application>
  <DocSecurity>0</DocSecurity>
  <Lines>37</Lines>
  <Paragraphs>10</Paragraphs>
  <ScaleCrop>false</ScaleCrop>
  <Company/>
  <LinksUpToDate>false</LinksUpToDate>
  <CharactersWithSpaces>5238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Tung</dc:creator>
  <cp:lastModifiedBy>dung</cp:lastModifiedBy>
  <cp:revision>3</cp:revision>
  <dcterms:created xsi:type="dcterms:W3CDTF">2016-01-14T01:50:00Z</dcterms:created>
  <dcterms:modified xsi:type="dcterms:W3CDTF">2016-01-14T01:51:00Z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SBV240772</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243199</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http://webcenter-app01:16200/cs/idcplg?IdcService=DESKTOP_DOC_INFO&amp;dDocName=SBV240772&amp;dID=243199&amp;ClientControlled=DocMan,taskpane&amp;coreContentOnly=1</vt:lpwstr>
  </property>
</Properties>
</file>