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E8" w:rsidRDefault="00692AE8" w:rsidP="00692AE8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A712B">
        <w:rPr>
          <w:sz w:val="28"/>
          <w:szCs w:val="28"/>
        </w:rPr>
        <w:t xml:space="preserve">Ngân hàng Nhà nước Việt Nam đã hoàn thành cuộc điều tra kỳ vọng lạm phát tháng </w:t>
      </w:r>
      <w:r>
        <w:rPr>
          <w:sz w:val="28"/>
          <w:szCs w:val="28"/>
        </w:rPr>
        <w:t>5 năm 2014</w:t>
      </w:r>
      <w:r w:rsidRPr="003A712B">
        <w:rPr>
          <w:sz w:val="28"/>
          <w:szCs w:val="28"/>
        </w:rPr>
        <w:t xml:space="preserve"> đối với toàn bộ các TCTD và chi nhánh ngân hàng nước ngoài tại Việt Nam. Theo quy định của pháp luật về thống kê và Thông tư 06/2011/TT-NHNN ngày 22/3/2011 của Ngân hàng Nhà nước quy định về điều tra thống kê tiền tệ, hoạt động ngân hàng và ngoại hối, Ngân hàng Nhà nước công bố </w:t>
      </w:r>
      <w:r>
        <w:rPr>
          <w:sz w:val="28"/>
          <w:szCs w:val="28"/>
        </w:rPr>
        <w:t>kết quả</w:t>
      </w:r>
      <w:r w:rsidRPr="003A712B">
        <w:rPr>
          <w:sz w:val="28"/>
          <w:szCs w:val="28"/>
        </w:rPr>
        <w:t xml:space="preserve"> điều tra kỳ vọng lạm phát của các TCTD tháng </w:t>
      </w:r>
      <w:r>
        <w:rPr>
          <w:sz w:val="28"/>
          <w:szCs w:val="28"/>
        </w:rPr>
        <w:t>5 năm 2014 như sau:</w:t>
      </w:r>
    </w:p>
    <w:p w:rsidR="00692AE8" w:rsidRDefault="00692AE8" w:rsidP="00692AE8">
      <w:pPr>
        <w:pStyle w:val="NormalWeb"/>
        <w:spacing w:before="120" w:beforeAutospacing="0" w:after="120" w:afterAutospacing="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Kỳ vọng lạm phát của các Tổ chức tín dụng</w:t>
      </w:r>
    </w:p>
    <w:p w:rsidR="00692AE8" w:rsidRPr="00B7555F" w:rsidRDefault="00692AE8" w:rsidP="00692AE8">
      <w:pPr>
        <w:tabs>
          <w:tab w:val="left" w:pos="3982"/>
        </w:tabs>
        <w:spacing w:after="40"/>
        <w:ind w:firstLine="720"/>
        <w:jc w:val="center"/>
        <w:rPr>
          <w:rFonts w:ascii="Times New Roman" w:hAnsi="Times New Roman"/>
          <w:sz w:val="24"/>
          <w:szCs w:val="24"/>
        </w:rPr>
      </w:pPr>
      <w:r w:rsidRPr="00B7555F">
        <w:rPr>
          <w:rFonts w:ascii="Times New Roman" w:hAnsi="Times New Roman"/>
          <w:sz w:val="24"/>
          <w:szCs w:val="24"/>
        </w:rPr>
        <w:t xml:space="preserve">(Theo kết quả cuộc điều tra kỳ vọng lạm phát của các TCTD tháng </w:t>
      </w:r>
      <w:r>
        <w:rPr>
          <w:rFonts w:ascii="Times New Roman" w:hAnsi="Times New Roman"/>
          <w:sz w:val="24"/>
          <w:szCs w:val="24"/>
        </w:rPr>
        <w:t>5/2014</w:t>
      </w:r>
      <w:r w:rsidRPr="00B7555F">
        <w:rPr>
          <w:rFonts w:ascii="Times New Roman" w:hAnsi="Times New Roman"/>
          <w:sz w:val="24"/>
          <w:szCs w:val="24"/>
        </w:rPr>
        <w:t xml:space="preserve"> do Vụ</w:t>
      </w:r>
      <w:r>
        <w:rPr>
          <w:rFonts w:ascii="Times New Roman" w:hAnsi="Times New Roman"/>
          <w:sz w:val="24"/>
          <w:szCs w:val="24"/>
        </w:rPr>
        <w:t xml:space="preserve"> DBTK</w:t>
      </w:r>
      <w:r w:rsidRPr="00B7555F">
        <w:rPr>
          <w:rFonts w:ascii="Times New Roman" w:hAnsi="Times New Roman"/>
          <w:sz w:val="24"/>
          <w:szCs w:val="24"/>
        </w:rPr>
        <w:t xml:space="preserve">-NHNN tiến hành từ ngày </w:t>
      </w:r>
      <w:r>
        <w:rPr>
          <w:rFonts w:ascii="Times New Roman" w:hAnsi="Times New Roman"/>
          <w:sz w:val="24"/>
          <w:szCs w:val="24"/>
        </w:rPr>
        <w:t>21/4/2014-5/5/2014</w:t>
      </w:r>
      <w:r w:rsidRPr="00B7555F">
        <w:rPr>
          <w:rFonts w:ascii="Times New Roman" w:hAnsi="Times New Roman"/>
          <w:sz w:val="24"/>
          <w:szCs w:val="24"/>
        </w:rPr>
        <w:t>)</w:t>
      </w:r>
    </w:p>
    <w:p w:rsidR="00692AE8" w:rsidRDefault="00692AE8" w:rsidP="00692AE8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24"/>
        <w:gridCol w:w="2087"/>
      </w:tblGrid>
      <w:tr w:rsidR="00692AE8" w:rsidRPr="0076442D" w:rsidTr="00E62230">
        <w:trPr>
          <w:trHeight w:val="430"/>
        </w:trPr>
        <w:tc>
          <w:tcPr>
            <w:tcW w:w="7124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>5/2014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so với tháng trước</w:t>
            </w:r>
          </w:p>
        </w:tc>
        <w:tc>
          <w:tcPr>
            <w:tcW w:w="2087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0,23%</w:t>
            </w:r>
          </w:p>
        </w:tc>
      </w:tr>
      <w:tr w:rsidR="00692AE8" w:rsidRPr="0076442D" w:rsidTr="00E62230">
        <w:trPr>
          <w:trHeight w:val="553"/>
        </w:trPr>
        <w:tc>
          <w:tcPr>
            <w:tcW w:w="7124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cả năm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92AE8" w:rsidRPr="00435A71" w:rsidRDefault="00692AE8" w:rsidP="00692AE8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435A71">
        <w:rPr>
          <w:rFonts w:ascii="Times New Roman" w:hAnsi="Times New Roman"/>
          <w:i/>
          <w:sz w:val="26"/>
          <w:szCs w:val="26"/>
        </w:rPr>
        <w:t>Ghi chú: Kết quả điều tra phản ánh kỳ vọng của các TCTD; không phản ánh quan điểm của NHNN</w:t>
      </w:r>
    </w:p>
    <w:p w:rsidR="00692AE8" w:rsidRPr="00E90A39" w:rsidRDefault="00692AE8" w:rsidP="00692AE8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2AE8" w:rsidRDefault="00692AE8" w:rsidP="00692AE8">
      <w:pPr>
        <w:jc w:val="right"/>
        <w:rPr>
          <w:rFonts w:ascii="Times New Roman" w:hAnsi="Times New Roman"/>
          <w:b/>
          <w:sz w:val="26"/>
          <w:szCs w:val="26"/>
        </w:rPr>
      </w:pPr>
      <w:r w:rsidRPr="00B7555F">
        <w:rPr>
          <w:rFonts w:ascii="Times New Roman" w:hAnsi="Times New Roman"/>
          <w:b/>
          <w:sz w:val="26"/>
          <w:szCs w:val="26"/>
        </w:rPr>
        <w:t>NGÂN HÀNG NHÀ NƯỚC VIỆT NAM</w:t>
      </w:r>
    </w:p>
    <w:p w:rsidR="00DF301F" w:rsidRPr="00692AE8" w:rsidRDefault="00DF301F" w:rsidP="00692AE8">
      <w:pPr>
        <w:rPr>
          <w:szCs w:val="20"/>
        </w:rPr>
      </w:pPr>
    </w:p>
    <w:sectPr w:rsidR="00DF301F" w:rsidRPr="00692AE8" w:rsidSect="00020AFA">
      <w:pgSz w:w="11907" w:h="16840" w:code="9"/>
      <w:pgMar w:top="1134" w:right="1134" w:bottom="1134" w:left="1701" w:header="53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3F9D"/>
    <w:rsid w:val="001E6199"/>
    <w:rsid w:val="00692AE8"/>
    <w:rsid w:val="00716912"/>
    <w:rsid w:val="00BB276A"/>
    <w:rsid w:val="00CD3F9D"/>
    <w:rsid w:val="00CF2B63"/>
    <w:rsid w:val="00D33AC7"/>
    <w:rsid w:val="00D66B18"/>
    <w:rsid w:val="00DC40C6"/>
    <w:rsid w:val="00DF301F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Chip</dc:creator>
  <cp:keywords/>
  <dc:description/>
  <cp:lastModifiedBy>VUDB</cp:lastModifiedBy>
  <cp:revision>4</cp:revision>
  <dcterms:created xsi:type="dcterms:W3CDTF">2013-09-18T02:52:00Z</dcterms:created>
  <dcterms:modified xsi:type="dcterms:W3CDTF">2014-06-11T08:15:00Z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SBV240994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243421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http://webcenter-app01:16200/cs/idcplg?IdcService=DESKTOP_DOC_INFO&amp;dDocName=SBV240994&amp;dID=243421&amp;ClientControlled=DocMan,taskpane&amp;coreContentOnly=1</vt:lpwstr>
  </property>
</Properties>
</file>