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F8" w:rsidRPr="00607BC7" w:rsidRDefault="008B2FF8" w:rsidP="00607BC7">
      <w:pPr>
        <w:spacing w:before="180" w:line="252" w:lineRule="auto"/>
        <w:jc w:val="center"/>
        <w:rPr>
          <w:rFonts w:ascii="Times New Roman Bold" w:hAnsi="Times New Roman Bold"/>
          <w:b/>
          <w:spacing w:val="-4"/>
        </w:rPr>
      </w:pPr>
      <w:r w:rsidRPr="00607BC7">
        <w:rPr>
          <w:rFonts w:ascii="Times New Roman Bold" w:hAnsi="Times New Roman Bold"/>
          <w:b/>
          <w:spacing w:val="-4"/>
        </w:rPr>
        <w:t xml:space="preserve">BẢN </w:t>
      </w:r>
      <w:r w:rsidR="007821C1" w:rsidRPr="00607BC7">
        <w:rPr>
          <w:rFonts w:ascii="Times New Roman Bold" w:hAnsi="Times New Roman Bold"/>
          <w:b/>
          <w:spacing w:val="-4"/>
        </w:rPr>
        <w:t>THUYẾT MINH DỰ THẢO THÔNG TƯ QUY ĐỊNH PHƯƠNG PHÁP TÍNH LÃI TRONG HOẠT ĐỘNG NHẬN TIỀN GỬI</w:t>
      </w:r>
      <w:r w:rsidR="00D436F5">
        <w:rPr>
          <w:rFonts w:ascii="Times New Roman Bold" w:hAnsi="Times New Roman Bold"/>
          <w:b/>
          <w:spacing w:val="-4"/>
        </w:rPr>
        <w:t>, CẤP TÍN DỤNG</w:t>
      </w:r>
      <w:r w:rsidR="007821C1" w:rsidRPr="00607BC7">
        <w:rPr>
          <w:rFonts w:ascii="Times New Roman Bold" w:hAnsi="Times New Roman Bold"/>
          <w:b/>
          <w:spacing w:val="-4"/>
        </w:rPr>
        <w:t xml:space="preserve"> GIỮA </w:t>
      </w:r>
      <w:r w:rsidR="00D436F5">
        <w:rPr>
          <w:rFonts w:ascii="Times New Roman Bold" w:hAnsi="Times New Roman Bold"/>
          <w:b/>
          <w:spacing w:val="-4"/>
        </w:rPr>
        <w:t>TỔ CHỨC TÍN DỤNG VỚI KHÁCH HÀNG</w:t>
      </w:r>
    </w:p>
    <w:p w:rsidR="008B2FF8" w:rsidRPr="00E16A30" w:rsidRDefault="008B2FF8" w:rsidP="008B2FF8">
      <w:pPr>
        <w:spacing w:before="180" w:line="252" w:lineRule="auto"/>
        <w:ind w:firstLine="720"/>
        <w:rPr>
          <w:b/>
          <w:color w:val="0000FF"/>
        </w:rPr>
      </w:pPr>
      <w:r w:rsidRPr="00E16A30">
        <w:rPr>
          <w:b/>
        </w:rPr>
        <w:t xml:space="preserve">I. </w:t>
      </w:r>
      <w:proofErr w:type="spellStart"/>
      <w:r w:rsidRPr="00E16A30">
        <w:rPr>
          <w:b/>
        </w:rPr>
        <w:t>Sự</w:t>
      </w:r>
      <w:proofErr w:type="spellEnd"/>
      <w:r w:rsidRPr="00E16A30">
        <w:rPr>
          <w:b/>
        </w:rPr>
        <w:t xml:space="preserve"> </w:t>
      </w:r>
      <w:proofErr w:type="spellStart"/>
      <w:r w:rsidRPr="00E16A30">
        <w:rPr>
          <w:b/>
        </w:rPr>
        <w:t>cần</w:t>
      </w:r>
      <w:proofErr w:type="spellEnd"/>
      <w:r w:rsidRPr="00E16A30">
        <w:rPr>
          <w:b/>
        </w:rPr>
        <w:t xml:space="preserve"> </w:t>
      </w:r>
      <w:proofErr w:type="spellStart"/>
      <w:r w:rsidRPr="00E16A30">
        <w:rPr>
          <w:b/>
        </w:rPr>
        <w:t>thiết</w:t>
      </w:r>
      <w:proofErr w:type="spellEnd"/>
      <w:r w:rsidRPr="00E16A30">
        <w:rPr>
          <w:b/>
        </w:rPr>
        <w:t xml:space="preserve"> ban </w:t>
      </w:r>
      <w:proofErr w:type="spellStart"/>
      <w:r w:rsidRPr="00E16A30">
        <w:rPr>
          <w:b/>
        </w:rPr>
        <w:t>hành</w:t>
      </w:r>
      <w:proofErr w:type="spellEnd"/>
      <w:r w:rsidRPr="00E16A30">
        <w:rPr>
          <w:b/>
        </w:rPr>
        <w:t xml:space="preserve"> </w:t>
      </w:r>
      <w:proofErr w:type="spellStart"/>
      <w:r w:rsidRPr="00E16A30">
        <w:rPr>
          <w:b/>
        </w:rPr>
        <w:t>Thông</w:t>
      </w:r>
      <w:proofErr w:type="spellEnd"/>
      <w:r w:rsidRPr="00E16A30">
        <w:rPr>
          <w:b/>
        </w:rPr>
        <w:t xml:space="preserve"> </w:t>
      </w:r>
      <w:proofErr w:type="spellStart"/>
      <w:r w:rsidRPr="00E16A30">
        <w:rPr>
          <w:b/>
        </w:rPr>
        <w:t>tư</w:t>
      </w:r>
      <w:proofErr w:type="spellEnd"/>
    </w:p>
    <w:p w:rsidR="008B2FF8" w:rsidRDefault="008B2FF8" w:rsidP="008B2FF8">
      <w:pPr>
        <w:tabs>
          <w:tab w:val="left" w:pos="709"/>
        </w:tabs>
        <w:spacing w:before="120" w:line="252" w:lineRule="auto"/>
        <w:ind w:firstLine="720"/>
        <w:jc w:val="both"/>
      </w:pPr>
      <w:proofErr w:type="spellStart"/>
      <w:r w:rsidRPr="00050DC5">
        <w:t>Quyết</w:t>
      </w:r>
      <w:proofErr w:type="spellEnd"/>
      <w:r w:rsidRPr="00050DC5">
        <w:t xml:space="preserve"> </w:t>
      </w:r>
      <w:proofErr w:type="spellStart"/>
      <w:r w:rsidRPr="00050DC5">
        <w:t>định</w:t>
      </w:r>
      <w:proofErr w:type="spellEnd"/>
      <w:r w:rsidRPr="00050DC5">
        <w:t xml:space="preserve"> </w:t>
      </w:r>
      <w:proofErr w:type="spellStart"/>
      <w:r w:rsidRPr="00050DC5">
        <w:t>số</w:t>
      </w:r>
      <w:proofErr w:type="spellEnd"/>
      <w:r w:rsidRPr="00050DC5">
        <w:t xml:space="preserve"> 652/2001/QĐ-NHNN </w:t>
      </w:r>
      <w:proofErr w:type="spellStart"/>
      <w:r w:rsidRPr="00050DC5">
        <w:t>ngày</w:t>
      </w:r>
      <w:proofErr w:type="spellEnd"/>
      <w:r w:rsidRPr="00050DC5">
        <w:t xml:space="preserve"> 17/5/2001 </w:t>
      </w:r>
      <w:proofErr w:type="spellStart"/>
      <w:r w:rsidRPr="00050DC5">
        <w:t>về</w:t>
      </w:r>
      <w:proofErr w:type="spellEnd"/>
      <w:r w:rsidRPr="00050DC5">
        <w:t xml:space="preserve"> </w:t>
      </w:r>
      <w:proofErr w:type="spellStart"/>
      <w:r w:rsidRPr="00050DC5">
        <w:t>phương</w:t>
      </w:r>
      <w:proofErr w:type="spellEnd"/>
      <w:r w:rsidRPr="00050DC5">
        <w:t xml:space="preserve"> </w:t>
      </w:r>
      <w:proofErr w:type="spellStart"/>
      <w:r w:rsidRPr="00050DC5">
        <w:t>pháp</w:t>
      </w:r>
      <w:proofErr w:type="spellEnd"/>
      <w:r w:rsidRPr="00050DC5">
        <w:t xml:space="preserve"> </w:t>
      </w:r>
      <w:proofErr w:type="spellStart"/>
      <w:r w:rsidRPr="00050DC5">
        <w:t>tính</w:t>
      </w:r>
      <w:proofErr w:type="spellEnd"/>
      <w:r w:rsidRPr="00050DC5">
        <w:t xml:space="preserve"> </w:t>
      </w:r>
      <w:proofErr w:type="spellStart"/>
      <w:r w:rsidRPr="00050DC5">
        <w:t>và</w:t>
      </w:r>
      <w:proofErr w:type="spellEnd"/>
      <w:r w:rsidRPr="00050DC5">
        <w:t xml:space="preserve"> </w:t>
      </w:r>
      <w:proofErr w:type="spellStart"/>
      <w:r w:rsidRPr="00050DC5">
        <w:t>hạch</w:t>
      </w:r>
      <w:proofErr w:type="spellEnd"/>
      <w:r w:rsidRPr="00050DC5">
        <w:t xml:space="preserve"> </w:t>
      </w:r>
      <w:proofErr w:type="spellStart"/>
      <w:r w:rsidRPr="00050DC5">
        <w:t>toán</w:t>
      </w:r>
      <w:proofErr w:type="spellEnd"/>
      <w:r w:rsidRPr="00050DC5">
        <w:t xml:space="preserve"> </w:t>
      </w:r>
      <w:proofErr w:type="spellStart"/>
      <w:r w:rsidRPr="00050DC5">
        <w:t>thu</w:t>
      </w:r>
      <w:proofErr w:type="spellEnd"/>
      <w:r w:rsidRPr="00050DC5">
        <w:t xml:space="preserve">, </w:t>
      </w:r>
      <w:proofErr w:type="spellStart"/>
      <w:r w:rsidRPr="00050DC5">
        <w:t>trả</w:t>
      </w:r>
      <w:proofErr w:type="spellEnd"/>
      <w:r w:rsidRPr="00050DC5">
        <w:t xml:space="preserve"> </w:t>
      </w:r>
      <w:proofErr w:type="spellStart"/>
      <w:r w:rsidRPr="00050DC5">
        <w:t>lãi</w:t>
      </w:r>
      <w:proofErr w:type="spellEnd"/>
      <w:r w:rsidRPr="00050DC5">
        <w:t xml:space="preserve"> (</w:t>
      </w:r>
      <w:proofErr w:type="spellStart"/>
      <w:r w:rsidRPr="00050DC5">
        <w:t>Quyết</w:t>
      </w:r>
      <w:proofErr w:type="spellEnd"/>
      <w:r w:rsidRPr="00050DC5">
        <w:t xml:space="preserve"> </w:t>
      </w:r>
      <w:proofErr w:type="spellStart"/>
      <w:r w:rsidRPr="00050DC5">
        <w:t>định</w:t>
      </w:r>
      <w:proofErr w:type="spellEnd"/>
      <w:r w:rsidRPr="00050DC5">
        <w:t xml:space="preserve"> 652) </w:t>
      </w:r>
      <w:proofErr w:type="spellStart"/>
      <w:r>
        <w:t>quy</w:t>
      </w:r>
      <w:proofErr w:type="spellEnd"/>
      <w:r>
        <w:t xml:space="preserve"> </w:t>
      </w:r>
      <w:proofErr w:type="spellStart"/>
      <w:r>
        <w:t>định</w:t>
      </w:r>
      <w:proofErr w:type="spellEnd"/>
      <w:r>
        <w:t xml:space="preserve"> </w:t>
      </w:r>
      <w:proofErr w:type="spellStart"/>
      <w:r>
        <w:t>cụ</w:t>
      </w:r>
      <w:proofErr w:type="spellEnd"/>
      <w:r>
        <w:t xml:space="preserve"> </w:t>
      </w:r>
      <w:proofErr w:type="spellStart"/>
      <w:r>
        <w:t>thể</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thức</w:t>
      </w:r>
      <w:proofErr w:type="spellEnd"/>
      <w:r>
        <w:t xml:space="preserve"> </w:t>
      </w:r>
      <w:proofErr w:type="spellStart"/>
      <w:r>
        <w:t>tính</w:t>
      </w:r>
      <w:proofErr w:type="spellEnd"/>
      <w:r>
        <w:t xml:space="preserve"> </w:t>
      </w:r>
      <w:proofErr w:type="spellStart"/>
      <w:r>
        <w:t>lãi</w:t>
      </w:r>
      <w:proofErr w:type="spellEnd"/>
      <w:r>
        <w:t xml:space="preserve"> </w:t>
      </w:r>
      <w:proofErr w:type="spellStart"/>
      <w:r>
        <w:t>của</w:t>
      </w:r>
      <w:proofErr w:type="spellEnd"/>
      <w:r>
        <w:t xml:space="preserve"> </w:t>
      </w:r>
      <w:proofErr w:type="spellStart"/>
      <w:r>
        <w:t>khoản</w:t>
      </w:r>
      <w:proofErr w:type="spellEnd"/>
      <w:r>
        <w:t xml:space="preserve"> </w:t>
      </w:r>
      <w:proofErr w:type="spellStart"/>
      <w:r>
        <w:t>tiền</w:t>
      </w:r>
      <w:proofErr w:type="spellEnd"/>
      <w:r>
        <w:t xml:space="preserve"> </w:t>
      </w:r>
      <w:proofErr w:type="spellStart"/>
      <w:r>
        <w:t>gửi</w:t>
      </w:r>
      <w:proofErr w:type="spellEnd"/>
      <w:r>
        <w:t xml:space="preserve">/ </w:t>
      </w:r>
      <w:proofErr w:type="spellStart"/>
      <w:r>
        <w:t>tiền</w:t>
      </w:r>
      <w:proofErr w:type="spellEnd"/>
      <w:r>
        <w:t xml:space="preserve"> </w:t>
      </w:r>
      <w:proofErr w:type="spellStart"/>
      <w:r>
        <w:t>vay</w:t>
      </w:r>
      <w:proofErr w:type="spellEnd"/>
      <w:r>
        <w:t xml:space="preserve"> </w:t>
      </w:r>
      <w:proofErr w:type="spellStart"/>
      <w:r>
        <w:t>theo</w:t>
      </w:r>
      <w:proofErr w:type="spellEnd"/>
      <w:r>
        <w:t xml:space="preserve"> </w:t>
      </w:r>
      <w:proofErr w:type="spellStart"/>
      <w:r>
        <w:t>tích</w:t>
      </w:r>
      <w:proofErr w:type="spellEnd"/>
      <w:r>
        <w:t xml:space="preserve"> </w:t>
      </w:r>
      <w:proofErr w:type="spellStart"/>
      <w:r>
        <w:t>số</w:t>
      </w:r>
      <w:proofErr w:type="spellEnd"/>
      <w:r>
        <w:t xml:space="preserve"> </w:t>
      </w:r>
      <w:proofErr w:type="spellStart"/>
      <w:r>
        <w:t>và</w:t>
      </w:r>
      <w:proofErr w:type="spellEnd"/>
      <w:r>
        <w:t xml:space="preserve"> </w:t>
      </w:r>
      <w:proofErr w:type="spellStart"/>
      <w:r>
        <w:t>theo</w:t>
      </w:r>
      <w:proofErr w:type="spellEnd"/>
      <w:r>
        <w:t xml:space="preserve"> </w:t>
      </w:r>
      <w:proofErr w:type="spellStart"/>
      <w:r>
        <w:t>món</w:t>
      </w:r>
      <w:proofErr w:type="spellEnd"/>
      <w:r>
        <w:t xml:space="preserve"> </w:t>
      </w:r>
      <w:proofErr w:type="spellStart"/>
      <w:r>
        <w:t>cũng</w:t>
      </w:r>
      <w:proofErr w:type="spellEnd"/>
      <w:r>
        <w:t xml:space="preserve"> </w:t>
      </w:r>
      <w:proofErr w:type="spellStart"/>
      <w:r>
        <w:t>như</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hạch</w:t>
      </w:r>
      <w:proofErr w:type="spellEnd"/>
      <w:r>
        <w:t xml:space="preserve"> </w:t>
      </w:r>
      <w:proofErr w:type="spellStart"/>
      <w:r>
        <w:t>toán</w:t>
      </w:r>
      <w:proofErr w:type="spellEnd"/>
      <w:r>
        <w:t xml:space="preserve">, </w:t>
      </w:r>
      <w:proofErr w:type="spellStart"/>
      <w:r>
        <w:t>bút</w:t>
      </w:r>
      <w:proofErr w:type="spellEnd"/>
      <w:r>
        <w:t xml:space="preserve"> </w:t>
      </w:r>
      <w:proofErr w:type="spellStart"/>
      <w:r>
        <w:t>toán</w:t>
      </w:r>
      <w:proofErr w:type="spellEnd"/>
      <w:r>
        <w:t xml:space="preserve"> </w:t>
      </w:r>
      <w:proofErr w:type="spellStart"/>
      <w:r>
        <w:t>kế</w:t>
      </w:r>
      <w:proofErr w:type="spellEnd"/>
      <w:r>
        <w:t xml:space="preserve"> </w:t>
      </w:r>
      <w:proofErr w:type="spellStart"/>
      <w:r>
        <w:t>toán</w:t>
      </w:r>
      <w:proofErr w:type="spellEnd"/>
      <w:r>
        <w:t xml:space="preserve"> </w:t>
      </w:r>
      <w:proofErr w:type="spellStart"/>
      <w:r>
        <w:t>và</w:t>
      </w:r>
      <w:proofErr w:type="spellEnd"/>
      <w:r>
        <w:t xml:space="preserve"> </w:t>
      </w:r>
      <w:proofErr w:type="spellStart"/>
      <w:r>
        <w:t>chứng</w:t>
      </w:r>
      <w:proofErr w:type="spellEnd"/>
      <w:r>
        <w:t xml:space="preserve"> </w:t>
      </w:r>
      <w:proofErr w:type="spellStart"/>
      <w:r>
        <w:t>từ</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thu</w:t>
      </w:r>
      <w:proofErr w:type="spellEnd"/>
      <w:r>
        <w:t xml:space="preserve">, </w:t>
      </w:r>
      <w:proofErr w:type="spellStart"/>
      <w:r>
        <w:t>trả</w:t>
      </w:r>
      <w:proofErr w:type="spellEnd"/>
      <w:r>
        <w:t xml:space="preserve"> </w:t>
      </w:r>
      <w:proofErr w:type="spellStart"/>
      <w:r>
        <w:t>lãi</w:t>
      </w:r>
      <w:proofErr w:type="spellEnd"/>
      <w:r>
        <w:t xml:space="preserve">. </w:t>
      </w:r>
      <w:proofErr w:type="spellStart"/>
      <w:r>
        <w:t>T</w:t>
      </w:r>
      <w:r w:rsidRPr="00050DC5">
        <w:t>ừ</w:t>
      </w:r>
      <w:proofErr w:type="spellEnd"/>
      <w:r w:rsidRPr="00050DC5">
        <w:t xml:space="preserve"> </w:t>
      </w:r>
      <w:proofErr w:type="spellStart"/>
      <w:r w:rsidRPr="00050DC5">
        <w:t>khi</w:t>
      </w:r>
      <w:proofErr w:type="spellEnd"/>
      <w:r w:rsidRPr="00050DC5">
        <w:t xml:space="preserve"> </w:t>
      </w:r>
      <w:proofErr w:type="spellStart"/>
      <w:r w:rsidRPr="00050DC5">
        <w:t>được</w:t>
      </w:r>
      <w:proofErr w:type="spellEnd"/>
      <w:r w:rsidRPr="00050DC5">
        <w:t xml:space="preserve"> ban </w:t>
      </w:r>
      <w:proofErr w:type="spellStart"/>
      <w:r w:rsidRPr="00050DC5">
        <w:t>hành</w:t>
      </w:r>
      <w:proofErr w:type="spellEnd"/>
      <w:r>
        <w:t xml:space="preserve">, </w:t>
      </w:r>
      <w:proofErr w:type="spellStart"/>
      <w:r>
        <w:t>Quyết</w:t>
      </w:r>
      <w:proofErr w:type="spellEnd"/>
      <w:r>
        <w:t xml:space="preserve"> </w:t>
      </w:r>
      <w:proofErr w:type="spellStart"/>
      <w:r>
        <w:t>định</w:t>
      </w:r>
      <w:proofErr w:type="spellEnd"/>
      <w:r>
        <w:t xml:space="preserve"> 652</w:t>
      </w:r>
      <w:r w:rsidRPr="00050DC5">
        <w:t xml:space="preserve"> </w:t>
      </w:r>
      <w:proofErr w:type="spellStart"/>
      <w:r w:rsidRPr="00050DC5">
        <w:t>đã</w:t>
      </w:r>
      <w:proofErr w:type="spellEnd"/>
      <w:r w:rsidRPr="00050DC5">
        <w:t xml:space="preserve"> </w:t>
      </w:r>
      <w:proofErr w:type="spellStart"/>
      <w:r w:rsidRPr="00050DC5">
        <w:t>tạo</w:t>
      </w:r>
      <w:proofErr w:type="spellEnd"/>
      <w:r w:rsidRPr="00050DC5">
        <w:t xml:space="preserve"> </w:t>
      </w:r>
      <w:proofErr w:type="spellStart"/>
      <w:r w:rsidRPr="00050DC5">
        <w:t>cơ</w:t>
      </w:r>
      <w:proofErr w:type="spellEnd"/>
      <w:r w:rsidRPr="00050DC5">
        <w:t xml:space="preserve"> </w:t>
      </w:r>
      <w:proofErr w:type="spellStart"/>
      <w:r w:rsidRPr="00050DC5">
        <w:t>sở</w:t>
      </w:r>
      <w:proofErr w:type="spellEnd"/>
      <w:r w:rsidRPr="00050DC5">
        <w:t xml:space="preserve"> </w:t>
      </w:r>
      <w:proofErr w:type="spellStart"/>
      <w:r w:rsidRPr="00050DC5">
        <w:t>pháp</w:t>
      </w:r>
      <w:proofErr w:type="spellEnd"/>
      <w:r w:rsidRPr="00050DC5">
        <w:t xml:space="preserve"> </w:t>
      </w:r>
      <w:proofErr w:type="spellStart"/>
      <w:r w:rsidRPr="00050DC5">
        <w:t>lý</w:t>
      </w:r>
      <w:proofErr w:type="spellEnd"/>
      <w:r w:rsidRPr="00050DC5">
        <w:t xml:space="preserve"> </w:t>
      </w:r>
      <w:proofErr w:type="spellStart"/>
      <w:r w:rsidRPr="00050DC5">
        <w:t>để</w:t>
      </w:r>
      <w:proofErr w:type="spellEnd"/>
      <w:r w:rsidRPr="00050DC5">
        <w:t xml:space="preserve"> NHNN, </w:t>
      </w:r>
      <w:proofErr w:type="spellStart"/>
      <w:r w:rsidRPr="00050DC5">
        <w:t>các</w:t>
      </w:r>
      <w:proofErr w:type="spellEnd"/>
      <w:r w:rsidRPr="00050DC5">
        <w:t xml:space="preserve"> TCTD </w:t>
      </w:r>
      <w:proofErr w:type="spellStart"/>
      <w:r w:rsidRPr="00050DC5">
        <w:t>và</w:t>
      </w:r>
      <w:proofErr w:type="spellEnd"/>
      <w:r w:rsidRPr="00050DC5">
        <w:t xml:space="preserve"> </w:t>
      </w:r>
      <w:proofErr w:type="spellStart"/>
      <w:r w:rsidRPr="00050DC5">
        <w:t>các</w:t>
      </w:r>
      <w:proofErr w:type="spellEnd"/>
      <w:r w:rsidRPr="00050DC5">
        <w:t xml:space="preserve"> </w:t>
      </w:r>
      <w:proofErr w:type="spellStart"/>
      <w:r w:rsidRPr="00050DC5">
        <w:t>đối</w:t>
      </w:r>
      <w:proofErr w:type="spellEnd"/>
      <w:r w:rsidRPr="00050DC5">
        <w:t xml:space="preserve"> </w:t>
      </w:r>
      <w:proofErr w:type="spellStart"/>
      <w:r w:rsidRPr="00050DC5">
        <w:t>tượng</w:t>
      </w:r>
      <w:proofErr w:type="spellEnd"/>
      <w:r w:rsidRPr="00050DC5">
        <w:t xml:space="preserve"> </w:t>
      </w:r>
      <w:proofErr w:type="spellStart"/>
      <w:r w:rsidRPr="00050DC5">
        <w:t>trong</w:t>
      </w:r>
      <w:proofErr w:type="spellEnd"/>
      <w:r w:rsidRPr="00050DC5">
        <w:t xml:space="preserve"> </w:t>
      </w:r>
      <w:proofErr w:type="spellStart"/>
      <w:r w:rsidRPr="00050DC5">
        <w:t>nền</w:t>
      </w:r>
      <w:proofErr w:type="spellEnd"/>
      <w:r w:rsidRPr="00050DC5">
        <w:t xml:space="preserve"> </w:t>
      </w:r>
      <w:proofErr w:type="spellStart"/>
      <w:r w:rsidRPr="00050DC5">
        <w:t>kinh</w:t>
      </w:r>
      <w:proofErr w:type="spellEnd"/>
      <w:r w:rsidRPr="00050DC5">
        <w:t xml:space="preserve"> </w:t>
      </w:r>
      <w:proofErr w:type="spellStart"/>
      <w:r w:rsidRPr="00050DC5">
        <w:t>tế</w:t>
      </w:r>
      <w:proofErr w:type="spellEnd"/>
      <w:r w:rsidRPr="00050DC5">
        <w:t xml:space="preserve"> </w:t>
      </w:r>
      <w:proofErr w:type="spellStart"/>
      <w:r>
        <w:t>sử</w:t>
      </w:r>
      <w:proofErr w:type="spellEnd"/>
      <w:r>
        <w:t xml:space="preserve"> </w:t>
      </w:r>
      <w:proofErr w:type="spellStart"/>
      <w:r>
        <w:t>dụng</w:t>
      </w:r>
      <w:proofErr w:type="spellEnd"/>
      <w:r>
        <w:t xml:space="preserve"> </w:t>
      </w:r>
      <w:proofErr w:type="spellStart"/>
      <w:r>
        <w:t>làm</w:t>
      </w:r>
      <w:proofErr w:type="spellEnd"/>
      <w:r>
        <w:t xml:space="preserve"> </w:t>
      </w:r>
      <w:proofErr w:type="spellStart"/>
      <w:r>
        <w:t>căn</w:t>
      </w:r>
      <w:proofErr w:type="spellEnd"/>
      <w:r>
        <w:t xml:space="preserve"> </w:t>
      </w:r>
      <w:proofErr w:type="spellStart"/>
      <w:r>
        <w:t>cứ</w:t>
      </w:r>
      <w:proofErr w:type="spellEnd"/>
      <w:r>
        <w:t xml:space="preserve"> </w:t>
      </w:r>
      <w:proofErr w:type="spellStart"/>
      <w:r>
        <w:t>để</w:t>
      </w:r>
      <w:proofErr w:type="spellEnd"/>
      <w:r>
        <w:t xml:space="preserve"> </w:t>
      </w:r>
      <w:proofErr w:type="spellStart"/>
      <w:r>
        <w:t>tính</w:t>
      </w:r>
      <w:proofErr w:type="spellEnd"/>
      <w:r>
        <w:t xml:space="preserve"> </w:t>
      </w:r>
      <w:proofErr w:type="spellStart"/>
      <w:r>
        <w:t>và</w:t>
      </w:r>
      <w:proofErr w:type="spellEnd"/>
      <w:r>
        <w:t xml:space="preserve"> </w:t>
      </w:r>
      <w:proofErr w:type="spellStart"/>
      <w:r>
        <w:t>hạch</w:t>
      </w:r>
      <w:proofErr w:type="spellEnd"/>
      <w:r>
        <w:t xml:space="preserve"> </w:t>
      </w:r>
      <w:proofErr w:type="spellStart"/>
      <w:r>
        <w:t>toán</w:t>
      </w:r>
      <w:proofErr w:type="spellEnd"/>
      <w:r>
        <w:t xml:space="preserve"> </w:t>
      </w:r>
      <w:proofErr w:type="spellStart"/>
      <w:r>
        <w:t>lãi</w:t>
      </w:r>
      <w:proofErr w:type="spellEnd"/>
      <w:r>
        <w:t xml:space="preserve">. </w:t>
      </w:r>
    </w:p>
    <w:p w:rsidR="008B2FF8" w:rsidRDefault="008B2FF8" w:rsidP="008B2FF8">
      <w:pPr>
        <w:tabs>
          <w:tab w:val="left" w:pos="709"/>
        </w:tabs>
        <w:spacing w:before="120" w:line="252" w:lineRule="auto"/>
        <w:ind w:firstLine="720"/>
        <w:jc w:val="both"/>
      </w:pPr>
      <w:proofErr w:type="spellStart"/>
      <w:r>
        <w:t>Tuy</w:t>
      </w:r>
      <w:proofErr w:type="spellEnd"/>
      <w:r>
        <w:t xml:space="preserve"> </w:t>
      </w:r>
      <w:proofErr w:type="spellStart"/>
      <w:r>
        <w:t>nhiên</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hiện</w:t>
      </w:r>
      <w:proofErr w:type="spellEnd"/>
      <w:r>
        <w:t xml:space="preserve"> </w:t>
      </w:r>
      <w:proofErr w:type="spellStart"/>
      <w:r>
        <w:t>tại</w:t>
      </w:r>
      <w:proofErr w:type="spellEnd"/>
      <w:r>
        <w:t>,</w:t>
      </w:r>
      <w:r w:rsidRPr="006F63B6">
        <w:rPr>
          <w:spacing w:val="-2"/>
          <w:lang w:val="pt-BR"/>
        </w:rPr>
        <w:t xml:space="preserve"> </w:t>
      </w:r>
      <w:r>
        <w:rPr>
          <w:spacing w:val="-2"/>
          <w:lang w:val="pt-BR"/>
        </w:rPr>
        <w:t>một số</w:t>
      </w:r>
      <w:r w:rsidRPr="00E16A30">
        <w:rPr>
          <w:lang w:val="pt-BR"/>
        </w:rPr>
        <w:t xml:space="preserve"> văn bản quy phạm pháp luật</w:t>
      </w:r>
      <w:r>
        <w:rPr>
          <w:lang w:val="pt-BR"/>
        </w:rPr>
        <w:t xml:space="preserve"> </w:t>
      </w:r>
      <w:r>
        <w:rPr>
          <w:spacing w:val="-4"/>
          <w:lang w:val="pt-BR"/>
        </w:rPr>
        <w:t>là căn cứ</w:t>
      </w:r>
      <w:r>
        <w:t xml:space="preserve"> </w:t>
      </w:r>
      <w:proofErr w:type="spellStart"/>
      <w:r>
        <w:t>Quyết</w:t>
      </w:r>
      <w:proofErr w:type="spellEnd"/>
      <w:r>
        <w:t xml:space="preserve"> </w:t>
      </w:r>
      <w:proofErr w:type="spellStart"/>
      <w:r>
        <w:t>định</w:t>
      </w:r>
      <w:proofErr w:type="spellEnd"/>
      <w:r>
        <w:t xml:space="preserve"> 652 </w:t>
      </w:r>
      <w:proofErr w:type="spellStart"/>
      <w:r>
        <w:t>đã</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ban </w:t>
      </w:r>
      <w:proofErr w:type="spellStart"/>
      <w:r>
        <w:t>hành</w:t>
      </w:r>
      <w:proofErr w:type="spellEnd"/>
      <w:r>
        <w:t xml:space="preserve"> </w:t>
      </w:r>
      <w:proofErr w:type="spellStart"/>
      <w:r>
        <w:t>mới</w:t>
      </w:r>
      <w:proofErr w:type="spellEnd"/>
      <w:r>
        <w:t xml:space="preserve"> </w:t>
      </w:r>
      <w:proofErr w:type="spellStart"/>
      <w:r>
        <w:t>như</w:t>
      </w:r>
      <w:proofErr w:type="spellEnd"/>
      <w:r>
        <w:t xml:space="preserve"> </w:t>
      </w:r>
      <w:proofErr w:type="spellStart"/>
      <w:r>
        <w:t>Luật</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Việt</w:t>
      </w:r>
      <w:proofErr w:type="spellEnd"/>
      <w:r>
        <w:t xml:space="preserve"> Nam </w:t>
      </w:r>
      <w:proofErr w:type="spellStart"/>
      <w:r>
        <w:t>đã</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hội</w:t>
      </w:r>
      <w:proofErr w:type="spellEnd"/>
      <w:r>
        <w:t xml:space="preserve"> ban </w:t>
      </w:r>
      <w:proofErr w:type="spellStart"/>
      <w:r>
        <w:t>hành</w:t>
      </w:r>
      <w:proofErr w:type="spellEnd"/>
      <w:r>
        <w:t xml:space="preserve"> </w:t>
      </w:r>
      <w:proofErr w:type="spellStart"/>
      <w:r>
        <w:t>mới</w:t>
      </w:r>
      <w:proofErr w:type="spellEnd"/>
      <w:r>
        <w:t xml:space="preserve"> </w:t>
      </w:r>
      <w:proofErr w:type="spellStart"/>
      <w:r>
        <w:t>vào</w:t>
      </w:r>
      <w:proofErr w:type="spellEnd"/>
      <w:r>
        <w:t xml:space="preserve"> </w:t>
      </w:r>
      <w:proofErr w:type="spellStart"/>
      <w:r>
        <w:t>năm</w:t>
      </w:r>
      <w:proofErr w:type="spellEnd"/>
      <w:r>
        <w:t xml:space="preserve"> 2010 </w:t>
      </w:r>
      <w:proofErr w:type="spellStart"/>
      <w:r>
        <w:t>và</w:t>
      </w:r>
      <w:proofErr w:type="spellEnd"/>
      <w:r>
        <w:t xml:space="preserve"> </w:t>
      </w:r>
      <w:proofErr w:type="spellStart"/>
      <w:r>
        <w:t>Luật</w:t>
      </w:r>
      <w:proofErr w:type="spellEnd"/>
      <w:r>
        <w:t xml:space="preserve"> </w:t>
      </w:r>
      <w:proofErr w:type="spellStart"/>
      <w:r>
        <w:t>Kế</w:t>
      </w:r>
      <w:proofErr w:type="spellEnd"/>
      <w:r>
        <w:t xml:space="preserve"> </w:t>
      </w:r>
      <w:proofErr w:type="spellStart"/>
      <w:r>
        <w:t>toán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hội</w:t>
      </w:r>
      <w:proofErr w:type="spellEnd"/>
      <w:r>
        <w:t xml:space="preserve"> ban </w:t>
      </w:r>
      <w:proofErr w:type="spellStart"/>
      <w:r>
        <w:t>hành</w:t>
      </w:r>
      <w:proofErr w:type="spellEnd"/>
      <w:r>
        <w:t xml:space="preserve"> </w:t>
      </w:r>
      <w:proofErr w:type="spellStart"/>
      <w:r>
        <w:t>mới</w:t>
      </w:r>
      <w:proofErr w:type="spellEnd"/>
      <w:r>
        <w:t xml:space="preserve"> </w:t>
      </w:r>
      <w:proofErr w:type="spellStart"/>
      <w:r>
        <w:t>vào</w:t>
      </w:r>
      <w:proofErr w:type="spellEnd"/>
      <w:r>
        <w:t xml:space="preserve"> </w:t>
      </w:r>
      <w:proofErr w:type="spellStart"/>
      <w:r>
        <w:t>năm</w:t>
      </w:r>
      <w:proofErr w:type="spellEnd"/>
      <w:r>
        <w:t xml:space="preserve"> 2015. </w:t>
      </w:r>
      <w:proofErr w:type="spellStart"/>
      <w:r>
        <w:t>Bên</w:t>
      </w:r>
      <w:proofErr w:type="spellEnd"/>
      <w:r>
        <w:t xml:space="preserve"> </w:t>
      </w:r>
      <w:proofErr w:type="spellStart"/>
      <w:r>
        <w:t>cạnh</w:t>
      </w:r>
      <w:proofErr w:type="spellEnd"/>
      <w:r>
        <w:t xml:space="preserve"> </w:t>
      </w:r>
      <w:proofErr w:type="spellStart"/>
      <w:r>
        <w:t>đó</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Việt</w:t>
      </w:r>
      <w:proofErr w:type="spellEnd"/>
      <w:r>
        <w:t xml:space="preserve"> Nam </w:t>
      </w:r>
      <w:proofErr w:type="spellStart"/>
      <w:r>
        <w:t>được</w:t>
      </w:r>
      <w:proofErr w:type="spellEnd"/>
      <w:r>
        <w:t xml:space="preserve"> ban </w:t>
      </w:r>
      <w:proofErr w:type="spellStart"/>
      <w:r>
        <w:t>hành</w:t>
      </w:r>
      <w:proofErr w:type="spellEnd"/>
      <w:r>
        <w:t xml:space="preserve"> </w:t>
      </w:r>
      <w:proofErr w:type="spellStart"/>
      <w:r>
        <w:t>từ</w:t>
      </w:r>
      <w:proofErr w:type="spellEnd"/>
      <w:r>
        <w:t xml:space="preserve"> </w:t>
      </w:r>
      <w:proofErr w:type="spellStart"/>
      <w:r>
        <w:t>năm</w:t>
      </w:r>
      <w:proofErr w:type="spellEnd"/>
      <w:r>
        <w:t xml:space="preserve"> 2001 </w:t>
      </w:r>
      <w:proofErr w:type="spellStart"/>
      <w:r>
        <w:t>đến</w:t>
      </w:r>
      <w:proofErr w:type="spellEnd"/>
      <w:r>
        <w:t xml:space="preserve"> </w:t>
      </w:r>
      <w:proofErr w:type="spellStart"/>
      <w:r>
        <w:t>năm</w:t>
      </w:r>
      <w:proofErr w:type="spellEnd"/>
      <w:r>
        <w:t xml:space="preserve"> 2005 </w:t>
      </w:r>
      <w:proofErr w:type="spellStart"/>
      <w:r>
        <w:t>và</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sự</w:t>
      </w:r>
      <w:proofErr w:type="spellEnd"/>
      <w:r>
        <w:t xml:space="preserve"> </w:t>
      </w:r>
      <w:proofErr w:type="spellStart"/>
      <w:r>
        <w:t>đã</w:t>
      </w:r>
      <w:proofErr w:type="spellEnd"/>
      <w:r>
        <w:t xml:space="preserve"> </w:t>
      </w:r>
      <w:proofErr w:type="spellStart"/>
      <w:r>
        <w:t>được</w:t>
      </w:r>
      <w:proofErr w:type="spellEnd"/>
      <w:r>
        <w:t xml:space="preserve"> ban </w:t>
      </w:r>
      <w:proofErr w:type="spellStart"/>
      <w:r>
        <w:t>hành</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vào</w:t>
      </w:r>
      <w:proofErr w:type="spellEnd"/>
      <w:r>
        <w:t xml:space="preserve"> </w:t>
      </w:r>
      <w:proofErr w:type="spellStart"/>
      <w:r>
        <w:t>năm</w:t>
      </w:r>
      <w:proofErr w:type="spellEnd"/>
      <w:r>
        <w:t xml:space="preserve"> 2005 </w:t>
      </w:r>
      <w:proofErr w:type="spellStart"/>
      <w:r>
        <w:t>và</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vào</w:t>
      </w:r>
      <w:proofErr w:type="spellEnd"/>
      <w:r>
        <w:t xml:space="preserve"> </w:t>
      </w:r>
      <w:proofErr w:type="spellStart"/>
      <w:r>
        <w:t>năm</w:t>
      </w:r>
      <w:proofErr w:type="spellEnd"/>
      <w:r>
        <w:t xml:space="preserve"> 2015 </w:t>
      </w:r>
      <w:proofErr w:type="spellStart"/>
      <w:r>
        <w:t>đã</w:t>
      </w:r>
      <w:proofErr w:type="spellEnd"/>
      <w:r>
        <w:t xml:space="preserve"> </w:t>
      </w:r>
      <w:proofErr w:type="spellStart"/>
      <w:r>
        <w:t>có</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r>
        <w:rPr>
          <w:spacing w:val="-4"/>
          <w:lang w:val="pt-BR"/>
        </w:rPr>
        <w:t>chi phối</w:t>
      </w:r>
      <w:r>
        <w:t xml:space="preserve"> </w:t>
      </w:r>
      <w:proofErr w:type="spellStart"/>
      <w:r>
        <w:t>nội</w:t>
      </w:r>
      <w:proofErr w:type="spellEnd"/>
      <w:r>
        <w:t xml:space="preserve"> dung </w:t>
      </w:r>
      <w:proofErr w:type="spellStart"/>
      <w:r>
        <w:t>của</w:t>
      </w:r>
      <w:proofErr w:type="spellEnd"/>
      <w:r>
        <w:t xml:space="preserve"> </w:t>
      </w:r>
      <w:proofErr w:type="spellStart"/>
      <w:r>
        <w:t>Quyết</w:t>
      </w:r>
      <w:proofErr w:type="spellEnd"/>
      <w:r>
        <w:t xml:space="preserve"> </w:t>
      </w:r>
      <w:proofErr w:type="spellStart"/>
      <w:r>
        <w:t>định</w:t>
      </w:r>
      <w:proofErr w:type="spellEnd"/>
      <w:r>
        <w:t xml:space="preserve"> 652. </w:t>
      </w:r>
    </w:p>
    <w:p w:rsidR="008B2FF8" w:rsidRDefault="008B2FF8" w:rsidP="008B2FF8">
      <w:pPr>
        <w:spacing w:before="120" w:line="252" w:lineRule="auto"/>
        <w:ind w:firstLine="720"/>
        <w:jc w:val="both"/>
      </w:pPr>
      <w:r w:rsidRPr="00843EED">
        <w:t xml:space="preserve">Theo </w:t>
      </w:r>
      <w:proofErr w:type="spellStart"/>
      <w:r w:rsidRPr="00843EED">
        <w:t>đó</w:t>
      </w:r>
      <w:proofErr w:type="spellEnd"/>
      <w:r w:rsidRPr="00843EED">
        <w:t xml:space="preserve">, </w:t>
      </w:r>
      <w:r w:rsidR="00DE6E5C">
        <w:t xml:space="preserve">NHNN </w:t>
      </w:r>
      <w:proofErr w:type="spellStart"/>
      <w:r w:rsidR="00DE6E5C">
        <w:t>dự</w:t>
      </w:r>
      <w:proofErr w:type="spellEnd"/>
      <w:r w:rsidR="00DE6E5C">
        <w:t xml:space="preserve"> </w:t>
      </w:r>
      <w:proofErr w:type="spellStart"/>
      <w:r w:rsidR="00DE6E5C">
        <w:t>thảo</w:t>
      </w:r>
      <w:proofErr w:type="spellEnd"/>
      <w:r w:rsidR="00DE6E5C">
        <w:t xml:space="preserve"> </w:t>
      </w:r>
      <w:proofErr w:type="spellStart"/>
      <w:r w:rsidRPr="00843EED">
        <w:t>Thông</w:t>
      </w:r>
      <w:proofErr w:type="spellEnd"/>
      <w:r w:rsidRPr="00843EED">
        <w:t xml:space="preserve"> </w:t>
      </w:r>
      <w:proofErr w:type="spellStart"/>
      <w:r w:rsidRPr="00843EED">
        <w:t>tư</w:t>
      </w:r>
      <w:proofErr w:type="spellEnd"/>
      <w:r w:rsidRPr="001821B2">
        <w:t xml:space="preserve"> </w:t>
      </w:r>
      <w:proofErr w:type="spellStart"/>
      <w:r w:rsidRPr="001821B2">
        <w:t>thay</w:t>
      </w:r>
      <w:proofErr w:type="spellEnd"/>
      <w:r w:rsidRPr="001821B2">
        <w:t xml:space="preserve"> </w:t>
      </w:r>
      <w:proofErr w:type="spellStart"/>
      <w:r w:rsidRPr="001821B2">
        <w:t>thế</w:t>
      </w:r>
      <w:proofErr w:type="spellEnd"/>
      <w:r w:rsidRPr="001821B2">
        <w:t xml:space="preserve"> </w:t>
      </w:r>
      <w:proofErr w:type="spellStart"/>
      <w:r>
        <w:t>Q</w:t>
      </w:r>
      <w:r w:rsidRPr="001821B2">
        <w:t>uyết</w:t>
      </w:r>
      <w:proofErr w:type="spellEnd"/>
      <w:r w:rsidRPr="001821B2">
        <w:t xml:space="preserve"> </w:t>
      </w:r>
      <w:proofErr w:type="spellStart"/>
      <w:r w:rsidRPr="001821B2">
        <w:t>định</w:t>
      </w:r>
      <w:proofErr w:type="spellEnd"/>
      <w:r w:rsidRPr="001821B2">
        <w:t xml:space="preserve"> 652 </w:t>
      </w:r>
      <w:proofErr w:type="spellStart"/>
      <w:r>
        <w:t>để</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nhận</w:t>
      </w:r>
      <w:proofErr w:type="spellEnd"/>
      <w:r>
        <w:t xml:space="preserve"> </w:t>
      </w:r>
      <w:proofErr w:type="spellStart"/>
      <w:r>
        <w:t>tiền</w:t>
      </w:r>
      <w:proofErr w:type="spellEnd"/>
      <w:r>
        <w:t xml:space="preserve"> </w:t>
      </w:r>
      <w:proofErr w:type="spellStart"/>
      <w:r>
        <w:t>gửi</w:t>
      </w:r>
      <w:proofErr w:type="spellEnd"/>
      <w:r>
        <w:t xml:space="preserve"> </w:t>
      </w:r>
      <w:proofErr w:type="spellStart"/>
      <w:r>
        <w:t>và</w:t>
      </w:r>
      <w:proofErr w:type="spellEnd"/>
      <w:r>
        <w:t xml:space="preserve"> </w:t>
      </w:r>
      <w:proofErr w:type="spellStart"/>
      <w:r w:rsidR="009237D1">
        <w:t>cấp</w:t>
      </w:r>
      <w:proofErr w:type="spellEnd"/>
      <w:r w:rsidR="009237D1">
        <w:t xml:space="preserve"> </w:t>
      </w:r>
      <w:proofErr w:type="spellStart"/>
      <w:r w:rsidR="009237D1">
        <w:t>tín</w:t>
      </w:r>
      <w:proofErr w:type="spellEnd"/>
      <w:r w:rsidR="009237D1">
        <w:t xml:space="preserve"> </w:t>
      </w:r>
      <w:proofErr w:type="spellStart"/>
      <w:r w:rsidR="009237D1">
        <w:t>dụng</w:t>
      </w:r>
      <w:proofErr w:type="spellEnd"/>
      <w:r>
        <w:t xml:space="preserve"> </w:t>
      </w:r>
      <w:proofErr w:type="spellStart"/>
      <w:r>
        <w:t>giữa</w:t>
      </w:r>
      <w:proofErr w:type="spellEnd"/>
      <w:r>
        <w:t xml:space="preserve"> </w:t>
      </w:r>
      <w:proofErr w:type="spellStart"/>
      <w:r w:rsidR="009237D1">
        <w:t>các</w:t>
      </w:r>
      <w:proofErr w:type="spellEnd"/>
      <w:r w:rsidR="009237D1">
        <w:t xml:space="preserve"> </w:t>
      </w:r>
      <w:proofErr w:type="spellStart"/>
      <w:r w:rsidR="009237D1">
        <w:t>Tổ</w:t>
      </w:r>
      <w:proofErr w:type="spellEnd"/>
      <w:r w:rsidR="009237D1">
        <w:t xml:space="preserve"> </w:t>
      </w:r>
      <w:proofErr w:type="spellStart"/>
      <w:r w:rsidR="009237D1">
        <w:t>chức</w:t>
      </w:r>
      <w:proofErr w:type="spellEnd"/>
      <w:r w:rsidR="009237D1">
        <w:t xml:space="preserve"> </w:t>
      </w:r>
      <w:proofErr w:type="spellStart"/>
      <w:r w:rsidR="009237D1">
        <w:t>tín</w:t>
      </w:r>
      <w:proofErr w:type="spellEnd"/>
      <w:r w:rsidR="009237D1">
        <w:t xml:space="preserve"> </w:t>
      </w:r>
      <w:proofErr w:type="spellStart"/>
      <w:r w:rsidR="009237D1">
        <w:t>dụng</w:t>
      </w:r>
      <w:proofErr w:type="spellEnd"/>
      <w:r w:rsidR="009237D1">
        <w:t xml:space="preserve">, chi </w:t>
      </w:r>
      <w:proofErr w:type="spellStart"/>
      <w:r w:rsidR="009237D1">
        <w:t>nhánh</w:t>
      </w:r>
      <w:proofErr w:type="spellEnd"/>
      <w:r w:rsidR="009237D1">
        <w:t xml:space="preserve"> </w:t>
      </w:r>
      <w:proofErr w:type="spellStart"/>
      <w:r w:rsidR="009237D1">
        <w:t>ngân</w:t>
      </w:r>
      <w:proofErr w:type="spellEnd"/>
      <w:r w:rsidR="009237D1">
        <w:t xml:space="preserve"> </w:t>
      </w:r>
      <w:proofErr w:type="spellStart"/>
      <w:r w:rsidR="009237D1">
        <w:t>hàng</w:t>
      </w:r>
      <w:proofErr w:type="spellEnd"/>
      <w:r w:rsidR="009237D1">
        <w:t xml:space="preserve"> </w:t>
      </w:r>
      <w:proofErr w:type="spellStart"/>
      <w:r w:rsidR="009237D1">
        <w:t>nước</w:t>
      </w:r>
      <w:proofErr w:type="spellEnd"/>
      <w:r w:rsidR="009237D1">
        <w:t xml:space="preserve"> </w:t>
      </w:r>
      <w:proofErr w:type="spellStart"/>
      <w:r w:rsidR="009237D1">
        <w:t>ngoài</w:t>
      </w:r>
      <w:proofErr w:type="spellEnd"/>
      <w:r w:rsidR="009237D1">
        <w:t xml:space="preserve"> (TCTD) </w:t>
      </w:r>
      <w:proofErr w:type="spellStart"/>
      <w:r>
        <w:t>với</w:t>
      </w:r>
      <w:proofErr w:type="spellEnd"/>
      <w:r w:rsidR="009237D1">
        <w:t xml:space="preserve"> </w:t>
      </w:r>
      <w:proofErr w:type="spellStart"/>
      <w:r w:rsidR="009237D1">
        <w:t>khách</w:t>
      </w:r>
      <w:proofErr w:type="spellEnd"/>
      <w:r w:rsidR="009237D1">
        <w:t xml:space="preserve"> </w:t>
      </w:r>
      <w:proofErr w:type="spellStart"/>
      <w:r w:rsidR="009237D1">
        <w:t>hàng</w:t>
      </w:r>
      <w:proofErr w:type="spellEnd"/>
      <w:r w:rsidRPr="001821B2">
        <w:t>.</w:t>
      </w:r>
    </w:p>
    <w:p w:rsidR="004D303F" w:rsidRPr="003263FB" w:rsidRDefault="008B2FF8" w:rsidP="004D303F">
      <w:pPr>
        <w:spacing w:before="120"/>
        <w:ind w:firstLine="720"/>
        <w:jc w:val="both"/>
        <w:rPr>
          <w:b/>
        </w:rPr>
      </w:pPr>
      <w:r w:rsidRPr="00E16A30">
        <w:rPr>
          <w:b/>
          <w:lang w:val="pt-BR"/>
        </w:rPr>
        <w:t>II.</w:t>
      </w:r>
      <w:r w:rsidR="004D303F">
        <w:rPr>
          <w:b/>
        </w:rPr>
        <w:t xml:space="preserve"> </w:t>
      </w:r>
      <w:proofErr w:type="spellStart"/>
      <w:r w:rsidR="00263548">
        <w:rPr>
          <w:b/>
        </w:rPr>
        <w:t>Định</w:t>
      </w:r>
      <w:proofErr w:type="spellEnd"/>
      <w:r w:rsidR="00263548">
        <w:rPr>
          <w:b/>
        </w:rPr>
        <w:t xml:space="preserve"> </w:t>
      </w:r>
      <w:proofErr w:type="spellStart"/>
      <w:r w:rsidR="00263548">
        <w:rPr>
          <w:b/>
        </w:rPr>
        <w:t>hướng</w:t>
      </w:r>
      <w:proofErr w:type="spellEnd"/>
      <w:r w:rsidR="00263548">
        <w:rPr>
          <w:b/>
        </w:rPr>
        <w:t xml:space="preserve"> ban </w:t>
      </w:r>
      <w:proofErr w:type="spellStart"/>
      <w:r w:rsidR="00263548">
        <w:rPr>
          <w:b/>
        </w:rPr>
        <w:t>hành</w:t>
      </w:r>
      <w:proofErr w:type="spellEnd"/>
      <w:r w:rsidR="004D303F">
        <w:rPr>
          <w:b/>
        </w:rPr>
        <w:t xml:space="preserve"> </w:t>
      </w:r>
      <w:proofErr w:type="spellStart"/>
      <w:r w:rsidR="004D303F">
        <w:rPr>
          <w:b/>
        </w:rPr>
        <w:t>Thông</w:t>
      </w:r>
      <w:proofErr w:type="spellEnd"/>
      <w:r w:rsidR="004D303F">
        <w:rPr>
          <w:b/>
        </w:rPr>
        <w:t xml:space="preserve"> </w:t>
      </w:r>
      <w:proofErr w:type="spellStart"/>
      <w:r w:rsidR="004D303F">
        <w:rPr>
          <w:b/>
        </w:rPr>
        <w:t>tư</w:t>
      </w:r>
      <w:proofErr w:type="spellEnd"/>
    </w:p>
    <w:p w:rsidR="004D303F" w:rsidRPr="001665E7" w:rsidRDefault="004D303F" w:rsidP="001665E7">
      <w:pPr>
        <w:pStyle w:val="ListParagraph"/>
        <w:numPr>
          <w:ilvl w:val="0"/>
          <w:numId w:val="2"/>
        </w:numPr>
        <w:tabs>
          <w:tab w:val="left" w:pos="993"/>
        </w:tabs>
        <w:spacing w:before="120"/>
        <w:ind w:hanging="11"/>
        <w:jc w:val="both"/>
        <w:rPr>
          <w:b/>
          <w:lang w:val="pt-BR"/>
        </w:rPr>
      </w:pPr>
      <w:r w:rsidRPr="001665E7">
        <w:rPr>
          <w:b/>
          <w:lang w:val="pt-BR"/>
        </w:rPr>
        <w:t>Giải quyết những nội dung bất cập của 652</w:t>
      </w:r>
    </w:p>
    <w:p w:rsidR="004D303F" w:rsidRPr="00401760" w:rsidRDefault="00A920A0" w:rsidP="00466C0E">
      <w:pPr>
        <w:spacing w:before="120"/>
        <w:ind w:firstLine="709"/>
        <w:jc w:val="both"/>
        <w:rPr>
          <w:lang w:val="vi-VN"/>
        </w:rPr>
      </w:pPr>
      <w:r>
        <w:rPr>
          <w:lang w:val="pt-BR"/>
        </w:rPr>
        <w:t>Hiện nay, việc vướng mắc  trong thực hiện</w:t>
      </w:r>
      <w:r w:rsidR="004D303F" w:rsidRPr="00370D76">
        <w:rPr>
          <w:lang w:val="pt-BR"/>
        </w:rPr>
        <w:t xml:space="preserve"> Quyết định 652</w:t>
      </w:r>
      <w:r w:rsidR="004D303F">
        <w:rPr>
          <w:lang w:val="vi-VN"/>
        </w:rPr>
        <w:t xml:space="preserve"> xoay quanh những vấn đề chính như sau:</w:t>
      </w:r>
    </w:p>
    <w:p w:rsidR="004D303F" w:rsidRPr="00256745" w:rsidRDefault="00256745" w:rsidP="00466C0E">
      <w:pPr>
        <w:spacing w:before="120"/>
        <w:ind w:firstLine="709"/>
        <w:jc w:val="both"/>
        <w:rPr>
          <w:i/>
          <w:lang w:val="vi-VN"/>
        </w:rPr>
      </w:pPr>
      <w:r w:rsidRPr="00256745">
        <w:rPr>
          <w:i/>
          <w:lang w:val="vi-VN"/>
        </w:rPr>
        <w:t>1.1.</w:t>
      </w:r>
      <w:r w:rsidR="004D303F" w:rsidRPr="00256745">
        <w:rPr>
          <w:i/>
          <w:lang w:val="vi-VN"/>
        </w:rPr>
        <w:t xml:space="preserve"> Q</w:t>
      </w:r>
      <w:r w:rsidR="004D303F" w:rsidRPr="00256745">
        <w:rPr>
          <w:i/>
          <w:lang w:val="pt-BR"/>
        </w:rPr>
        <w:t>uy định về số ngày trong một năm tại Quyết định 652 chưa thống nhất với Luật dân sự hiện hành</w:t>
      </w:r>
      <w:r w:rsidR="004D303F" w:rsidRPr="00256745">
        <w:rPr>
          <w:i/>
          <w:lang w:val="vi-VN"/>
        </w:rPr>
        <w:t xml:space="preserve"> và số ngày thực tế trong năm.</w:t>
      </w:r>
    </w:p>
    <w:p w:rsidR="004D303F" w:rsidRPr="003263FB" w:rsidRDefault="004D303F" w:rsidP="00466C0E">
      <w:pPr>
        <w:spacing w:before="120"/>
        <w:ind w:firstLine="709"/>
        <w:jc w:val="both"/>
        <w:rPr>
          <w:lang w:val="vi-VN"/>
        </w:rPr>
      </w:pPr>
      <w:r w:rsidRPr="003263FB">
        <w:rPr>
          <w:lang w:val="vi-VN"/>
        </w:rPr>
        <w:t xml:space="preserve">Cụ thể, </w:t>
      </w:r>
      <w:r w:rsidRPr="00A17819">
        <w:rPr>
          <w:lang w:val="vi-VN"/>
        </w:rPr>
        <w:t>tại Điều 9 Quyết định 652</w:t>
      </w:r>
      <w:r w:rsidRPr="00C30BDF">
        <w:rPr>
          <w:lang w:val="vi-VN"/>
        </w:rPr>
        <w:t xml:space="preserve"> </w:t>
      </w:r>
      <w:r w:rsidRPr="003263FB">
        <w:rPr>
          <w:lang w:val="vi-VN"/>
        </w:rPr>
        <w:t xml:space="preserve">quy định </w:t>
      </w:r>
      <w:r w:rsidR="00FE6213" w:rsidRPr="00A95EBE">
        <w:rPr>
          <w:lang w:val="vi-VN"/>
        </w:rPr>
        <w:t xml:space="preserve">cứng </w:t>
      </w:r>
      <w:r w:rsidRPr="003263FB">
        <w:rPr>
          <w:lang w:val="vi-VN"/>
        </w:rPr>
        <w:t>thời gian chuẩn để tính lãi theo năm được quy ước là “</w:t>
      </w:r>
      <w:r w:rsidRPr="003263FB">
        <w:rPr>
          <w:i/>
          <w:lang w:val="vi-VN"/>
        </w:rPr>
        <w:t>một năm có 360 ngày</w:t>
      </w:r>
      <w:r w:rsidRPr="003263FB">
        <w:rPr>
          <w:lang w:val="vi-VN"/>
        </w:rPr>
        <w:t xml:space="preserve">”. Điểm a khoản 1 </w:t>
      </w:r>
      <w:r w:rsidRPr="00C30BDF">
        <w:rPr>
          <w:lang w:val="vi-VN"/>
        </w:rPr>
        <w:t xml:space="preserve">Điều 146 </w:t>
      </w:r>
      <w:r w:rsidRPr="00B72F39">
        <w:rPr>
          <w:lang w:val="vi-VN"/>
        </w:rPr>
        <w:t>Lu</w:t>
      </w:r>
      <w:r w:rsidRPr="00C30BDF">
        <w:rPr>
          <w:lang w:val="vi-VN"/>
        </w:rPr>
        <w:t>ật Dân sự năm 2015</w:t>
      </w:r>
      <w:r w:rsidRPr="003263FB">
        <w:rPr>
          <w:lang w:val="vi-VN"/>
        </w:rPr>
        <w:t xml:space="preserve"> quy định về </w:t>
      </w:r>
      <w:r w:rsidRPr="00A927B8">
        <w:rPr>
          <w:lang w:val="vi-VN"/>
        </w:rPr>
        <w:t>thời hạn, thời điểm tính thời hạn</w:t>
      </w:r>
      <w:r w:rsidRPr="003263FB">
        <w:rPr>
          <w:lang w:val="vi-VN"/>
        </w:rPr>
        <w:t xml:space="preserve"> </w:t>
      </w:r>
      <w:r w:rsidRPr="00C30BDF">
        <w:rPr>
          <w:lang w:val="vi-VN"/>
        </w:rPr>
        <w:t>“</w:t>
      </w:r>
      <w:r w:rsidRPr="00C30BDF">
        <w:rPr>
          <w:i/>
          <w:lang w:val="vi-VN"/>
        </w:rPr>
        <w:t>một năm là ba trăm sáu mươi lăm ngày</w:t>
      </w:r>
      <w:r w:rsidRPr="00C30BDF">
        <w:rPr>
          <w:lang w:val="vi-VN"/>
        </w:rPr>
        <w:t>”</w:t>
      </w:r>
      <w:r w:rsidRPr="003263FB">
        <w:rPr>
          <w:lang w:val="vi-VN"/>
        </w:rPr>
        <w:t>; Ngày thực tế theo lịch thì trong một năm là 365 ngày hoặc 366 ngày (đối với năm nhu</w:t>
      </w:r>
      <w:r w:rsidRPr="00843EED">
        <w:rPr>
          <w:lang w:val="vi-VN"/>
        </w:rPr>
        <w:t>ận).</w:t>
      </w:r>
    </w:p>
    <w:p w:rsidR="004D303F" w:rsidRPr="00C30BDF" w:rsidRDefault="004D303F" w:rsidP="00466C0E">
      <w:pPr>
        <w:spacing w:before="120"/>
        <w:ind w:firstLine="709"/>
        <w:jc w:val="both"/>
        <w:rPr>
          <w:spacing w:val="-2"/>
          <w:lang w:val="pt-BR"/>
        </w:rPr>
      </w:pPr>
      <w:r w:rsidRPr="003263FB">
        <w:rPr>
          <w:lang w:val="vi-VN"/>
        </w:rPr>
        <w:t xml:space="preserve">Trên thực tế, hoạt động thu, trả lãi từ hoạt động cấp tín dụng và nhận tiền gửi tại các TCTD đang thực hiện không thống nhất, có TCTD thực hiện tính, thu/trả lãi trên số ngày thực tế theo lịch (365 ngày hoặc 366 ngày), nhưng khi quy đổi lãi năm thỏa thuận trên hợp đồng về lãi suất ngày thì tính trên số ngày quy ước là 360 ngày dẫn đến tình trạng </w:t>
      </w:r>
      <w:r w:rsidRPr="00C30BDF">
        <w:rPr>
          <w:spacing w:val="-2"/>
          <w:lang w:val="pt-BR"/>
        </w:rPr>
        <w:t>vướng mắc khó giải quyết</w:t>
      </w:r>
      <w:r>
        <w:rPr>
          <w:spacing w:val="-2"/>
          <w:lang w:val="pt-BR"/>
        </w:rPr>
        <w:t xml:space="preserve"> thậm chí dẫn </w:t>
      </w:r>
      <w:r>
        <w:rPr>
          <w:spacing w:val="-2"/>
          <w:lang w:val="pt-BR"/>
        </w:rPr>
        <w:lastRenderedPageBreak/>
        <w:t>đến khiếu nại kéo dài</w:t>
      </w:r>
      <w:r w:rsidRPr="00C30BDF">
        <w:rPr>
          <w:spacing w:val="-2"/>
          <w:lang w:val="pt-BR"/>
        </w:rPr>
        <w:t xml:space="preserve"> giữa khách hàng và TCTD về </w:t>
      </w:r>
      <w:r>
        <w:rPr>
          <w:spacing w:val="-2"/>
          <w:lang w:val="pt-BR"/>
        </w:rPr>
        <w:t xml:space="preserve">việc áp dụng số ngày trong một năm để tính, </w:t>
      </w:r>
      <w:r w:rsidRPr="00C30BDF">
        <w:rPr>
          <w:lang w:val="vi-VN"/>
        </w:rPr>
        <w:t>thu/trả</w:t>
      </w:r>
      <w:r>
        <w:rPr>
          <w:lang w:val="vi-VN"/>
        </w:rPr>
        <w:t xml:space="preserve"> lãi</w:t>
      </w:r>
      <w:r w:rsidRPr="00C30BDF">
        <w:rPr>
          <w:spacing w:val="-2"/>
          <w:lang w:val="pt-BR"/>
        </w:rPr>
        <w:t>.</w:t>
      </w:r>
    </w:p>
    <w:p w:rsidR="004D303F" w:rsidRPr="00B72F39" w:rsidRDefault="004D303F" w:rsidP="00466C0E">
      <w:pPr>
        <w:spacing w:before="120"/>
        <w:ind w:firstLine="709"/>
        <w:jc w:val="both"/>
        <w:rPr>
          <w:lang w:val="vi-VN"/>
        </w:rPr>
      </w:pPr>
      <w:r w:rsidRPr="003263FB">
        <w:rPr>
          <w:lang w:val="vi-VN"/>
        </w:rPr>
        <w:t xml:space="preserve">Để </w:t>
      </w:r>
      <w:r w:rsidRPr="003263FB">
        <w:rPr>
          <w:lang w:val="pt-BR"/>
        </w:rPr>
        <w:t>t</w:t>
      </w:r>
      <w:r>
        <w:rPr>
          <w:lang w:val="pt-BR"/>
        </w:rPr>
        <w:t xml:space="preserve">uân thủ </w:t>
      </w:r>
      <w:r w:rsidRPr="003263FB">
        <w:rPr>
          <w:lang w:val="vi-VN"/>
        </w:rPr>
        <w:t>quy định tại Luật Dân sự</w:t>
      </w:r>
      <w:r w:rsidRPr="003263FB">
        <w:rPr>
          <w:lang w:val="pt-BR"/>
        </w:rPr>
        <w:t xml:space="preserve"> v</w:t>
      </w:r>
      <w:r>
        <w:rPr>
          <w:lang w:val="pt-BR"/>
        </w:rPr>
        <w:t xml:space="preserve">à phù hợp với ngày thực tế theo lịch, </w:t>
      </w:r>
      <w:r w:rsidRPr="003263FB">
        <w:rPr>
          <w:lang w:val="vi-VN"/>
        </w:rPr>
        <w:t>tại Điều 5 Dự thảo, Khoản 1</w:t>
      </w:r>
      <w:r w:rsidR="009C6B29" w:rsidRPr="009C6B29">
        <w:rPr>
          <w:lang w:val="pt-BR"/>
        </w:rPr>
        <w:t>.</w:t>
      </w:r>
      <w:r w:rsidR="009C6B29">
        <w:rPr>
          <w:lang w:val="pt-BR"/>
        </w:rPr>
        <w:t>1</w:t>
      </w:r>
      <w:r w:rsidRPr="003263FB">
        <w:rPr>
          <w:lang w:val="vi-VN"/>
        </w:rPr>
        <w:t xml:space="preserve"> </w:t>
      </w:r>
      <w:r w:rsidRPr="00B72F39">
        <w:rPr>
          <w:lang w:val="vi-VN"/>
        </w:rPr>
        <w:t>q</w:t>
      </w:r>
      <w:r w:rsidRPr="003263FB">
        <w:rPr>
          <w:lang w:val="vi-VN"/>
        </w:rPr>
        <w:t xml:space="preserve">uy </w:t>
      </w:r>
      <w:r w:rsidRPr="00B72F39">
        <w:rPr>
          <w:lang w:val="vi-VN"/>
        </w:rPr>
        <w:t>đ</w:t>
      </w:r>
      <w:r w:rsidRPr="003263FB">
        <w:rPr>
          <w:lang w:val="vi-VN"/>
        </w:rPr>
        <w:t>ịnh: “</w:t>
      </w:r>
      <w:r w:rsidRPr="003263FB">
        <w:rPr>
          <w:i/>
          <w:lang w:val="vi-VN"/>
        </w:rPr>
        <w:t>Thời gian sử dụng để quy đổi mức lãi suất theo tỷ lệ %/tháng, %/tuần sang mức lãi suất theo tỷ lệ %/ngày; quy đổi mức lãi suất theo tỷ lệ %/ngày sang mức lãi suất theo tỷ lệ %/năm (lãi suất năm) và ngược lại được tính theo quy định tại tiết a, tiết c, tiết đ khoản 1 Điều 146 Luật dân sự.”</w:t>
      </w:r>
      <w:r w:rsidRPr="003263FB">
        <w:rPr>
          <w:lang w:val="vi-VN"/>
        </w:rPr>
        <w:t xml:space="preserve">, Khoản </w:t>
      </w:r>
      <w:r w:rsidR="009C6B29">
        <w:t>1.2</w:t>
      </w:r>
      <w:bookmarkStart w:id="0" w:name="_GoBack"/>
      <w:bookmarkEnd w:id="0"/>
      <w:r w:rsidRPr="003263FB">
        <w:rPr>
          <w:lang w:val="vi-VN"/>
        </w:rPr>
        <w:t xml:space="preserve"> quy định công thức tính lãi có số ngày cơ sở để tính tiền lãi theo lãi suất %/năm là 365.</w:t>
      </w:r>
    </w:p>
    <w:p w:rsidR="004D303F" w:rsidRPr="002D0A2D" w:rsidRDefault="002D0A2D" w:rsidP="00466C0E">
      <w:pPr>
        <w:tabs>
          <w:tab w:val="left" w:pos="2977"/>
        </w:tabs>
        <w:spacing w:before="120"/>
        <w:ind w:firstLine="709"/>
        <w:jc w:val="both"/>
        <w:rPr>
          <w:i/>
          <w:lang w:val="pt-BR"/>
        </w:rPr>
      </w:pPr>
      <w:r w:rsidRPr="002D0A2D">
        <w:rPr>
          <w:i/>
          <w:lang w:val="vi-VN"/>
        </w:rPr>
        <w:t>1.2.</w:t>
      </w:r>
      <w:r w:rsidR="004D303F" w:rsidRPr="002D0A2D">
        <w:rPr>
          <w:i/>
          <w:lang w:val="vi-VN"/>
        </w:rPr>
        <w:t xml:space="preserve"> Q</w:t>
      </w:r>
      <w:r w:rsidR="004D303F" w:rsidRPr="002D0A2D">
        <w:rPr>
          <w:i/>
          <w:lang w:val="pt-BR"/>
        </w:rPr>
        <w:t>uy định hạch toán kế toán quá chi tiết, không còn cần thiết</w:t>
      </w:r>
    </w:p>
    <w:p w:rsidR="004D303F" w:rsidRDefault="004D303F" w:rsidP="00466C0E">
      <w:pPr>
        <w:tabs>
          <w:tab w:val="left" w:pos="2977"/>
        </w:tabs>
        <w:spacing w:before="120"/>
        <w:ind w:firstLine="709"/>
        <w:jc w:val="both"/>
        <w:rPr>
          <w:lang w:val="pt-BR"/>
        </w:rPr>
      </w:pPr>
      <w:r>
        <w:rPr>
          <w:lang w:val="pt-BR"/>
        </w:rPr>
        <w:t xml:space="preserve">Tại Điều 13, Điều 14 Quyết định 652 quy định chi tiết về phương pháp hạch toán và các bút toán chi tiết để hướng dẫn NHNN và các TCTD hạch toán kế toán khi Chuẩn mực kế toán Việt Nam chưa được ban hành. Trong giai đoạn 2001-2005, Bộ Tài chính đã ban hành Chuẩn mực kế toán Việt Nam, trong đó quy định về nguyên tắc cơ sở dồn tích điều chỉnh việc hạch toán dự thu, dự chi lãi, Nghị định và Thông tư quy định </w:t>
      </w:r>
      <w:r w:rsidRPr="00B72F39">
        <w:rPr>
          <w:lang w:val="pt-BR"/>
        </w:rPr>
        <w:t>Chế độ tài chính của TCTD</w:t>
      </w:r>
      <w:r>
        <w:rPr>
          <w:lang w:val="pt-BR"/>
        </w:rPr>
        <w:t xml:space="preserve"> cũng nêu nguyên tắc ghi nhận chi phí lãi, thu nhập lãi</w:t>
      </w:r>
      <w:r w:rsidRPr="003263FB">
        <w:rPr>
          <w:lang w:val="pt-BR"/>
        </w:rPr>
        <w:t>.</w:t>
      </w:r>
      <w:r w:rsidRPr="00B72F39">
        <w:rPr>
          <w:lang w:val="pt-BR"/>
        </w:rPr>
        <w:t xml:space="preserve"> </w:t>
      </w:r>
      <w:r>
        <w:rPr>
          <w:lang w:val="pt-BR"/>
        </w:rPr>
        <w:t>Như vậy, các quy định tại Điều 13, 14 Quyết định 652 không còn cần thiết vì đã được điều chỉnh tại văn bản pháp lý chuyên ngành về kế toán-tài chính.</w:t>
      </w:r>
    </w:p>
    <w:p w:rsidR="004D303F" w:rsidRPr="00C30BDF" w:rsidRDefault="004D303F" w:rsidP="00466C0E">
      <w:pPr>
        <w:tabs>
          <w:tab w:val="left" w:pos="2977"/>
        </w:tabs>
        <w:spacing w:before="120"/>
        <w:ind w:firstLine="709"/>
        <w:jc w:val="both"/>
        <w:rPr>
          <w:lang w:val="vi-VN"/>
        </w:rPr>
      </w:pPr>
      <w:r>
        <w:rPr>
          <w:lang w:val="pt-BR"/>
        </w:rPr>
        <w:t xml:space="preserve">Quy </w:t>
      </w:r>
      <w:r w:rsidRPr="00283BED">
        <w:rPr>
          <w:lang w:val="pt-BR"/>
        </w:rPr>
        <w:t>định về chứng từ thu, trả lãi (Điều 7 và Điều 12 Quyết định 652) phù hợp với đặc thù hoạt động và trình độ công nghệ của NHNN, các TCTD,  tại thời điểm đó. Với sự phát triển và đa dạng hóa sản phẩm dịch vụ của TCTD, cùng với việc ứng dụng phần mềm công nghệ hiện đại vào công tác hạch toán kế toán, Năm 2005, Thống đốc NHNN đã ban hành Quyết định số 1789/2005/QĐ-NHNN về Chế độ chứng từ kế toán ngân hàng quy định đầy đủ nội dung, phương pháp lập, ký, kiểm soát, luân chuyển, quản lý và sử d</w:t>
      </w:r>
      <w:r>
        <w:rPr>
          <w:lang w:val="pt-BR"/>
        </w:rPr>
        <w:t xml:space="preserve">ụng chứng từ kế toán ngân hàng, trong đó đã bao gồm chứng từ thu, trả lãi. Theo đó, </w:t>
      </w:r>
      <w:r w:rsidRPr="00C30BDF">
        <w:rPr>
          <w:lang w:val="pt-BR"/>
        </w:rPr>
        <w:t>Quy định về chứng từ tại Quyết định 652 không còn phù hợp, gây khó khăn cho hoạt động của các TCTD.</w:t>
      </w:r>
    </w:p>
    <w:p w:rsidR="004D303F" w:rsidRPr="003263FB" w:rsidRDefault="004D303F" w:rsidP="00466C0E">
      <w:pPr>
        <w:tabs>
          <w:tab w:val="left" w:pos="2977"/>
        </w:tabs>
        <w:spacing w:before="120"/>
        <w:ind w:firstLine="709"/>
        <w:jc w:val="both"/>
        <w:rPr>
          <w:spacing w:val="2"/>
          <w:lang w:val="pt-BR"/>
        </w:rPr>
      </w:pPr>
      <w:r w:rsidRPr="003263FB">
        <w:rPr>
          <w:spacing w:val="2"/>
          <w:lang w:val="pt-BR"/>
        </w:rPr>
        <w:t xml:space="preserve">Vì vậy, tại dự thảo </w:t>
      </w:r>
      <w:r w:rsidR="00923783">
        <w:rPr>
          <w:spacing w:val="2"/>
          <w:lang w:val="pt-BR"/>
        </w:rPr>
        <w:t>NHNN</w:t>
      </w:r>
      <w:r w:rsidRPr="003263FB">
        <w:rPr>
          <w:spacing w:val="2"/>
          <w:lang w:val="pt-BR"/>
        </w:rPr>
        <w:t xml:space="preserve"> đã thay thế các quy định chi tiết về hạch toán, kế toán và chứng từ bằng quy định chung: việc hạch toán kế toán tiền lãi </w:t>
      </w:r>
      <w:r w:rsidRPr="003263FB">
        <w:rPr>
          <w:i/>
          <w:spacing w:val="2"/>
          <w:lang w:val="pt-BR"/>
        </w:rPr>
        <w:t>“tuân thủ quy định của Pháp luật về kế toán và các quy định khác của Pháp luật có liên quan”.</w:t>
      </w:r>
    </w:p>
    <w:p w:rsidR="004D303F" w:rsidRPr="008A41CE" w:rsidRDefault="008A41CE" w:rsidP="00466C0E">
      <w:pPr>
        <w:tabs>
          <w:tab w:val="left" w:pos="2977"/>
        </w:tabs>
        <w:spacing w:before="120"/>
        <w:ind w:firstLine="709"/>
        <w:jc w:val="both"/>
        <w:rPr>
          <w:i/>
          <w:lang w:val="pt-BR"/>
        </w:rPr>
      </w:pPr>
      <w:r w:rsidRPr="008A41CE">
        <w:rPr>
          <w:i/>
          <w:lang w:val="pt-BR"/>
        </w:rPr>
        <w:t>1.3.</w:t>
      </w:r>
      <w:r w:rsidR="004D303F" w:rsidRPr="008A41CE">
        <w:rPr>
          <w:i/>
          <w:lang w:val="pt-BR"/>
        </w:rPr>
        <w:t xml:space="preserve"> </w:t>
      </w:r>
      <w:r w:rsidR="004D303F" w:rsidRPr="008A41CE">
        <w:rPr>
          <w:i/>
          <w:lang w:val="vi-VN"/>
        </w:rPr>
        <w:t>P</w:t>
      </w:r>
      <w:r w:rsidR="004D303F" w:rsidRPr="008A41CE">
        <w:rPr>
          <w:i/>
          <w:lang w:val="pt-BR"/>
        </w:rPr>
        <w:t>hương pháp tính lãi quy định chưa bao quát được các sản phẩm tín dụng mới</w:t>
      </w:r>
    </w:p>
    <w:p w:rsidR="004D303F" w:rsidRDefault="004D303F" w:rsidP="00466C0E">
      <w:pPr>
        <w:tabs>
          <w:tab w:val="left" w:pos="2977"/>
        </w:tabs>
        <w:spacing w:before="120"/>
        <w:ind w:firstLine="709"/>
        <w:jc w:val="both"/>
        <w:rPr>
          <w:lang w:val="pt-BR"/>
        </w:rPr>
      </w:pPr>
      <w:r>
        <w:rPr>
          <w:lang w:val="pt-BR"/>
        </w:rPr>
        <w:t>Quyết định 652 (Điều 10) chỉ quy định 2 phương pháp tính lãi là tính theo tích số và tính theo món, cả 2 phương pháp này đều tính lãi trên cơ sở</w:t>
      </w:r>
      <w:r w:rsidRPr="00F27C9A">
        <w:rPr>
          <w:lang w:val="pt-BR"/>
        </w:rPr>
        <w:t xml:space="preserve"> </w:t>
      </w:r>
      <w:r>
        <w:rPr>
          <w:lang w:val="pt-BR"/>
        </w:rPr>
        <w:t xml:space="preserve">số dư gốc thực tế. Tuy nhiên, trên thực tế, với sự phát triển của thị trường tài chính trong những năm vừa qua, nhiều sản phẩm tài chính mới đã ra đời, cùng với các cách </w:t>
      </w:r>
      <w:r>
        <w:rPr>
          <w:lang w:val="pt-BR"/>
        </w:rPr>
        <w:lastRenderedPageBreak/>
        <w:t xml:space="preserve">tính lãi khác nhau như: Tính lãi trên cơ sở số dư gốc ban đầu, tính lãi trên số dư gốc thực tế, tính lãi dựa trên chiết khấu dòng tiền,... </w:t>
      </w:r>
    </w:p>
    <w:p w:rsidR="004D303F" w:rsidRDefault="004D303F" w:rsidP="00466C0E">
      <w:pPr>
        <w:tabs>
          <w:tab w:val="left" w:pos="2977"/>
        </w:tabs>
        <w:spacing w:before="120"/>
        <w:ind w:firstLine="709"/>
        <w:jc w:val="both"/>
        <w:rPr>
          <w:lang w:val="pt-BR"/>
        </w:rPr>
      </w:pPr>
      <w:r>
        <w:rPr>
          <w:lang w:val="pt-BR"/>
        </w:rPr>
        <w:t xml:space="preserve">Trong khi đó, các văn bản Luật hiện hành như </w:t>
      </w:r>
      <w:r w:rsidRPr="003263FB">
        <w:rPr>
          <w:lang w:val="pt-BR"/>
        </w:rPr>
        <w:t xml:space="preserve">Luật Dân sự, Luật Tổ chức tín dụng và Luật Ngân hàng </w:t>
      </w:r>
      <w:r>
        <w:rPr>
          <w:lang w:val="pt-BR"/>
        </w:rPr>
        <w:t>N</w:t>
      </w:r>
      <w:r w:rsidRPr="003263FB">
        <w:rPr>
          <w:lang w:val="pt-BR"/>
        </w:rPr>
        <w:t>hà nước đã có quy định cụ thể v</w:t>
      </w:r>
      <w:r w:rsidRPr="00843EED">
        <w:rPr>
          <w:lang w:val="pt-BR"/>
        </w:rPr>
        <w:t>ề lãi suất, mức lãi suất tối đa</w:t>
      </w:r>
      <w:r>
        <w:rPr>
          <w:lang w:val="pt-BR"/>
        </w:rPr>
        <w:t xml:space="preserve"> </w:t>
      </w:r>
      <w:r w:rsidRPr="003263FB">
        <w:rPr>
          <w:lang w:val="pt-BR"/>
        </w:rPr>
        <w:t>mà không có quy định về phương pháp tính lãi</w:t>
      </w:r>
      <w:r>
        <w:rPr>
          <w:lang w:val="pt-BR"/>
        </w:rPr>
        <w:t>, cụ thể:</w:t>
      </w:r>
    </w:p>
    <w:p w:rsidR="004D303F" w:rsidRPr="003263FB" w:rsidRDefault="004D303F" w:rsidP="00466C0E">
      <w:pPr>
        <w:spacing w:before="120"/>
        <w:ind w:firstLine="709"/>
        <w:jc w:val="both"/>
        <w:rPr>
          <w:i/>
          <w:lang w:val="pt-BR"/>
        </w:rPr>
      </w:pPr>
      <w:r w:rsidRPr="003263FB">
        <w:rPr>
          <w:lang w:val="pt-BR"/>
        </w:rPr>
        <w:t>- Bộ Luật dân sự 2015</w:t>
      </w:r>
      <w:r>
        <w:rPr>
          <w:lang w:val="pt-BR"/>
        </w:rPr>
        <w:t xml:space="preserve">, </w:t>
      </w:r>
      <w:r w:rsidRPr="00A17819">
        <w:rPr>
          <w:lang w:val="pt-BR"/>
        </w:rPr>
        <w:t>Điều 468</w:t>
      </w:r>
      <w:r>
        <w:rPr>
          <w:lang w:val="pt-BR"/>
        </w:rPr>
        <w:t xml:space="preserve">, </w:t>
      </w:r>
      <w:r w:rsidRPr="00A17819">
        <w:rPr>
          <w:lang w:val="pt-BR"/>
        </w:rPr>
        <w:t xml:space="preserve">Khoản 1 </w:t>
      </w:r>
      <w:r w:rsidRPr="003263FB">
        <w:rPr>
          <w:lang w:val="pt-BR"/>
        </w:rPr>
        <w:t xml:space="preserve">quy định về lãi suất đối với hợp đồng vay tài sản như sau: </w:t>
      </w:r>
      <w:r w:rsidRPr="003263FB">
        <w:rPr>
          <w:i/>
          <w:lang w:val="pt-BR"/>
        </w:rP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r>
        <w:rPr>
          <w:i/>
          <w:lang w:val="pt-BR"/>
        </w:rPr>
        <w:t xml:space="preserve">; </w:t>
      </w:r>
      <w:r w:rsidRPr="003263FB">
        <w:rPr>
          <w:i/>
          <w:lang w:val="pt-BR"/>
        </w:rPr>
        <w:t>Trường hợp lãi suất theo thỏa thuận vượt quá lãi suất giới hạn được quy định tại khoản này thì mức lãi suất vượt quá không có hiệu lực.”</w:t>
      </w:r>
    </w:p>
    <w:p w:rsidR="004D303F" w:rsidRPr="003263FB" w:rsidRDefault="004D303F" w:rsidP="00466C0E">
      <w:pPr>
        <w:spacing w:before="120"/>
        <w:ind w:firstLine="709"/>
        <w:jc w:val="both"/>
        <w:rPr>
          <w:lang w:val="pt-BR"/>
        </w:rPr>
      </w:pPr>
      <w:r w:rsidRPr="003263FB">
        <w:rPr>
          <w:lang w:val="pt-BR"/>
        </w:rPr>
        <w:t>- Luật các TCTD</w:t>
      </w:r>
      <w:r>
        <w:rPr>
          <w:lang w:val="pt-BR"/>
        </w:rPr>
        <w:t xml:space="preserve">, </w:t>
      </w:r>
      <w:r w:rsidRPr="00A17819">
        <w:rPr>
          <w:lang w:val="pt-BR"/>
        </w:rPr>
        <w:t>Điều 91</w:t>
      </w:r>
      <w:r>
        <w:rPr>
          <w:lang w:val="pt-BR"/>
        </w:rPr>
        <w:t xml:space="preserve">, </w:t>
      </w:r>
      <w:r w:rsidRPr="003263FB">
        <w:rPr>
          <w:lang w:val="pt-BR"/>
        </w:rPr>
        <w:t>Khoản 2</w:t>
      </w:r>
      <w:r>
        <w:rPr>
          <w:lang w:val="pt-BR"/>
        </w:rPr>
        <w:t xml:space="preserve"> &amp;</w:t>
      </w:r>
      <w:r w:rsidRPr="003263FB">
        <w:rPr>
          <w:lang w:val="pt-BR"/>
        </w:rPr>
        <w:t xml:space="preserve"> Khoản 3 quy định:</w:t>
      </w:r>
      <w:r>
        <w:rPr>
          <w:lang w:val="pt-BR"/>
        </w:rPr>
        <w:t xml:space="preserve"> </w:t>
      </w:r>
      <w:r w:rsidRPr="003263FB">
        <w:rPr>
          <w:i/>
          <w:lang w:val="pt-BR"/>
        </w:rPr>
        <w:t>“1. Tổ chức tín dụng được quyền ấn định và phải niêm yết công khai mức lãi suất huy động vốn, mức phí cung ứng dịch vụ trong hoạt động kinh doanh của tổ chức tín dụng; 2. Tổ chức tín dụng và khách hàng có quyền thỏa thuận về lãi suất, phí cấp tín dụng trong hoạt động ngân hàng của tổ chức tín dụng theo quy định của pháp luật.”</w:t>
      </w:r>
    </w:p>
    <w:p w:rsidR="004D303F" w:rsidRDefault="004D303F" w:rsidP="00466C0E">
      <w:pPr>
        <w:spacing w:before="120"/>
        <w:ind w:firstLine="709"/>
        <w:jc w:val="both"/>
        <w:rPr>
          <w:lang w:val="pt-BR"/>
        </w:rPr>
      </w:pPr>
      <w:r w:rsidRPr="003263FB">
        <w:rPr>
          <w:lang w:val="pt-BR"/>
        </w:rPr>
        <w:t>- Luật Ngân hàng Nhà nước Việt Nam</w:t>
      </w:r>
      <w:r>
        <w:rPr>
          <w:lang w:val="pt-BR"/>
        </w:rPr>
        <w:t>,</w:t>
      </w:r>
      <w:r w:rsidRPr="003263FB">
        <w:rPr>
          <w:lang w:val="pt-BR"/>
        </w:rPr>
        <w:t xml:space="preserve"> Điều 12 quy định:</w:t>
      </w:r>
      <w:r>
        <w:rPr>
          <w:lang w:val="pt-BR"/>
        </w:rPr>
        <w:t xml:space="preserve"> </w:t>
      </w:r>
      <w:r w:rsidRPr="003263FB">
        <w:rPr>
          <w:i/>
          <w:lang w:val="pt-BR"/>
        </w:rPr>
        <w:t>“1. Ngân hàng Nhà nước công bố lãi suất tái cấp vốn, lãi suất cơ bản và các loại lãi suất khác để điều hành chính sách tiền tệ, chống cho vay nặng lãi; 2. Trong trường hợp thị trường tiền tệ có diễn biến bất thường, Ngân hàng Nhà nước quy định cơ chế điều hành lãi suất áp dụng trong quan hệ giữa các tổ chức tín dụng với nhau và với khách hàng, các quan hệ tín dụng khác.”</w:t>
      </w:r>
    </w:p>
    <w:p w:rsidR="004D303F" w:rsidRPr="00B72F39" w:rsidRDefault="004D303F" w:rsidP="00466C0E">
      <w:pPr>
        <w:tabs>
          <w:tab w:val="left" w:pos="2977"/>
        </w:tabs>
        <w:spacing w:before="120"/>
        <w:ind w:firstLine="709"/>
        <w:jc w:val="both"/>
        <w:rPr>
          <w:lang w:val="pt-BR"/>
        </w:rPr>
      </w:pPr>
      <w:r>
        <w:rPr>
          <w:lang w:val="pt-BR"/>
        </w:rPr>
        <w:t>Theo đó, để phù hợp với Quy định của pháp luật và phù hợp với thực tế phát triển của thị trường, Dự thảo quy định các bên được phép tự thỏa thuận về l</w:t>
      </w:r>
      <w:r w:rsidRPr="00B72F39">
        <w:rPr>
          <w:lang w:val="pt-BR"/>
        </w:rPr>
        <w:t xml:space="preserve">ãi suất, phương pháp tính và thanh toán lãi </w:t>
      </w:r>
      <w:r w:rsidRPr="00C55EC9">
        <w:rPr>
          <w:lang w:val="pt-BR"/>
        </w:rPr>
        <w:t>trong hợp đồng, phù</w:t>
      </w:r>
      <w:r w:rsidRPr="003263FB">
        <w:rPr>
          <w:lang w:val="pt-BR"/>
        </w:rPr>
        <w:t xml:space="preserve"> hợp với quy định của pháp luật</w:t>
      </w:r>
      <w:r w:rsidRPr="00B72F39">
        <w:rPr>
          <w:lang w:val="pt-BR"/>
        </w:rPr>
        <w:t>.</w:t>
      </w:r>
    </w:p>
    <w:p w:rsidR="004D303F" w:rsidRPr="00466C0E" w:rsidRDefault="004D303F" w:rsidP="004D303F">
      <w:pPr>
        <w:spacing w:before="120"/>
        <w:ind w:firstLine="720"/>
        <w:jc w:val="both"/>
        <w:rPr>
          <w:b/>
          <w:lang w:val="pt-BR"/>
        </w:rPr>
      </w:pPr>
      <w:r w:rsidRPr="00466C0E">
        <w:rPr>
          <w:b/>
          <w:lang w:val="pt-BR"/>
        </w:rPr>
        <w:t xml:space="preserve">2. Tăng cường tính minh bạch </w:t>
      </w:r>
    </w:p>
    <w:p w:rsidR="004D303F" w:rsidRPr="00C30BDF" w:rsidRDefault="004D303F" w:rsidP="004D303F">
      <w:pPr>
        <w:spacing w:before="120"/>
        <w:ind w:firstLine="720"/>
        <w:jc w:val="both"/>
        <w:rPr>
          <w:spacing w:val="-2"/>
          <w:lang w:val="pt-BR"/>
        </w:rPr>
      </w:pPr>
      <w:r>
        <w:rPr>
          <w:lang w:val="pt-BR"/>
        </w:rPr>
        <w:t xml:space="preserve">Thực tế hiện nay, </w:t>
      </w:r>
      <w:r w:rsidRPr="00A17819">
        <w:rPr>
          <w:spacing w:val="-2"/>
          <w:lang w:val="pt-BR"/>
        </w:rPr>
        <w:t>thị trường tài chính</w:t>
      </w:r>
      <w:r>
        <w:rPr>
          <w:spacing w:val="-2"/>
          <w:lang w:val="pt-BR"/>
        </w:rPr>
        <w:t xml:space="preserve"> Việt Nam đang trong quá trình hội nhập và phát triển mạnh mẽ, các TCTD đã và đang cung ứng các sản phẩm tiền gửi/ cấp tín dụng ngày càng đa dạng và phong phú. Đối với các sản phẩm tiền gửi, hầu hết các TCTD đang áp dụng phương pháp tính lãi trên cơ sở số dư tiền gửi thực tế tại ngày tính lãi (thực hiện theo quy định tại Quyết định 652). Đối với </w:t>
      </w:r>
      <w:r w:rsidRPr="00A17819">
        <w:rPr>
          <w:spacing w:val="-2"/>
          <w:lang w:val="pt-BR"/>
        </w:rPr>
        <w:t>các sản phẩm tín dụng</w:t>
      </w:r>
      <w:r>
        <w:rPr>
          <w:spacing w:val="-2"/>
          <w:lang w:val="pt-BR"/>
        </w:rPr>
        <w:t>, tùy theo từng loại sản phẩm, TCTD</w:t>
      </w:r>
      <w:r w:rsidRPr="00A17819">
        <w:rPr>
          <w:spacing w:val="-2"/>
          <w:lang w:val="pt-BR"/>
        </w:rPr>
        <w:t xml:space="preserve"> áp dụng phương pháp tính lãi khác nhau</w:t>
      </w:r>
      <w:r>
        <w:rPr>
          <w:spacing w:val="-2"/>
          <w:lang w:val="pt-BR"/>
        </w:rPr>
        <w:t xml:space="preserve">, </w:t>
      </w:r>
      <w:r w:rsidRPr="00A17819">
        <w:rPr>
          <w:spacing w:val="-2"/>
          <w:lang w:val="pt-BR"/>
        </w:rPr>
        <w:t>phổ biến</w:t>
      </w:r>
      <w:r>
        <w:rPr>
          <w:spacing w:val="-2"/>
          <w:lang w:val="pt-BR"/>
        </w:rPr>
        <w:t xml:space="preserve"> </w:t>
      </w:r>
      <w:r w:rsidRPr="00A17819">
        <w:rPr>
          <w:spacing w:val="-2"/>
          <w:lang w:val="pt-BR"/>
        </w:rPr>
        <w:t>là 2 phương pháp: tính lãi trên dư nợ gốc ban đầu</w:t>
      </w:r>
      <w:r>
        <w:rPr>
          <w:spacing w:val="-2"/>
          <w:lang w:val="pt-BR"/>
        </w:rPr>
        <w:t xml:space="preserve"> </w:t>
      </w:r>
      <w:r w:rsidRPr="00E7573C">
        <w:rPr>
          <w:spacing w:val="-2"/>
          <w:lang w:val="pt-BR"/>
        </w:rPr>
        <w:t>như một số sản phẩm cho vay trả góp, tín dụng tiêu dùng</w:t>
      </w:r>
      <w:r>
        <w:rPr>
          <w:spacing w:val="-2"/>
          <w:lang w:val="pt-BR"/>
        </w:rPr>
        <w:t xml:space="preserve"> </w:t>
      </w:r>
      <w:r w:rsidRPr="00A17819">
        <w:rPr>
          <w:spacing w:val="-2"/>
          <w:lang w:val="pt-BR"/>
        </w:rPr>
        <w:t xml:space="preserve">và </w:t>
      </w:r>
      <w:r>
        <w:rPr>
          <w:spacing w:val="-2"/>
          <w:lang w:val="pt-BR"/>
        </w:rPr>
        <w:t xml:space="preserve">phương pháp </w:t>
      </w:r>
      <w:r w:rsidRPr="00A17819">
        <w:rPr>
          <w:spacing w:val="-2"/>
          <w:lang w:val="pt-BR"/>
        </w:rPr>
        <w:t xml:space="preserve">tính lãi trên dư nợ thực </w:t>
      </w:r>
      <w:r>
        <w:rPr>
          <w:spacing w:val="-2"/>
          <w:lang w:val="pt-BR"/>
        </w:rPr>
        <w:t xml:space="preserve">tế </w:t>
      </w:r>
      <w:r w:rsidRPr="00A17819">
        <w:rPr>
          <w:spacing w:val="-2"/>
          <w:lang w:val="pt-BR"/>
        </w:rPr>
        <w:t xml:space="preserve">làm xuất hiện thực trạng có các sản phẩm tín dụng được công bố cùng mức lãi suất, số tiền vay và thời hạn vay như nhau nhưng thực tế số tiền </w:t>
      </w:r>
      <w:r w:rsidRPr="00A17819">
        <w:rPr>
          <w:spacing w:val="-2"/>
          <w:lang w:val="pt-BR"/>
        </w:rPr>
        <w:lastRenderedPageBreak/>
        <w:t xml:space="preserve">lãi lại </w:t>
      </w:r>
      <w:r>
        <w:rPr>
          <w:spacing w:val="-2"/>
          <w:lang w:val="pt-BR"/>
        </w:rPr>
        <w:t xml:space="preserve">rất </w:t>
      </w:r>
      <w:r w:rsidRPr="00A17819">
        <w:rPr>
          <w:spacing w:val="-2"/>
          <w:lang w:val="pt-BR"/>
        </w:rPr>
        <w:t>khác nhau.</w:t>
      </w:r>
      <w:r w:rsidRPr="00A17819" w:rsidDel="00163D74">
        <w:rPr>
          <w:spacing w:val="-2"/>
          <w:lang w:val="pt-BR"/>
        </w:rPr>
        <w:t xml:space="preserve"> </w:t>
      </w:r>
      <w:r w:rsidRPr="00A17819">
        <w:rPr>
          <w:spacing w:val="-2"/>
          <w:lang w:val="pt-BR"/>
        </w:rPr>
        <w:t>Bên cạnh đó, sự mất cân đối trong thông tin về lãi suất giữa TCTD và khách hàng</w:t>
      </w:r>
      <w:r>
        <w:rPr>
          <w:spacing w:val="-2"/>
          <w:lang w:val="pt-BR"/>
        </w:rPr>
        <w:t xml:space="preserve"> </w:t>
      </w:r>
      <w:r w:rsidRPr="00A17819">
        <w:rPr>
          <w:spacing w:val="-2"/>
          <w:lang w:val="pt-BR"/>
        </w:rPr>
        <w:t>khi tham gia giao dịch trên thị trường tài chính dẫn đến tình trạng vướng mắc giữa khách hàng v</w:t>
      </w:r>
      <w:r>
        <w:rPr>
          <w:spacing w:val="-2"/>
          <w:lang w:val="pt-BR"/>
        </w:rPr>
        <w:t>à TCTD về phương pháp tính lãi.</w:t>
      </w:r>
    </w:p>
    <w:p w:rsidR="004D303F" w:rsidRDefault="00E038B3" w:rsidP="004D303F">
      <w:pPr>
        <w:spacing w:before="120"/>
        <w:ind w:firstLine="720"/>
        <w:jc w:val="both"/>
        <w:rPr>
          <w:lang w:val="pt-BR"/>
        </w:rPr>
      </w:pPr>
      <w:r>
        <w:rPr>
          <w:lang w:val="pt-BR"/>
        </w:rPr>
        <w:t>C</w:t>
      </w:r>
      <w:r w:rsidR="004D303F">
        <w:rPr>
          <w:lang w:val="pt-BR"/>
        </w:rPr>
        <w:t xml:space="preserve">ác nước phát triển như Mỹ và Châu Âu đều có các quy định về minh bạch trong hoạt động cho vay để bảo vệ quyền lợi người tiêu dùng khi vay vốn từ các tổ chức tài chính. Cụ thể, Đạo luật Trung thực trong cho vay (Truth in Lending Act) của Mỹ </w:t>
      </w:r>
      <w:r w:rsidR="004D303F" w:rsidRPr="000139FE">
        <w:rPr>
          <w:lang w:val="pt-BR"/>
        </w:rPr>
        <w:t>ban hành năm 1</w:t>
      </w:r>
      <w:r w:rsidR="004D303F">
        <w:rPr>
          <w:lang w:val="pt-BR"/>
        </w:rPr>
        <w:t>969 và Sắc lệnh của L</w:t>
      </w:r>
      <w:r w:rsidR="004D303F" w:rsidRPr="000139FE">
        <w:rPr>
          <w:lang w:val="pt-BR"/>
        </w:rPr>
        <w:t>iên minh Châu Âu về cấp tín dụng (Consumer Credit Directive 2008/48/EC) ban hành năm 2008 đều quy định</w:t>
      </w:r>
      <w:r w:rsidR="004D303F">
        <w:rPr>
          <w:lang w:val="pt-BR"/>
        </w:rPr>
        <w:t>: B</w:t>
      </w:r>
      <w:r w:rsidR="004D303F" w:rsidRPr="000139FE">
        <w:rPr>
          <w:lang w:val="pt-BR"/>
        </w:rPr>
        <w:t xml:space="preserve">ên cho vay phải cung cấp cho khách hàng thông tin về chi phí tín dụng </w:t>
      </w:r>
      <w:r w:rsidR="004D303F">
        <w:rPr>
          <w:lang w:val="pt-BR"/>
        </w:rPr>
        <w:t>(</w:t>
      </w:r>
      <w:r w:rsidR="004D303F" w:rsidRPr="000139FE">
        <w:rPr>
          <w:lang w:val="pt-BR"/>
        </w:rPr>
        <w:t>được thể hiện dưới hình thức lãi suất % năm</w:t>
      </w:r>
      <w:r w:rsidR="004D303F">
        <w:rPr>
          <w:lang w:val="pt-BR"/>
        </w:rPr>
        <w:t>)</w:t>
      </w:r>
      <w:r w:rsidR="004D303F" w:rsidRPr="000139FE">
        <w:rPr>
          <w:lang w:val="pt-BR"/>
        </w:rPr>
        <w:t xml:space="preserve"> để người tiêu dùng có thể so sánh</w:t>
      </w:r>
      <w:r w:rsidR="004D303F">
        <w:rPr>
          <w:lang w:val="pt-BR"/>
        </w:rPr>
        <w:t xml:space="preserve"> được</w:t>
      </w:r>
      <w:r w:rsidR="004D303F" w:rsidRPr="000139FE">
        <w:rPr>
          <w:lang w:val="pt-BR"/>
        </w:rPr>
        <w:t xml:space="preserve"> các sản phẩm tài chính khác nhau. Đồng thời, </w:t>
      </w:r>
      <w:r w:rsidR="004D303F">
        <w:rPr>
          <w:lang w:val="pt-BR"/>
        </w:rPr>
        <w:t>Sắc lệnh</w:t>
      </w:r>
      <w:r w:rsidR="004D303F" w:rsidRPr="000139FE">
        <w:rPr>
          <w:lang w:val="pt-BR"/>
        </w:rPr>
        <w:t xml:space="preserve"> của </w:t>
      </w:r>
      <w:r w:rsidR="004D303F">
        <w:rPr>
          <w:lang w:val="pt-BR"/>
        </w:rPr>
        <w:t>L</w:t>
      </w:r>
      <w:r w:rsidR="004D303F" w:rsidRPr="000139FE">
        <w:rPr>
          <w:lang w:val="pt-BR"/>
        </w:rPr>
        <w:t>iên minh Châu Âu đưa ra mẫu công bố thông tin tín dụng để các tổ chức tài chính căn cứ để cung cấp thô</w:t>
      </w:r>
      <w:r w:rsidR="004D303F">
        <w:rPr>
          <w:lang w:val="pt-BR"/>
        </w:rPr>
        <w:t>.</w:t>
      </w:r>
      <w:r w:rsidR="004D303F" w:rsidRPr="000139FE">
        <w:rPr>
          <w:lang w:val="pt-BR"/>
        </w:rPr>
        <w:t>ng tin cho khách hàng, trong đó có thông tin về lãi suất theo thỏa thuận trong hợp đồng và chi phí tài chính thể hiện dưới hình thức lãi suất % năm.</w:t>
      </w:r>
    </w:p>
    <w:p w:rsidR="004D303F" w:rsidRDefault="004D303F" w:rsidP="004D303F">
      <w:pPr>
        <w:spacing w:before="180" w:line="252" w:lineRule="auto"/>
        <w:ind w:firstLine="720"/>
        <w:jc w:val="both"/>
        <w:rPr>
          <w:spacing w:val="-2"/>
          <w:lang w:val="nb-NO"/>
        </w:rPr>
      </w:pPr>
      <w:r>
        <w:rPr>
          <w:lang w:val="pt-BR"/>
        </w:rPr>
        <w:t>Nhằm mục đích tăng cường minh bạch trên thị trường tín dụng/ tiền gửi, Điều 5 của dự thảo Thông tư</w:t>
      </w:r>
      <w:r w:rsidRPr="00FB6480">
        <w:rPr>
          <w:spacing w:val="-2"/>
          <w:lang w:val="pt-BR"/>
        </w:rPr>
        <w:t xml:space="preserve"> </w:t>
      </w:r>
      <w:r w:rsidRPr="00A17819">
        <w:rPr>
          <w:spacing w:val="-2"/>
          <w:lang w:val="pt-BR"/>
        </w:rPr>
        <w:t>quy</w:t>
      </w:r>
      <w:r w:rsidR="00AB21E6">
        <w:rPr>
          <w:spacing w:val="-2"/>
          <w:lang w:val="pt-BR"/>
        </w:rPr>
        <w:t xml:space="preserve"> định phương pháp tính lãi </w:t>
      </w:r>
      <w:r w:rsidRPr="00A17819">
        <w:rPr>
          <w:spacing w:val="-2"/>
          <w:lang w:val="pt-BR"/>
        </w:rPr>
        <w:t xml:space="preserve"> trên cơ sở kế thừa quy định tại Quyết định 652 sau khi đã cập nhật quy định tại Luật Dân sự mới năm 2015. Trường hợp hợp đồng gửi tiền/ cấp tín dụng có quy định về phương pháp tính lãi khác với phương pháp tính lãi </w:t>
      </w:r>
      <w:r w:rsidR="00AB21E6">
        <w:rPr>
          <w:spacing w:val="-2"/>
          <w:lang w:val="pt-BR"/>
        </w:rPr>
        <w:t>do NHNN quy định</w:t>
      </w:r>
      <w:r w:rsidRPr="00A17819">
        <w:rPr>
          <w:spacing w:val="-2"/>
          <w:lang w:val="pt-BR"/>
        </w:rPr>
        <w:t>, Thông tư yêu cầu các TCTD phải tính toán quy về mức lãi suất theo phương pháp</w:t>
      </w:r>
      <w:r w:rsidRPr="00A17819">
        <w:rPr>
          <w:spacing w:val="-2"/>
          <w:lang w:val="nb-NO"/>
        </w:rPr>
        <w:t xml:space="preserve"> tính lãi </w:t>
      </w:r>
      <w:r w:rsidR="008D4753">
        <w:rPr>
          <w:spacing w:val="-2"/>
          <w:lang w:val="nb-NO"/>
        </w:rPr>
        <w:t>do NHNN quy định</w:t>
      </w:r>
      <w:r w:rsidRPr="00A17819">
        <w:rPr>
          <w:spacing w:val="-2"/>
          <w:lang w:val="nb-NO"/>
        </w:rPr>
        <w:t xml:space="preserve"> và </w:t>
      </w:r>
      <w:r w:rsidR="00BD7DC2">
        <w:rPr>
          <w:spacing w:val="-2"/>
          <w:lang w:val="pt-BR"/>
        </w:rPr>
        <w:t xml:space="preserve">công bố </w:t>
      </w:r>
      <w:r w:rsidRPr="00A17819">
        <w:rPr>
          <w:spacing w:val="-2"/>
          <w:lang w:val="nb-NO"/>
        </w:rPr>
        <w:t>nhằm đảm bảo minh bạch thông tin, bảo vệ quyền lợi của khách hàng.</w:t>
      </w:r>
    </w:p>
    <w:p w:rsidR="008B2FF8" w:rsidRPr="00E16A30" w:rsidRDefault="004D303F" w:rsidP="004D303F">
      <w:pPr>
        <w:spacing w:before="180" w:line="252" w:lineRule="auto"/>
        <w:ind w:firstLine="720"/>
        <w:jc w:val="both"/>
        <w:rPr>
          <w:spacing w:val="-2"/>
          <w:lang w:val="vi-VN"/>
        </w:rPr>
      </w:pPr>
      <w:r>
        <w:rPr>
          <w:b/>
          <w:lang w:val="pt-BR"/>
        </w:rPr>
        <w:t xml:space="preserve">III. </w:t>
      </w:r>
      <w:r w:rsidR="008B2FF8" w:rsidRPr="00E16A30">
        <w:rPr>
          <w:b/>
          <w:lang w:val="pt-BR"/>
        </w:rPr>
        <w:t>Kết cấu và những nội dung cơ bản của Thông tư</w:t>
      </w:r>
    </w:p>
    <w:p w:rsidR="00A416B0" w:rsidRPr="00A416B0" w:rsidRDefault="00A416B0" w:rsidP="00A416B0">
      <w:pPr>
        <w:spacing w:before="100" w:line="252" w:lineRule="auto"/>
        <w:ind w:firstLine="720"/>
        <w:jc w:val="both"/>
        <w:rPr>
          <w:lang w:val="nl-NL"/>
        </w:rPr>
      </w:pPr>
      <w:r w:rsidRPr="00A416B0">
        <w:rPr>
          <w:lang w:val="nl-NL"/>
        </w:rPr>
        <w:t>Dự thảo gồm có 11 (mười một) Điều, cụ thể:</w:t>
      </w:r>
    </w:p>
    <w:p w:rsidR="00A416B0" w:rsidRPr="00A416B0" w:rsidRDefault="00A416B0" w:rsidP="00A416B0">
      <w:pPr>
        <w:spacing w:before="100" w:line="252" w:lineRule="auto"/>
        <w:ind w:firstLine="720"/>
        <w:jc w:val="both"/>
        <w:rPr>
          <w:lang w:val="nl-NL"/>
        </w:rPr>
      </w:pPr>
      <w:r w:rsidRPr="00A416B0">
        <w:rPr>
          <w:lang w:val="nl-NL"/>
        </w:rPr>
        <w:t>- Điều 1, 2 - Phạm vi điều chỉnh &amp; Đối tượng áp dụng.</w:t>
      </w:r>
    </w:p>
    <w:p w:rsidR="00A416B0" w:rsidRPr="00A416B0" w:rsidRDefault="00A416B0" w:rsidP="00A416B0">
      <w:pPr>
        <w:spacing w:before="100" w:line="252" w:lineRule="auto"/>
        <w:ind w:firstLine="720"/>
        <w:jc w:val="both"/>
        <w:rPr>
          <w:lang w:val="nl-NL"/>
        </w:rPr>
      </w:pPr>
      <w:r w:rsidRPr="00A416B0">
        <w:rPr>
          <w:lang w:val="nl-NL"/>
        </w:rPr>
        <w:t>- Điều 3 - Giải thích từ ngữ: Giới thiệu các khái niệm được sử dụng trong Dự thảo về: số tiền lãi, số dư thực tế, thời gian duy trì số dư thực tế, bên nhận lãi, bên trả lãi, thời hạn tính lãi, kỳ tính lãi.</w:t>
      </w:r>
    </w:p>
    <w:p w:rsidR="00A416B0" w:rsidRPr="00A416B0" w:rsidRDefault="00A416B0" w:rsidP="00A416B0">
      <w:pPr>
        <w:spacing w:before="100" w:line="252" w:lineRule="auto"/>
        <w:ind w:firstLine="720"/>
        <w:jc w:val="both"/>
        <w:rPr>
          <w:lang w:val="nl-NL"/>
        </w:rPr>
      </w:pPr>
      <w:r w:rsidRPr="00A416B0">
        <w:rPr>
          <w:lang w:val="nl-NL"/>
        </w:rPr>
        <w:t>- Điều 4 - Thỏa thuận về tính lãi.</w:t>
      </w:r>
    </w:p>
    <w:p w:rsidR="00A416B0" w:rsidRPr="00A416B0" w:rsidRDefault="00A416B0" w:rsidP="00A416B0">
      <w:pPr>
        <w:spacing w:before="100" w:line="252" w:lineRule="auto"/>
        <w:ind w:firstLine="720"/>
        <w:jc w:val="both"/>
        <w:rPr>
          <w:lang w:val="nl-NL"/>
        </w:rPr>
      </w:pPr>
      <w:r w:rsidRPr="00A416B0">
        <w:rPr>
          <w:lang w:val="nl-NL"/>
        </w:rPr>
        <w:t>- Điều 5 - Minh bạch lãi suất.</w:t>
      </w:r>
    </w:p>
    <w:p w:rsidR="00A416B0" w:rsidRPr="00A416B0" w:rsidRDefault="00A416B0" w:rsidP="00A416B0">
      <w:pPr>
        <w:spacing w:before="100" w:line="252" w:lineRule="auto"/>
        <w:ind w:firstLine="720"/>
        <w:jc w:val="both"/>
        <w:rPr>
          <w:lang w:val="nl-NL"/>
        </w:rPr>
      </w:pPr>
      <w:r w:rsidRPr="00A416B0">
        <w:rPr>
          <w:lang w:val="nl-NL"/>
        </w:rPr>
        <w:t>- Điều 6, 7 - Quyền và trách nhiệm của bên nhận lãi và bên trả lãi.</w:t>
      </w:r>
    </w:p>
    <w:p w:rsidR="00A416B0" w:rsidRPr="00A416B0" w:rsidRDefault="00A416B0" w:rsidP="00A416B0">
      <w:pPr>
        <w:spacing w:before="100" w:line="252" w:lineRule="auto"/>
        <w:ind w:firstLine="720"/>
        <w:jc w:val="both"/>
        <w:rPr>
          <w:lang w:val="nl-NL"/>
        </w:rPr>
      </w:pPr>
      <w:r w:rsidRPr="00A416B0">
        <w:rPr>
          <w:lang w:val="nl-NL"/>
        </w:rPr>
        <w:t>- Điều 8 - Hạch toán kế toán.</w:t>
      </w:r>
    </w:p>
    <w:p w:rsidR="008B2FF8" w:rsidRDefault="00A416B0" w:rsidP="00A416B0">
      <w:pPr>
        <w:spacing w:before="100" w:line="252" w:lineRule="auto"/>
        <w:ind w:firstLine="720"/>
        <w:jc w:val="both"/>
        <w:rPr>
          <w:bCs/>
          <w:color w:val="000000"/>
          <w:spacing w:val="-2"/>
          <w:lang w:val="nb-NO"/>
        </w:rPr>
      </w:pPr>
      <w:r w:rsidRPr="00A416B0">
        <w:rPr>
          <w:lang w:val="nl-NL"/>
        </w:rPr>
        <w:t>- Điều 9, 10 &amp;11 - Trách nhiệm thực hiện, Quy định chuyển tiếp và Tổ chức thi hành.</w:t>
      </w:r>
      <w:r w:rsidR="008B2FF8">
        <w:rPr>
          <w:bCs/>
          <w:color w:val="000000"/>
          <w:spacing w:val="-2"/>
          <w:lang w:val="nb-NO"/>
        </w:rPr>
        <w:t xml:space="preserve">  </w:t>
      </w:r>
    </w:p>
    <w:sectPr w:rsidR="008B2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5FDA"/>
    <w:multiLevelType w:val="hybridMultilevel"/>
    <w:tmpl w:val="1CEE45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42452D7"/>
    <w:multiLevelType w:val="multilevel"/>
    <w:tmpl w:val="9BDE3DFA"/>
    <w:lvl w:ilvl="0">
      <w:start w:val="1"/>
      <w:numFmt w:val="decimal"/>
      <w:lvlText w:val="%1."/>
      <w:lvlJc w:val="left"/>
      <w:pPr>
        <w:ind w:left="2912"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A5"/>
    <w:rsid w:val="000106FF"/>
    <w:rsid w:val="00031E4C"/>
    <w:rsid w:val="000D1829"/>
    <w:rsid w:val="001665E7"/>
    <w:rsid w:val="00254B70"/>
    <w:rsid w:val="00256745"/>
    <w:rsid w:val="00263548"/>
    <w:rsid w:val="002843D8"/>
    <w:rsid w:val="002D0A2D"/>
    <w:rsid w:val="002D42F5"/>
    <w:rsid w:val="00315F26"/>
    <w:rsid w:val="00334D7A"/>
    <w:rsid w:val="00432E7D"/>
    <w:rsid w:val="00466C0E"/>
    <w:rsid w:val="004703A5"/>
    <w:rsid w:val="004A2094"/>
    <w:rsid w:val="004C6D01"/>
    <w:rsid w:val="004D303F"/>
    <w:rsid w:val="004F4CDB"/>
    <w:rsid w:val="00607BC7"/>
    <w:rsid w:val="00680702"/>
    <w:rsid w:val="007821C1"/>
    <w:rsid w:val="0086728F"/>
    <w:rsid w:val="0089076B"/>
    <w:rsid w:val="008A41CE"/>
    <w:rsid w:val="008B2FF8"/>
    <w:rsid w:val="008D4753"/>
    <w:rsid w:val="00923783"/>
    <w:rsid w:val="009237D1"/>
    <w:rsid w:val="00941FC4"/>
    <w:rsid w:val="009654D3"/>
    <w:rsid w:val="0099392B"/>
    <w:rsid w:val="009961DF"/>
    <w:rsid w:val="00997935"/>
    <w:rsid w:val="009A3B79"/>
    <w:rsid w:val="009C6B29"/>
    <w:rsid w:val="00A02361"/>
    <w:rsid w:val="00A416B0"/>
    <w:rsid w:val="00A920A0"/>
    <w:rsid w:val="00A95EBE"/>
    <w:rsid w:val="00AB21E6"/>
    <w:rsid w:val="00AB5848"/>
    <w:rsid w:val="00B316C9"/>
    <w:rsid w:val="00B4368B"/>
    <w:rsid w:val="00B963B6"/>
    <w:rsid w:val="00BC5EF8"/>
    <w:rsid w:val="00BD1CB7"/>
    <w:rsid w:val="00BD7DC2"/>
    <w:rsid w:val="00CF54E4"/>
    <w:rsid w:val="00D05993"/>
    <w:rsid w:val="00D436F5"/>
    <w:rsid w:val="00D45F7A"/>
    <w:rsid w:val="00D54625"/>
    <w:rsid w:val="00D75B48"/>
    <w:rsid w:val="00DE6E5C"/>
    <w:rsid w:val="00E038B3"/>
    <w:rsid w:val="00E40341"/>
    <w:rsid w:val="00E44C4C"/>
    <w:rsid w:val="00E96835"/>
    <w:rsid w:val="00EC1E6F"/>
    <w:rsid w:val="00EE456D"/>
    <w:rsid w:val="00F41380"/>
    <w:rsid w:val="00FE62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F8"/>
    <w:pPr>
      <w:spacing w:after="0" w:line="240" w:lineRule="auto"/>
    </w:pPr>
    <w:rPr>
      <w:rFonts w:ascii="Times New Roman" w:eastAsia="Times New Roman" w:hAnsi="Times New Roman" w:cs="Times New Roman"/>
      <w:sz w:val="28"/>
      <w:szCs w:val="28"/>
      <w:lang w:val="en-US"/>
    </w:rPr>
  </w:style>
  <w:style w:type="paragraph" w:styleId="Heading2">
    <w:name w:val="heading 2"/>
    <w:basedOn w:val="Normal"/>
    <w:next w:val="Normal"/>
    <w:link w:val="Heading2Char"/>
    <w:qFormat/>
    <w:rsid w:val="008B2FF8"/>
    <w:pPr>
      <w:keepNext/>
      <w:tabs>
        <w:tab w:val="center" w:pos="6804"/>
      </w:tabs>
      <w:jc w:val="both"/>
      <w:outlineLvl w:val="1"/>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2FF8"/>
    <w:rPr>
      <w:rFonts w:ascii="Times New Roman" w:eastAsia="Times New Roman" w:hAnsi="Times New Roman" w:cs="Times New Roman"/>
      <w:b/>
      <w:sz w:val="24"/>
      <w:szCs w:val="20"/>
      <w:lang w:val="en-US"/>
    </w:rPr>
  </w:style>
  <w:style w:type="character" w:styleId="CommentReference">
    <w:name w:val="annotation reference"/>
    <w:uiPriority w:val="99"/>
    <w:rsid w:val="008B2FF8"/>
    <w:rPr>
      <w:sz w:val="16"/>
      <w:szCs w:val="16"/>
    </w:rPr>
  </w:style>
  <w:style w:type="paragraph" w:styleId="CommentText">
    <w:name w:val="annotation text"/>
    <w:basedOn w:val="Normal"/>
    <w:link w:val="CommentTextChar"/>
    <w:rsid w:val="008B2FF8"/>
    <w:rPr>
      <w:rFonts w:ascii=".VnTime" w:hAnsi=".VnTime"/>
      <w:sz w:val="20"/>
      <w:szCs w:val="20"/>
      <w:lang w:val="x-none" w:eastAsia="x-none"/>
    </w:rPr>
  </w:style>
  <w:style w:type="character" w:customStyle="1" w:styleId="CommentTextChar">
    <w:name w:val="Comment Text Char"/>
    <w:basedOn w:val="DefaultParagraphFont"/>
    <w:link w:val="CommentText"/>
    <w:rsid w:val="008B2FF8"/>
    <w:rPr>
      <w:rFonts w:ascii=".VnTime" w:eastAsia="Times New Roman" w:hAnsi=".VnTime" w:cs="Times New Roman"/>
      <w:sz w:val="20"/>
      <w:szCs w:val="20"/>
      <w:lang w:val="x-none" w:eastAsia="x-none"/>
    </w:rPr>
  </w:style>
  <w:style w:type="paragraph" w:customStyle="1" w:styleId="abc">
    <w:name w:val="abc"/>
    <w:basedOn w:val="Normal"/>
    <w:rsid w:val="008B2FF8"/>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B2FF8"/>
    <w:rPr>
      <w:rFonts w:ascii="Tahoma" w:hAnsi="Tahoma" w:cs="Tahoma"/>
      <w:sz w:val="16"/>
      <w:szCs w:val="16"/>
    </w:rPr>
  </w:style>
  <w:style w:type="character" w:customStyle="1" w:styleId="BalloonTextChar">
    <w:name w:val="Balloon Text Char"/>
    <w:basedOn w:val="DefaultParagraphFont"/>
    <w:link w:val="BalloonText"/>
    <w:uiPriority w:val="99"/>
    <w:semiHidden/>
    <w:rsid w:val="008B2FF8"/>
    <w:rPr>
      <w:rFonts w:ascii="Tahoma" w:eastAsia="Times New Roman" w:hAnsi="Tahoma" w:cs="Tahoma"/>
      <w:sz w:val="16"/>
      <w:szCs w:val="16"/>
      <w:lang w:val="en-US"/>
    </w:rPr>
  </w:style>
  <w:style w:type="paragraph" w:styleId="ListParagraph">
    <w:name w:val="List Paragraph"/>
    <w:basedOn w:val="Normal"/>
    <w:uiPriority w:val="34"/>
    <w:qFormat/>
    <w:rsid w:val="004D3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F8"/>
    <w:pPr>
      <w:spacing w:after="0" w:line="240" w:lineRule="auto"/>
    </w:pPr>
    <w:rPr>
      <w:rFonts w:ascii="Times New Roman" w:eastAsia="Times New Roman" w:hAnsi="Times New Roman" w:cs="Times New Roman"/>
      <w:sz w:val="28"/>
      <w:szCs w:val="28"/>
      <w:lang w:val="en-US"/>
    </w:rPr>
  </w:style>
  <w:style w:type="paragraph" w:styleId="Heading2">
    <w:name w:val="heading 2"/>
    <w:basedOn w:val="Normal"/>
    <w:next w:val="Normal"/>
    <w:link w:val="Heading2Char"/>
    <w:qFormat/>
    <w:rsid w:val="008B2FF8"/>
    <w:pPr>
      <w:keepNext/>
      <w:tabs>
        <w:tab w:val="center" w:pos="6804"/>
      </w:tabs>
      <w:jc w:val="both"/>
      <w:outlineLvl w:val="1"/>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2FF8"/>
    <w:rPr>
      <w:rFonts w:ascii="Times New Roman" w:eastAsia="Times New Roman" w:hAnsi="Times New Roman" w:cs="Times New Roman"/>
      <w:b/>
      <w:sz w:val="24"/>
      <w:szCs w:val="20"/>
      <w:lang w:val="en-US"/>
    </w:rPr>
  </w:style>
  <w:style w:type="character" w:styleId="CommentReference">
    <w:name w:val="annotation reference"/>
    <w:uiPriority w:val="99"/>
    <w:rsid w:val="008B2FF8"/>
    <w:rPr>
      <w:sz w:val="16"/>
      <w:szCs w:val="16"/>
    </w:rPr>
  </w:style>
  <w:style w:type="paragraph" w:styleId="CommentText">
    <w:name w:val="annotation text"/>
    <w:basedOn w:val="Normal"/>
    <w:link w:val="CommentTextChar"/>
    <w:rsid w:val="008B2FF8"/>
    <w:rPr>
      <w:rFonts w:ascii=".VnTime" w:hAnsi=".VnTime"/>
      <w:sz w:val="20"/>
      <w:szCs w:val="20"/>
      <w:lang w:val="x-none" w:eastAsia="x-none"/>
    </w:rPr>
  </w:style>
  <w:style w:type="character" w:customStyle="1" w:styleId="CommentTextChar">
    <w:name w:val="Comment Text Char"/>
    <w:basedOn w:val="DefaultParagraphFont"/>
    <w:link w:val="CommentText"/>
    <w:rsid w:val="008B2FF8"/>
    <w:rPr>
      <w:rFonts w:ascii=".VnTime" w:eastAsia="Times New Roman" w:hAnsi=".VnTime" w:cs="Times New Roman"/>
      <w:sz w:val="20"/>
      <w:szCs w:val="20"/>
      <w:lang w:val="x-none" w:eastAsia="x-none"/>
    </w:rPr>
  </w:style>
  <w:style w:type="paragraph" w:customStyle="1" w:styleId="abc">
    <w:name w:val="abc"/>
    <w:basedOn w:val="Normal"/>
    <w:rsid w:val="008B2FF8"/>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B2FF8"/>
    <w:rPr>
      <w:rFonts w:ascii="Tahoma" w:hAnsi="Tahoma" w:cs="Tahoma"/>
      <w:sz w:val="16"/>
      <w:szCs w:val="16"/>
    </w:rPr>
  </w:style>
  <w:style w:type="character" w:customStyle="1" w:styleId="BalloonTextChar">
    <w:name w:val="Balloon Text Char"/>
    <w:basedOn w:val="DefaultParagraphFont"/>
    <w:link w:val="BalloonText"/>
    <w:uiPriority w:val="99"/>
    <w:semiHidden/>
    <w:rsid w:val="008B2FF8"/>
    <w:rPr>
      <w:rFonts w:ascii="Tahoma" w:eastAsia="Times New Roman" w:hAnsi="Tahoma" w:cs="Tahoma"/>
      <w:sz w:val="16"/>
      <w:szCs w:val="16"/>
      <w:lang w:val="en-US"/>
    </w:rPr>
  </w:style>
  <w:style w:type="paragraph" w:styleId="ListParagraph">
    <w:name w:val="List Paragraph"/>
    <w:basedOn w:val="Normal"/>
    <w:uiPriority w:val="34"/>
    <w:qFormat/>
    <w:rsid w:val="004D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56A00-E9A4-4706-9B9C-4707EF06C21E}"/>
</file>

<file path=customXml/itemProps2.xml><?xml version="1.0" encoding="utf-8"?>
<ds:datastoreItem xmlns:ds="http://schemas.openxmlformats.org/officeDocument/2006/customXml" ds:itemID="{B032EC82-A672-4C38-8BFF-DF64998976BD}"/>
</file>

<file path=customXml/itemProps3.xml><?xml version="1.0" encoding="utf-8"?>
<ds:datastoreItem xmlns:ds="http://schemas.openxmlformats.org/officeDocument/2006/customXml" ds:itemID="{B3AA5C31-823D-41B4-B004-A802CB347AF3}"/>
</file>

<file path=docProps/app.xml><?xml version="1.0" encoding="utf-8"?>
<Properties xmlns="http://schemas.openxmlformats.org/officeDocument/2006/extended-properties" xmlns:vt="http://schemas.openxmlformats.org/officeDocument/2006/docPropsVTypes">
  <Template>Normal</Template>
  <TotalTime>21</TotalTime>
  <Pages>4</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138</cp:revision>
  <cp:lastPrinted>2016-12-26T07:41:00Z</cp:lastPrinted>
  <dcterms:created xsi:type="dcterms:W3CDTF">2017-03-20T10:36:00Z</dcterms:created>
  <dcterms:modified xsi:type="dcterms:W3CDTF">2017-03-22T04:41:00Z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