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82" w:tblpY="133"/>
        <w:tblW w:w="9039" w:type="dxa"/>
        <w:tblLook w:val="01E0" w:firstRow="1" w:lastRow="1" w:firstColumn="1" w:lastColumn="1" w:noHBand="0" w:noVBand="0"/>
      </w:tblPr>
      <w:tblGrid>
        <w:gridCol w:w="3510"/>
        <w:gridCol w:w="5529"/>
      </w:tblGrid>
      <w:tr w:rsidR="00724C8C" w:rsidRPr="00C46DB1" w:rsidTr="00C93A1D">
        <w:trPr>
          <w:trHeight w:val="853"/>
        </w:trPr>
        <w:tc>
          <w:tcPr>
            <w:tcW w:w="3510" w:type="dxa"/>
          </w:tcPr>
          <w:p w:rsidR="00724C8C" w:rsidRPr="00C46DB1" w:rsidRDefault="00724C8C" w:rsidP="00516445">
            <w:pPr>
              <w:spacing w:after="0" w:line="240" w:lineRule="auto"/>
              <w:jc w:val="center"/>
              <w:rPr>
                <w:b/>
                <w:noProof/>
                <w:sz w:val="24"/>
                <w:szCs w:val="24"/>
                <w:lang w:val="en-GB"/>
              </w:rPr>
            </w:pPr>
            <w:r w:rsidRPr="00C46DB1">
              <w:rPr>
                <w:b/>
                <w:noProof/>
                <w:sz w:val="24"/>
                <w:szCs w:val="24"/>
                <w:lang w:val="en-GB"/>
              </w:rPr>
              <w:t>NGÂN HÀNG NHÀ NƯỚC</w:t>
            </w:r>
          </w:p>
          <w:p w:rsidR="00724C8C" w:rsidRPr="00C46DB1" w:rsidRDefault="00724C8C" w:rsidP="00516445">
            <w:pPr>
              <w:spacing w:after="0" w:line="240" w:lineRule="auto"/>
              <w:jc w:val="center"/>
              <w:rPr>
                <w:b/>
                <w:noProof/>
                <w:sz w:val="24"/>
                <w:szCs w:val="24"/>
                <w:lang w:val="en-GB"/>
              </w:rPr>
            </w:pPr>
            <w:r w:rsidRPr="00C46DB1">
              <w:rPr>
                <w:b/>
                <w:noProof/>
                <w:sz w:val="24"/>
                <w:szCs w:val="24"/>
                <w:lang w:val="en-GB"/>
              </w:rPr>
              <w:t>VIỆT NAM</w:t>
            </w:r>
          </w:p>
          <w:p w:rsidR="00724C8C" w:rsidRPr="00C46DB1" w:rsidRDefault="009C4D3D" w:rsidP="00516445">
            <w:pPr>
              <w:spacing w:after="0" w:line="240" w:lineRule="auto"/>
              <w:jc w:val="center"/>
              <w:rPr>
                <w:noProof/>
                <w:sz w:val="26"/>
                <w:szCs w:val="26"/>
                <w:lang w:val="en-GB"/>
              </w:rPr>
            </w:pPr>
            <w:r>
              <w:rPr>
                <w:noProof/>
                <w:sz w:val="26"/>
                <w:szCs w:val="26"/>
              </w:rPr>
              <w:pict>
                <v:line id="Straight Connector 1" o:spid="_x0000_s1027" style="position:absolute;left:0;text-align:left;z-index:251661312;visibility:visible;mso-wrap-distance-top:-3e-5mm;mso-wrap-distance-bottom:-3e-5mm;mso-width-relative:margin;mso-height-relative:margin" from="53.3pt,2.95pt" to="11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" strokecolor="black [3040]" strokeweight=".5pt">
                  <o:lock v:ext="edit" shapetype="f"/>
                </v:line>
              </w:pict>
            </w:r>
          </w:p>
        </w:tc>
        <w:tc>
          <w:tcPr>
            <w:tcW w:w="5529" w:type="dxa"/>
          </w:tcPr>
          <w:p w:rsidR="00724C8C" w:rsidRPr="00C46DB1" w:rsidRDefault="00724C8C" w:rsidP="00516445">
            <w:pPr>
              <w:spacing w:after="0" w:line="240" w:lineRule="auto"/>
              <w:jc w:val="center"/>
              <w:rPr>
                <w:b/>
                <w:bCs/>
                <w:noProof/>
                <w:sz w:val="24"/>
                <w:szCs w:val="24"/>
                <w:lang w:val="en-GB"/>
              </w:rPr>
            </w:pPr>
            <w:r w:rsidRPr="00C46DB1">
              <w:rPr>
                <w:b/>
                <w:bCs/>
                <w:noProof/>
                <w:sz w:val="24"/>
                <w:szCs w:val="24"/>
                <w:lang w:val="en-GB"/>
              </w:rPr>
              <w:t>CỘNG HOÀ XÃ HỘI CHỦ NGHĨA VIỆT NAM</w:t>
            </w:r>
          </w:p>
          <w:p w:rsidR="00724C8C" w:rsidRPr="00C46DB1" w:rsidRDefault="009C4D3D" w:rsidP="00516445">
            <w:pPr>
              <w:spacing w:after="0" w:line="240" w:lineRule="auto"/>
              <w:jc w:val="center"/>
              <w:rPr>
                <w:b/>
                <w:bCs/>
                <w:noProof/>
                <w:sz w:val="26"/>
                <w:szCs w:val="26"/>
                <w:lang w:val="en-GB"/>
              </w:rPr>
            </w:pPr>
            <w:r>
              <w:rPr>
                <w:noProof/>
                <w:sz w:val="26"/>
                <w:szCs w:val="26"/>
              </w:rPr>
              <w:pict>
                <v:line id="Line 3" o:spid="_x0000_s1026" style="position:absolute;left:0;text-align:left;z-index:251660288;visibility:visible;mso-wrap-distance-top:-1e-4mm;mso-wrap-distance-bottom:-1e-4mm" from="55.95pt,18.35pt" to="211.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" strokeweight=".5pt"/>
              </w:pict>
            </w:r>
            <w:r w:rsidR="00724C8C" w:rsidRPr="00C46DB1">
              <w:rPr>
                <w:b/>
                <w:bCs/>
                <w:noProof/>
                <w:sz w:val="26"/>
                <w:szCs w:val="26"/>
                <w:lang w:val="en-GB"/>
              </w:rPr>
              <w:t>Độc lập- Tự do- Hạnh phúc</w:t>
            </w:r>
          </w:p>
        </w:tc>
      </w:tr>
    </w:tbl>
    <w:p w:rsidR="00724C8C" w:rsidRPr="00C46DB1" w:rsidRDefault="00724C8C" w:rsidP="00516445">
      <w:pPr>
        <w:spacing w:after="0" w:line="240" w:lineRule="auto"/>
      </w:pPr>
    </w:p>
    <w:p w:rsidR="00724C8C" w:rsidRPr="00C46DB1" w:rsidRDefault="00724C8C" w:rsidP="00516445">
      <w:pPr>
        <w:spacing w:after="0" w:line="240" w:lineRule="auto"/>
        <w:jc w:val="center"/>
        <w:rPr>
          <w:b/>
        </w:rPr>
      </w:pPr>
      <w:r w:rsidRPr="00C46DB1">
        <w:rPr>
          <w:b/>
        </w:rPr>
        <w:t>BẢN THUYẾT MINH</w:t>
      </w:r>
    </w:p>
    <w:p w:rsidR="00D0291A" w:rsidRPr="00C46DB1" w:rsidRDefault="009C4D3D" w:rsidP="00516445">
      <w:pPr>
        <w:spacing w:line="240" w:lineRule="auto"/>
        <w:ind w:left="-284" w:right="-29" w:firstLine="284"/>
        <w:jc w:val="center"/>
        <w:rPr>
          <w:b/>
          <w:szCs w:val="28"/>
        </w:rPr>
      </w:pPr>
      <w:r>
        <w:rPr>
          <w:b/>
          <w:noProof/>
        </w:rPr>
        <w:pict>
          <v:shapetype id="_x0000_t32" coordsize="21600,21600" o:spt="32" o:oned="t" path="m,l21600,21600e" filled="f">
            <v:path arrowok="t" fillok="f" o:connecttype="none"/>
            <o:lock v:ext="edit" shapetype="t"/>
          </v:shapetype>
          <v:shape id="_x0000_s1029" type="#_x0000_t32" style="position:absolute;left:0;text-align:left;margin-left:181.15pt;margin-top:36.1pt;width:103.05pt;height:0;z-index:251664384" o:connectortype="straight"/>
        </w:pict>
      </w:r>
      <w:r w:rsidR="00724C8C" w:rsidRPr="00C46DB1">
        <w:rPr>
          <w:b/>
        </w:rPr>
        <w:t xml:space="preserve">Dự thảo Thông tư </w:t>
      </w:r>
      <w:r w:rsidR="00D0291A" w:rsidRPr="00C46DB1">
        <w:rPr>
          <w:b/>
        </w:rPr>
        <w:t>s</w:t>
      </w:r>
      <w:r w:rsidR="00D0291A" w:rsidRPr="00C46DB1">
        <w:rPr>
          <w:b/>
          <w:szCs w:val="28"/>
        </w:rPr>
        <w:t xml:space="preserve">ửa đổi, bổ sung, bãi bỏ một số điều của các Thông tư, văn bản </w:t>
      </w:r>
      <w:r w:rsidR="00D36B5E">
        <w:rPr>
          <w:b/>
          <w:szCs w:val="28"/>
        </w:rPr>
        <w:t>có</w:t>
      </w:r>
      <w:r w:rsidR="00D0291A" w:rsidRPr="00C46DB1">
        <w:rPr>
          <w:b/>
          <w:szCs w:val="28"/>
        </w:rPr>
        <w:t xml:space="preserve"> quy định</w:t>
      </w:r>
      <w:r w:rsidR="00D36B5E">
        <w:rPr>
          <w:b/>
          <w:szCs w:val="28"/>
        </w:rPr>
        <w:t xml:space="preserve"> về</w:t>
      </w:r>
      <w:r w:rsidR="00D0291A" w:rsidRPr="00C46DB1">
        <w:rPr>
          <w:b/>
          <w:szCs w:val="28"/>
        </w:rPr>
        <w:t xml:space="preserve"> chế độ báo cáo định kỳ </w:t>
      </w:r>
    </w:p>
    <w:p w:rsidR="00516445" w:rsidRPr="00C46DB1" w:rsidRDefault="00516445" w:rsidP="00516445">
      <w:pPr>
        <w:spacing w:after="120" w:line="240" w:lineRule="auto"/>
        <w:ind w:firstLine="720"/>
        <w:jc w:val="both"/>
        <w:rPr>
          <w:b/>
        </w:rPr>
      </w:pPr>
    </w:p>
    <w:p w:rsidR="00724C8C" w:rsidRPr="00C46DB1" w:rsidRDefault="00724C8C" w:rsidP="00516445">
      <w:pPr>
        <w:spacing w:after="120" w:line="240" w:lineRule="auto"/>
        <w:ind w:firstLine="720"/>
        <w:jc w:val="both"/>
        <w:rPr>
          <w:b/>
        </w:rPr>
      </w:pPr>
      <w:r w:rsidRPr="00C46DB1">
        <w:rPr>
          <w:b/>
        </w:rPr>
        <w:t>I. Cơ sở đề xuất ban hành Thông tư</w:t>
      </w:r>
    </w:p>
    <w:p w:rsidR="00563B95" w:rsidRPr="00C46DB1" w:rsidRDefault="009173B1" w:rsidP="00516445">
      <w:pPr>
        <w:spacing w:after="120" w:line="240" w:lineRule="auto"/>
        <w:ind w:firstLine="720"/>
        <w:jc w:val="both"/>
      </w:pPr>
      <w:r w:rsidRPr="00C46DB1">
        <w:t>Ngày</w:t>
      </w:r>
      <w:r w:rsidR="00782900" w:rsidRPr="00C46DB1">
        <w:t xml:space="preserve"> 24/04/2017 Th</w:t>
      </w:r>
      <w:r w:rsidR="00563B95" w:rsidRPr="00C46DB1">
        <w:t xml:space="preserve">ủ tướng Chính phủ đã ban hành Quyết </w:t>
      </w:r>
      <w:r w:rsidR="007618FA" w:rsidRPr="00C46DB1">
        <w:t>định 559</w:t>
      </w:r>
      <w:r w:rsidR="00563B95" w:rsidRPr="00C46DB1">
        <w:t>/QĐ-TTg ngày</w:t>
      </w:r>
      <w:r w:rsidR="00782900" w:rsidRPr="00C46DB1">
        <w:t xml:space="preserve"> 24/04/2017</w:t>
      </w:r>
      <w:r w:rsidR="00563B95" w:rsidRPr="00C46DB1">
        <w:t xml:space="preserve"> phê duyệ</w:t>
      </w:r>
      <w:r w:rsidR="007618FA">
        <w:t>t “</w:t>
      </w:r>
      <w:r w:rsidR="00563B95" w:rsidRPr="00C46DB1">
        <w:t xml:space="preserve">Đề án đơn giản hóa chế độ báo cáo trong hoạt động của các cơ quan hành chính nhà nước”.  </w:t>
      </w:r>
      <w:r w:rsidRPr="00C46DB1">
        <w:t>Mục tiêu Đề án nhằm xây dựng Hệ thống báo cáo đồng bộ, thống nhất, kịp thời, phục vụ hiệu quả công tác quan lý, chỉ đạo, điều hành của cơ quan hành chính nhà nước; đồng thời, giảm gánh nặng hành chính trong tuân thủ chế độ báo cáo tại các cơ quan, tiết kiệm thời gian, nhân lực thực hiệ</w:t>
      </w:r>
      <w:r w:rsidR="007618FA">
        <w:t>n,</w:t>
      </w:r>
      <w:bookmarkStart w:id="0" w:name="_GoBack"/>
      <w:bookmarkEnd w:id="0"/>
      <w:r w:rsidRPr="00C46DB1">
        <w:t xml:space="preserve"> loại bỏ các báo cáo, nội dung báo cáo không cần thiết, cắt giảm số lượng, tần suất báo cáo. </w:t>
      </w:r>
      <w:r w:rsidR="00563B95" w:rsidRPr="00C46DB1">
        <w:t>Thực hiện chỉ đạo của Thủ tướng Chính phủ, NHNN đã</w:t>
      </w:r>
      <w:r w:rsidRPr="00C46DB1">
        <w:t xml:space="preserve"> ban hành Quyết định số</w:t>
      </w:r>
      <w:r w:rsidR="00782900" w:rsidRPr="00C46DB1">
        <w:t xml:space="preserve"> 2012/QĐ-NHNN ngày 27/09/2017 Phê duyệt Danh mục chế độ báo cáo định kỳ thuộc phạm vi chức năng quản lý của Ngân hàng Nhà nước Việt Nam</w:t>
      </w:r>
      <w:r w:rsidRPr="00C46DB1">
        <w:t xml:space="preserve"> và </w:t>
      </w:r>
      <w:r w:rsidRPr="00C46DB1">
        <w:rPr>
          <w:szCs w:val="28"/>
          <w:lang w:val="nl-NL"/>
        </w:rPr>
        <w:t>Quyết định số 576/QĐ-NHNN ngày 30/3/2018 phê duyệt nội dung đơn giản hóa chế độ báo cáo định kỳ thuộc phạm vi chức năng quản lý của NHNN.</w:t>
      </w:r>
    </w:p>
    <w:p w:rsidR="00724C8C" w:rsidRPr="00C46DB1" w:rsidRDefault="008448C5" w:rsidP="00516445">
      <w:pPr>
        <w:spacing w:after="120" w:line="240" w:lineRule="auto"/>
        <w:ind w:firstLine="720"/>
        <w:jc w:val="both"/>
        <w:rPr>
          <w:lang w:val="nl-NL"/>
        </w:rPr>
      </w:pPr>
      <w:r w:rsidRPr="00C46DB1">
        <w:rPr>
          <w:szCs w:val="28"/>
          <w:lang w:val="nl-NL"/>
        </w:rPr>
        <w:t xml:space="preserve">Việc ban hành Thông tư </w:t>
      </w:r>
      <w:r w:rsidR="00D0291A" w:rsidRPr="00C46DB1">
        <w:rPr>
          <w:szCs w:val="28"/>
          <w:lang w:val="nl-NL"/>
        </w:rPr>
        <w:t xml:space="preserve">sửa đổi, bổ sung, bãi bỏ một số điều của các Thông tư, văn bản </w:t>
      </w:r>
      <w:r w:rsidR="00BC54BF">
        <w:rPr>
          <w:szCs w:val="28"/>
          <w:lang w:val="nl-NL"/>
        </w:rPr>
        <w:t>có</w:t>
      </w:r>
      <w:r w:rsidR="00D0291A" w:rsidRPr="00C46DB1">
        <w:rPr>
          <w:szCs w:val="28"/>
          <w:lang w:val="nl-NL"/>
        </w:rPr>
        <w:t xml:space="preserve"> quy định chế độ báo cáo định kỳ </w:t>
      </w:r>
      <w:r w:rsidRPr="00C46DB1">
        <w:rPr>
          <w:szCs w:val="28"/>
          <w:lang w:val="nl-NL"/>
        </w:rPr>
        <w:t xml:space="preserve">nhằm thực hiện </w:t>
      </w:r>
      <w:r w:rsidR="009173B1" w:rsidRPr="00C46DB1">
        <w:t>Quyết định  559/QĐ-TTg của Thủ tướng Chính phủ và Quyết định số</w:t>
      </w:r>
      <w:r w:rsidR="00782900" w:rsidRPr="00C46DB1">
        <w:t xml:space="preserve"> </w:t>
      </w:r>
      <w:r w:rsidR="00782900" w:rsidRPr="00C46DB1">
        <w:rPr>
          <w:szCs w:val="28"/>
          <w:lang w:val="nl-NL"/>
        </w:rPr>
        <w:t xml:space="preserve">576/QĐ-NHNN ngày 30/3/2018 </w:t>
      </w:r>
      <w:r w:rsidR="009173B1" w:rsidRPr="00C46DB1">
        <w:t xml:space="preserve">của </w:t>
      </w:r>
      <w:r w:rsidRPr="00C46DB1">
        <w:rPr>
          <w:szCs w:val="28"/>
          <w:lang w:val="nl-NL"/>
        </w:rPr>
        <w:t xml:space="preserve">Thống đốc </w:t>
      </w:r>
      <w:r w:rsidR="009173B1" w:rsidRPr="00C46DB1">
        <w:rPr>
          <w:szCs w:val="28"/>
          <w:lang w:val="nl-NL"/>
        </w:rPr>
        <w:t>NHNN về phê duyệt phương án đơn giản hóa chế độ báo cáo của NHNN.</w:t>
      </w:r>
    </w:p>
    <w:p w:rsidR="00724C8C" w:rsidRPr="00C46DB1" w:rsidRDefault="00724C8C" w:rsidP="00516445">
      <w:pPr>
        <w:spacing w:after="120" w:line="240" w:lineRule="auto"/>
        <w:ind w:firstLine="720"/>
        <w:jc w:val="both"/>
        <w:rPr>
          <w:b/>
          <w:lang w:val="nl-NL"/>
        </w:rPr>
      </w:pPr>
      <w:r w:rsidRPr="00C46DB1">
        <w:rPr>
          <w:b/>
          <w:lang w:val="nl-NL"/>
        </w:rPr>
        <w:t>II. Các nội dung cơ bản của dự thảo Thông tư</w:t>
      </w:r>
    </w:p>
    <w:p w:rsidR="008448C5" w:rsidRPr="00C46DB1" w:rsidRDefault="008448C5" w:rsidP="00516445">
      <w:pPr>
        <w:spacing w:after="120" w:line="240" w:lineRule="auto"/>
        <w:ind w:firstLine="720"/>
        <w:jc w:val="both"/>
        <w:rPr>
          <w:szCs w:val="28"/>
          <w:lang w:val="nl-NL"/>
        </w:rPr>
      </w:pPr>
      <w:r w:rsidRPr="00C46DB1">
        <w:rPr>
          <w:lang w:val="nl-NL"/>
        </w:rPr>
        <w:t>Căn cứ</w:t>
      </w:r>
      <w:r w:rsidR="00563B95" w:rsidRPr="00C46DB1">
        <w:rPr>
          <w:lang w:val="nl-NL"/>
        </w:rPr>
        <w:t xml:space="preserve"> Quyết định của Thống đốc NHNN phê duyệt phương án</w:t>
      </w:r>
      <w:r w:rsidR="00782900" w:rsidRPr="00C46DB1">
        <w:rPr>
          <w:lang w:val="nl-NL"/>
        </w:rPr>
        <w:t xml:space="preserve"> đơn giản hóa </w:t>
      </w:r>
      <w:r w:rsidRPr="00C46DB1">
        <w:rPr>
          <w:lang w:val="nl-NL"/>
        </w:rPr>
        <w:t xml:space="preserve">hệ thống báo cáo định kỳ thuộc phạm vi chức năng quản lý của Ngân hàng Nhà nước Việt Nam, NHNN dự thảo </w:t>
      </w:r>
      <w:r w:rsidR="00D0291A" w:rsidRPr="00C46DB1">
        <w:rPr>
          <w:szCs w:val="28"/>
          <w:lang w:val="nl-NL"/>
        </w:rPr>
        <w:t xml:space="preserve">Thông tư sửa đổi, bổ sung, bãi bỏ một số điều của các Thông tư, văn bản </w:t>
      </w:r>
      <w:r w:rsidR="00BC54BF">
        <w:rPr>
          <w:szCs w:val="28"/>
          <w:lang w:val="nl-NL"/>
        </w:rPr>
        <w:t>có</w:t>
      </w:r>
      <w:r w:rsidR="00D0291A" w:rsidRPr="00C46DB1">
        <w:rPr>
          <w:szCs w:val="28"/>
          <w:lang w:val="nl-NL"/>
        </w:rPr>
        <w:t xml:space="preserve"> quy định</w:t>
      </w:r>
      <w:r w:rsidR="00BC54BF">
        <w:rPr>
          <w:szCs w:val="28"/>
          <w:lang w:val="nl-NL"/>
        </w:rPr>
        <w:t xml:space="preserve"> về</w:t>
      </w:r>
      <w:r w:rsidR="00D0291A" w:rsidRPr="00C46DB1">
        <w:rPr>
          <w:szCs w:val="28"/>
          <w:lang w:val="nl-NL"/>
        </w:rPr>
        <w:t xml:space="preserve"> chế độ báo cáo định kỳ</w:t>
      </w:r>
      <w:r w:rsidR="009173B1" w:rsidRPr="00C46DB1">
        <w:rPr>
          <w:i/>
          <w:szCs w:val="28"/>
          <w:lang w:val="nl-NL"/>
        </w:rPr>
        <w:t>,</w:t>
      </w:r>
      <w:r w:rsidRPr="00C46DB1">
        <w:rPr>
          <w:szCs w:val="28"/>
          <w:lang w:val="nl-NL"/>
        </w:rPr>
        <w:t xml:space="preserve"> như sau:</w:t>
      </w:r>
    </w:p>
    <w:p w:rsidR="00563B95" w:rsidRPr="00C46DB1" w:rsidRDefault="00563B95" w:rsidP="00516445">
      <w:pPr>
        <w:spacing w:before="120" w:after="120" w:line="240" w:lineRule="auto"/>
        <w:ind w:firstLine="709"/>
        <w:jc w:val="both"/>
        <w:rPr>
          <w:b/>
          <w:noProof/>
          <w:lang w:val="sv-SE"/>
        </w:rPr>
      </w:pPr>
      <w:r w:rsidRPr="00C46DB1">
        <w:rPr>
          <w:b/>
          <w:noProof/>
          <w:lang w:val="sv-SE"/>
        </w:rPr>
        <w:t xml:space="preserve">1. </w:t>
      </w:r>
      <w:r w:rsidR="00516445" w:rsidRPr="00C46DB1">
        <w:rPr>
          <w:b/>
          <w:noProof/>
          <w:lang w:val="sv-SE"/>
        </w:rPr>
        <w:t>B</w:t>
      </w:r>
      <w:r w:rsidRPr="00C46DB1">
        <w:rPr>
          <w:b/>
          <w:noProof/>
          <w:lang w:val="sv-SE"/>
        </w:rPr>
        <w:t xml:space="preserve">ố cục dự thảo: </w:t>
      </w:r>
    </w:p>
    <w:p w:rsidR="00D0291A" w:rsidRPr="00C46DB1" w:rsidRDefault="00D0291A" w:rsidP="00516445">
      <w:pPr>
        <w:spacing w:before="120" w:after="120" w:line="240" w:lineRule="auto"/>
        <w:ind w:firstLine="709"/>
        <w:jc w:val="both"/>
        <w:rPr>
          <w:lang w:val="sv-SE"/>
        </w:rPr>
      </w:pPr>
      <w:r w:rsidRPr="00C46DB1">
        <w:rPr>
          <w:lang w:val="sv-SE"/>
        </w:rPr>
        <w:t xml:space="preserve">- </w:t>
      </w:r>
      <w:r w:rsidR="00563B95" w:rsidRPr="00C46DB1">
        <w:rPr>
          <w:lang w:val="sv-SE"/>
        </w:rPr>
        <w:t>Dự thảo Thông tư được xây dựng trên nguyên tắc một văn bản sửa nhiều văn bả</w:t>
      </w:r>
      <w:r w:rsidRPr="00C46DB1">
        <w:rPr>
          <w:lang w:val="sv-SE"/>
        </w:rPr>
        <w:t xml:space="preserve">n (các văn bản được sửa đổi, bổ sung, bao gồm </w:t>
      </w:r>
      <w:r w:rsidR="00C46DB1">
        <w:rPr>
          <w:lang w:val="sv-SE"/>
        </w:rPr>
        <w:t>8 thông tư, 1</w:t>
      </w:r>
      <w:r w:rsidRPr="00C46DB1">
        <w:rPr>
          <w:lang w:val="sv-SE"/>
        </w:rPr>
        <w:t xml:space="preserve"> quyết định, 1 Chỉ thị).</w:t>
      </w:r>
    </w:p>
    <w:p w:rsidR="00563B95" w:rsidRPr="00C46DB1" w:rsidRDefault="00563B95" w:rsidP="00516445">
      <w:pPr>
        <w:spacing w:before="120" w:after="120" w:line="240" w:lineRule="auto"/>
        <w:ind w:firstLine="709"/>
        <w:jc w:val="both"/>
        <w:rPr>
          <w:lang w:val="sv-SE"/>
        </w:rPr>
      </w:pPr>
      <w:r w:rsidRPr="00C46DB1">
        <w:rPr>
          <w:lang w:val="sv-SE"/>
        </w:rPr>
        <w:t xml:space="preserve"> </w:t>
      </w:r>
      <w:r w:rsidR="00D0291A" w:rsidRPr="00C46DB1">
        <w:rPr>
          <w:lang w:val="sv-SE"/>
        </w:rPr>
        <w:t>- D</w:t>
      </w:r>
      <w:r w:rsidRPr="00C46DB1">
        <w:rPr>
          <w:lang w:val="sv-SE"/>
        </w:rPr>
        <w:t xml:space="preserve">ự thảo Thông tư gồm </w:t>
      </w:r>
      <w:r w:rsidR="00C46DB1">
        <w:rPr>
          <w:lang w:val="sv-SE"/>
        </w:rPr>
        <w:t>3</w:t>
      </w:r>
      <w:r w:rsidR="00782900" w:rsidRPr="00C46DB1">
        <w:rPr>
          <w:lang w:val="sv-SE"/>
        </w:rPr>
        <w:t xml:space="preserve"> </w:t>
      </w:r>
      <w:r w:rsidRPr="00C46DB1">
        <w:rPr>
          <w:lang w:val="sv-SE"/>
        </w:rPr>
        <w:t>Điều, cụ thể gồm:</w:t>
      </w:r>
    </w:p>
    <w:p w:rsidR="00C46DB1" w:rsidRDefault="00C46DB1" w:rsidP="00516445">
      <w:pPr>
        <w:spacing w:after="120" w:line="240" w:lineRule="auto"/>
        <w:ind w:firstLine="720"/>
        <w:jc w:val="both"/>
        <w:rPr>
          <w:color w:val="1D1B11" w:themeColor="background2" w:themeShade="1A"/>
          <w:szCs w:val="28"/>
          <w:lang w:val="nl-NL"/>
        </w:rPr>
      </w:pPr>
      <w:r>
        <w:rPr>
          <w:color w:val="1D1B11" w:themeColor="background2" w:themeShade="1A"/>
          <w:szCs w:val="28"/>
          <w:lang w:val="nl-NL"/>
        </w:rPr>
        <w:t xml:space="preserve">+ Điều 1 gồm 10 khoản về bãi bỏ, sửa đổi, bổ sung các Thông tư, văn bản quy định chế độ báo cáo; </w:t>
      </w:r>
    </w:p>
    <w:p w:rsidR="00C46DB1" w:rsidRDefault="00C46DB1" w:rsidP="00516445">
      <w:pPr>
        <w:spacing w:after="120" w:line="240" w:lineRule="auto"/>
        <w:ind w:firstLine="720"/>
        <w:jc w:val="both"/>
        <w:rPr>
          <w:color w:val="1D1B11" w:themeColor="background2" w:themeShade="1A"/>
          <w:szCs w:val="28"/>
          <w:lang w:val="nl-NL"/>
        </w:rPr>
      </w:pPr>
      <w:r>
        <w:rPr>
          <w:color w:val="1D1B11" w:themeColor="background2" w:themeShade="1A"/>
          <w:szCs w:val="28"/>
          <w:lang w:val="nl-NL"/>
        </w:rPr>
        <w:lastRenderedPageBreak/>
        <w:t>+ Điều 2, Điều 3: về hiệu lực và trách nhiệm thi hành.</w:t>
      </w:r>
    </w:p>
    <w:p w:rsidR="00563B95" w:rsidRPr="00C46DB1" w:rsidRDefault="00563B95" w:rsidP="00516445">
      <w:pPr>
        <w:spacing w:after="120" w:line="240" w:lineRule="auto"/>
        <w:ind w:firstLine="720"/>
        <w:jc w:val="both"/>
        <w:rPr>
          <w:b/>
          <w:szCs w:val="28"/>
          <w:lang w:val="sv-SE"/>
        </w:rPr>
      </w:pPr>
      <w:r w:rsidRPr="00C46DB1">
        <w:rPr>
          <w:b/>
          <w:szCs w:val="28"/>
          <w:lang w:val="sv-SE"/>
        </w:rPr>
        <w:t>2. Những nội dung chính của dự thảo:</w:t>
      </w:r>
    </w:p>
    <w:p w:rsidR="008448C5" w:rsidRPr="00C46DB1" w:rsidRDefault="008448C5" w:rsidP="00516445">
      <w:pPr>
        <w:spacing w:after="120" w:line="240" w:lineRule="auto"/>
        <w:ind w:firstLine="720"/>
        <w:jc w:val="both"/>
        <w:rPr>
          <w:b/>
          <w:lang w:val="sv-SE"/>
        </w:rPr>
      </w:pPr>
      <w:r w:rsidRPr="00C46DB1">
        <w:rPr>
          <w:b/>
          <w:lang w:val="sv-SE"/>
        </w:rPr>
        <w:t xml:space="preserve">2.1. Bãi bỏ </w:t>
      </w:r>
      <w:r w:rsidR="00D0291A" w:rsidRPr="00C46DB1">
        <w:rPr>
          <w:b/>
          <w:lang w:val="sv-SE"/>
        </w:rPr>
        <w:t>các</w:t>
      </w:r>
      <w:r w:rsidRPr="00C46DB1">
        <w:rPr>
          <w:b/>
          <w:lang w:val="sv-SE"/>
        </w:rPr>
        <w:t xml:space="preserve"> chế độ báo cáo định kỳ sau:</w:t>
      </w:r>
    </w:p>
    <w:p w:rsidR="008448C5" w:rsidRPr="00C46DB1" w:rsidRDefault="008448C5" w:rsidP="00516445">
      <w:pPr>
        <w:widowControl w:val="0"/>
        <w:spacing w:before="120" w:after="120" w:line="240" w:lineRule="auto"/>
        <w:ind w:firstLine="720"/>
        <w:jc w:val="both"/>
        <w:rPr>
          <w:rFonts w:cs="Times New Roman"/>
          <w:b/>
          <w:szCs w:val="28"/>
          <w:lang w:val="vi-VN"/>
        </w:rPr>
      </w:pPr>
      <w:r w:rsidRPr="00C46DB1">
        <w:rPr>
          <w:b/>
          <w:lang w:val="sv-SE"/>
        </w:rPr>
        <w:t xml:space="preserve">- </w:t>
      </w:r>
      <w:r w:rsidRPr="00C46DB1">
        <w:rPr>
          <w:rFonts w:cs="Times New Roman"/>
          <w:b/>
          <w:szCs w:val="28"/>
          <w:lang w:val="vi-VN"/>
        </w:rPr>
        <w:t xml:space="preserve">Báo cáo tình hình tín dụng đối với lĩnh vực nông nghiệp, nông thôn (TCTD và NHNN chi nhánh tỉnh, thành phố báo cáo) </w:t>
      </w:r>
      <w:r w:rsidRPr="00C46DB1">
        <w:rPr>
          <w:rFonts w:cs="Times New Roman"/>
          <w:b/>
          <w:szCs w:val="28"/>
          <w:lang w:val="sv-SE"/>
        </w:rPr>
        <w:t>quy định tại</w:t>
      </w:r>
      <w:r w:rsidRPr="00C46DB1">
        <w:rPr>
          <w:rFonts w:cs="Times New Roman"/>
          <w:b/>
          <w:szCs w:val="28"/>
          <w:lang w:val="vi-VN"/>
        </w:rPr>
        <w:t xml:space="preserve"> Thông tư số 10/2015/TT-NHNN </w:t>
      </w:r>
      <w:r w:rsidRPr="00C46DB1">
        <w:rPr>
          <w:rFonts w:cs="Times New Roman"/>
          <w:i/>
          <w:szCs w:val="28"/>
          <w:lang w:val="vi-VN"/>
        </w:rPr>
        <w:t>(Vụ Tín dụng các ngành kinh tế)</w:t>
      </w:r>
      <w:r w:rsidRPr="00C46DB1">
        <w:rPr>
          <w:rFonts w:cs="Times New Roman"/>
          <w:szCs w:val="28"/>
          <w:lang w:val="vi-VN"/>
        </w:rPr>
        <w:t xml:space="preserve"> </w:t>
      </w:r>
    </w:p>
    <w:p w:rsidR="008448C5" w:rsidRPr="00C46DB1" w:rsidRDefault="008448C5" w:rsidP="00516445">
      <w:pPr>
        <w:spacing w:after="120" w:line="240" w:lineRule="auto"/>
        <w:ind w:firstLine="720"/>
        <w:jc w:val="both"/>
        <w:rPr>
          <w:b/>
          <w:lang w:val="vi-VN"/>
        </w:rPr>
      </w:pPr>
      <w:r w:rsidRPr="00C46DB1">
        <w:rPr>
          <w:rFonts w:cs="Times New Roman"/>
          <w:szCs w:val="28"/>
          <w:lang w:val="vi-VN"/>
        </w:rPr>
        <w:t>Lý do: Số liệu tại báo cáo đã được khai thác bởi hệ thống báo cáo thống kê của NHNN ban hành theo Thông tư số 35/2015/TT-NHNN ngày 31/12/2015</w:t>
      </w:r>
    </w:p>
    <w:p w:rsidR="008448C5" w:rsidRPr="00C46DB1" w:rsidRDefault="008448C5" w:rsidP="00516445">
      <w:pPr>
        <w:widowControl w:val="0"/>
        <w:spacing w:before="120" w:after="120" w:line="240" w:lineRule="auto"/>
        <w:ind w:firstLine="720"/>
        <w:jc w:val="both"/>
        <w:rPr>
          <w:rFonts w:cs="Times New Roman"/>
          <w:szCs w:val="28"/>
          <w:lang w:val="vi-VN"/>
        </w:rPr>
      </w:pPr>
      <w:r w:rsidRPr="00C46DB1">
        <w:rPr>
          <w:rFonts w:cs="Times New Roman"/>
          <w:b/>
          <w:szCs w:val="28"/>
          <w:lang w:val="vi-VN"/>
        </w:rPr>
        <w:t xml:space="preserve">- Báo cáo tình hình nhận tiền ký quỹ kinh doanh cho thuê lại lao động </w:t>
      </w:r>
      <w:r w:rsidR="00FE1EED" w:rsidRPr="00C46DB1">
        <w:rPr>
          <w:rFonts w:cs="Times New Roman"/>
          <w:b/>
          <w:szCs w:val="28"/>
          <w:lang w:val="vi-VN"/>
        </w:rPr>
        <w:t>quy định tại</w:t>
      </w:r>
      <w:r w:rsidRPr="00C46DB1">
        <w:rPr>
          <w:rFonts w:cs="Times New Roman"/>
          <w:b/>
          <w:szCs w:val="28"/>
          <w:lang w:val="vi-VN"/>
        </w:rPr>
        <w:t xml:space="preserve"> Thông tư số 40/2014/TT-NHNN ngày 11/12/2014</w:t>
      </w:r>
      <w:r w:rsidRPr="00C46DB1">
        <w:rPr>
          <w:rFonts w:cs="Times New Roman"/>
          <w:szCs w:val="28"/>
          <w:lang w:val="vi-VN"/>
        </w:rPr>
        <w:t xml:space="preserve"> </w:t>
      </w:r>
      <w:r w:rsidRPr="00C46DB1">
        <w:rPr>
          <w:rFonts w:cs="Times New Roman"/>
          <w:i/>
          <w:szCs w:val="28"/>
          <w:lang w:val="vi-VN"/>
        </w:rPr>
        <w:t>(Vụ Thanh toán)</w:t>
      </w:r>
      <w:r w:rsidRPr="00C46DB1">
        <w:rPr>
          <w:rFonts w:cs="Times New Roman"/>
          <w:szCs w:val="28"/>
          <w:lang w:val="vi-VN"/>
        </w:rPr>
        <w:t xml:space="preserve"> </w:t>
      </w:r>
    </w:p>
    <w:p w:rsidR="008448C5" w:rsidRPr="00C46DB1" w:rsidRDefault="008448C5" w:rsidP="00516445">
      <w:pPr>
        <w:spacing w:after="120" w:line="240" w:lineRule="auto"/>
        <w:ind w:firstLine="720"/>
        <w:jc w:val="both"/>
        <w:rPr>
          <w:rFonts w:cs="Times New Roman"/>
          <w:szCs w:val="28"/>
          <w:lang w:val="vi-VN"/>
        </w:rPr>
      </w:pPr>
      <w:r w:rsidRPr="00C46DB1">
        <w:rPr>
          <w:rFonts w:cs="Times New Roman"/>
          <w:szCs w:val="28"/>
          <w:lang w:val="vi-VN"/>
        </w:rPr>
        <w:t>Lý do: Thông tin có thể lấy từ nguồn yêu cầu các ngân hàng báo cáo đột xuất trong trường hợp Ngân hàng Nhà nước cần các thông tin này để phục vụ cho công tác quản lý tình hình nhận tiền ký quỹ kinh doanh, cho thuê lại lao động.</w:t>
      </w:r>
    </w:p>
    <w:p w:rsidR="008448C5" w:rsidRPr="00C46DB1" w:rsidRDefault="008448C5" w:rsidP="00516445">
      <w:pPr>
        <w:widowControl w:val="0"/>
        <w:spacing w:before="120" w:after="120" w:line="240" w:lineRule="auto"/>
        <w:ind w:firstLine="720"/>
        <w:jc w:val="both"/>
        <w:rPr>
          <w:rFonts w:cs="Times New Roman"/>
          <w:b/>
          <w:szCs w:val="28"/>
          <w:lang w:val="vi-VN"/>
        </w:rPr>
      </w:pPr>
      <w:r w:rsidRPr="00C46DB1">
        <w:rPr>
          <w:rFonts w:cs="Times New Roman"/>
          <w:szCs w:val="28"/>
          <w:lang w:val="vi-VN"/>
        </w:rPr>
        <w:t xml:space="preserve">- </w:t>
      </w:r>
      <w:r w:rsidRPr="00C46DB1">
        <w:rPr>
          <w:rFonts w:cs="Times New Roman"/>
          <w:b/>
          <w:szCs w:val="28"/>
          <w:lang w:val="vi-VN"/>
        </w:rPr>
        <w:t xml:space="preserve">Báo cáo của người đại diện về tình hình hoạt động kinh doanh, tài chính của Ngân hàng Hợp tác xã </w:t>
      </w:r>
      <w:r w:rsidR="00FE1EED" w:rsidRPr="00C46DB1">
        <w:rPr>
          <w:rFonts w:cs="Times New Roman"/>
          <w:b/>
          <w:szCs w:val="28"/>
          <w:lang w:val="vi-VN"/>
        </w:rPr>
        <w:t>quy định tại</w:t>
      </w:r>
      <w:r w:rsidRPr="00C46DB1">
        <w:rPr>
          <w:rFonts w:cs="Times New Roman"/>
          <w:b/>
          <w:szCs w:val="28"/>
          <w:lang w:val="vi-VN"/>
        </w:rPr>
        <w:t xml:space="preserve"> Quyết định số 61/2006/QĐ-NHNN ngày 29/12/2016 </w:t>
      </w:r>
      <w:r w:rsidRPr="00C46DB1">
        <w:rPr>
          <w:rFonts w:cs="Times New Roman"/>
          <w:i/>
          <w:szCs w:val="28"/>
          <w:lang w:val="vi-VN"/>
        </w:rPr>
        <w:t>(Cơ quan thanh tra giám sát ngân hàng)</w:t>
      </w:r>
      <w:r w:rsidRPr="00C46DB1">
        <w:rPr>
          <w:rFonts w:cs="Times New Roman"/>
          <w:szCs w:val="28"/>
          <w:lang w:val="vi-VN"/>
        </w:rPr>
        <w:t xml:space="preserve"> </w:t>
      </w:r>
    </w:p>
    <w:p w:rsidR="008448C5" w:rsidRPr="00C46DB1" w:rsidRDefault="008448C5" w:rsidP="00516445">
      <w:pPr>
        <w:spacing w:after="120" w:line="240" w:lineRule="auto"/>
        <w:ind w:firstLine="720"/>
        <w:jc w:val="both"/>
        <w:rPr>
          <w:rFonts w:cs="Times New Roman"/>
          <w:szCs w:val="28"/>
          <w:lang w:val="vi-VN"/>
        </w:rPr>
      </w:pPr>
      <w:r w:rsidRPr="00C46DB1">
        <w:rPr>
          <w:rFonts w:cs="Times New Roman"/>
          <w:szCs w:val="28"/>
          <w:lang w:val="vi-VN"/>
        </w:rPr>
        <w:t>Lý do: Báo cáo này thực hiện theo Điều 11, Quyết định số 61/2006/QĐ-NHNN ngày 29/12/2006 không còn phù hợp với văn bản hiện hành theo Nghị định 87/2015/NĐ-CP ngày 06/10/2015.</w:t>
      </w:r>
    </w:p>
    <w:p w:rsidR="008448C5" w:rsidRPr="00C46DB1" w:rsidRDefault="008448C5" w:rsidP="00516445">
      <w:pPr>
        <w:widowControl w:val="0"/>
        <w:spacing w:before="120" w:after="120" w:line="240" w:lineRule="auto"/>
        <w:ind w:firstLine="720"/>
        <w:jc w:val="both"/>
        <w:rPr>
          <w:rFonts w:cs="Times New Roman"/>
          <w:b/>
          <w:szCs w:val="28"/>
          <w:lang w:val="vi-VN"/>
        </w:rPr>
      </w:pPr>
      <w:r w:rsidRPr="00C46DB1">
        <w:rPr>
          <w:rFonts w:cs="Times New Roman"/>
          <w:szCs w:val="28"/>
          <w:lang w:val="vi-VN"/>
        </w:rPr>
        <w:t xml:space="preserve">- </w:t>
      </w:r>
      <w:r w:rsidRPr="00C46DB1">
        <w:rPr>
          <w:rFonts w:cs="Times New Roman"/>
          <w:b/>
          <w:szCs w:val="28"/>
          <w:lang w:val="vi-VN"/>
        </w:rPr>
        <w:t xml:space="preserve">Báo cáo “Tình hình đầu tư gián tiếp ra nước ngoài của năm báo cáo đối với trường hợp theo quy định tại Điều 9 Nghị định 135/2015/NĐ-CP” </w:t>
      </w:r>
      <w:r w:rsidR="00FE1EED" w:rsidRPr="00C46DB1">
        <w:rPr>
          <w:rFonts w:cs="Times New Roman"/>
          <w:b/>
          <w:szCs w:val="28"/>
          <w:lang w:val="vi-VN"/>
        </w:rPr>
        <w:t>quy định tại</w:t>
      </w:r>
      <w:r w:rsidRPr="00C46DB1">
        <w:rPr>
          <w:rFonts w:cs="Times New Roman"/>
          <w:b/>
          <w:szCs w:val="28"/>
          <w:lang w:val="vi-VN"/>
        </w:rPr>
        <w:t xml:space="preserve"> Thông tư số 10/2016/TT-NHNN ngày 29/6/2016</w:t>
      </w:r>
      <w:r w:rsidRPr="00C46DB1">
        <w:rPr>
          <w:rFonts w:cs="Times New Roman"/>
          <w:szCs w:val="28"/>
          <w:lang w:val="vi-VN"/>
        </w:rPr>
        <w:t xml:space="preserve"> </w:t>
      </w:r>
      <w:r w:rsidRPr="00C46DB1">
        <w:rPr>
          <w:rFonts w:cs="Times New Roman"/>
          <w:i/>
          <w:szCs w:val="28"/>
          <w:lang w:val="vi-VN"/>
        </w:rPr>
        <w:t>(Vụ Quản lý ngoại hối)</w:t>
      </w:r>
      <w:r w:rsidRPr="00C46DB1">
        <w:rPr>
          <w:rFonts w:cs="Times New Roman"/>
          <w:szCs w:val="28"/>
          <w:lang w:val="vi-VN"/>
        </w:rPr>
        <w:t xml:space="preserve"> </w:t>
      </w:r>
    </w:p>
    <w:p w:rsidR="008448C5" w:rsidRPr="00C46DB1" w:rsidRDefault="008448C5" w:rsidP="00516445">
      <w:pPr>
        <w:spacing w:after="120" w:line="240" w:lineRule="auto"/>
        <w:ind w:firstLine="720"/>
        <w:jc w:val="both"/>
        <w:rPr>
          <w:rFonts w:cs="Times New Roman"/>
          <w:szCs w:val="28"/>
          <w:lang w:val="vi-VN"/>
        </w:rPr>
      </w:pPr>
      <w:r w:rsidRPr="00C46DB1">
        <w:rPr>
          <w:rFonts w:cs="Times New Roman"/>
          <w:szCs w:val="28"/>
          <w:lang w:val="vi-VN"/>
        </w:rPr>
        <w:t>Lý do: Báo cáo được quy định tại Khoản 2 Điều 34 Thông tư số 10/2016/TT-NHNN ngày 29/6/2016 hướng dẫn một số nội dung quy định tại Nghị định số 135/2015/NĐ-CP. Nội dung báo cáo trùng với báo cáo quý quy định tại Khoản 1 Điều 34 Thông tư số 10/2016/TT-NHNN.</w:t>
      </w:r>
    </w:p>
    <w:p w:rsidR="008448C5" w:rsidRPr="00C46DB1" w:rsidRDefault="008448C5" w:rsidP="00516445">
      <w:pPr>
        <w:widowControl w:val="0"/>
        <w:spacing w:before="120" w:after="120" w:line="240" w:lineRule="auto"/>
        <w:ind w:firstLine="540"/>
        <w:jc w:val="both"/>
        <w:rPr>
          <w:rFonts w:cs="Times New Roman"/>
          <w:b/>
          <w:szCs w:val="28"/>
          <w:lang w:val="vi-VN"/>
        </w:rPr>
      </w:pPr>
      <w:r w:rsidRPr="00C46DB1">
        <w:rPr>
          <w:rFonts w:cs="Times New Roman"/>
          <w:szCs w:val="28"/>
          <w:lang w:val="vi-VN"/>
        </w:rPr>
        <w:t xml:space="preserve">- </w:t>
      </w:r>
      <w:r w:rsidRPr="00C46DB1">
        <w:rPr>
          <w:rFonts w:cs="Times New Roman"/>
          <w:b/>
          <w:szCs w:val="28"/>
          <w:lang w:val="vi-VN"/>
        </w:rPr>
        <w:t xml:space="preserve">Báo cáo “Nguồn vốn và sử dụng vốn bằng vàng” </w:t>
      </w:r>
      <w:r w:rsidR="00FE1EED" w:rsidRPr="00C46DB1">
        <w:rPr>
          <w:rFonts w:cs="Times New Roman"/>
          <w:b/>
          <w:szCs w:val="28"/>
          <w:lang w:val="vi-VN"/>
        </w:rPr>
        <w:t>quy định tại</w:t>
      </w:r>
      <w:r w:rsidRPr="00C46DB1">
        <w:rPr>
          <w:rFonts w:cs="Times New Roman"/>
          <w:b/>
          <w:szCs w:val="28"/>
          <w:lang w:val="vi-VN"/>
        </w:rPr>
        <w:t xml:space="preserve"> Thông tư số </w:t>
      </w:r>
      <w:hyperlink r:id="rId6" w:tgtFrame="_blank" w:history="1">
        <w:r w:rsidRPr="00C46DB1">
          <w:rPr>
            <w:rFonts w:cs="Times New Roman"/>
            <w:b/>
            <w:szCs w:val="28"/>
            <w:lang w:val="vi-VN"/>
          </w:rPr>
          <w:t>11/2011/TT-NHNN</w:t>
        </w:r>
      </w:hyperlink>
      <w:r w:rsidRPr="00C46DB1">
        <w:rPr>
          <w:rFonts w:cs="Times New Roman"/>
          <w:b/>
          <w:szCs w:val="28"/>
          <w:lang w:val="vi-VN"/>
        </w:rPr>
        <w:t xml:space="preserve"> ngày 29/4/2011 </w:t>
      </w:r>
      <w:r w:rsidRPr="00C46DB1">
        <w:rPr>
          <w:rFonts w:cs="Times New Roman"/>
          <w:i/>
          <w:szCs w:val="28"/>
          <w:lang w:val="vi-VN"/>
        </w:rPr>
        <w:t>(Vụ Quản lý ngoại hối)</w:t>
      </w:r>
      <w:r w:rsidRPr="00C46DB1">
        <w:rPr>
          <w:rFonts w:cs="Times New Roman"/>
          <w:b/>
          <w:szCs w:val="28"/>
          <w:lang w:val="vi-VN"/>
        </w:rPr>
        <w:t>.</w:t>
      </w:r>
    </w:p>
    <w:p w:rsidR="008448C5" w:rsidRPr="00C46DB1" w:rsidRDefault="008448C5" w:rsidP="00516445">
      <w:pPr>
        <w:spacing w:after="120" w:line="240" w:lineRule="auto"/>
        <w:ind w:firstLine="720"/>
        <w:jc w:val="both"/>
        <w:rPr>
          <w:rFonts w:cs="Times New Roman"/>
          <w:szCs w:val="28"/>
          <w:lang w:val="vi-VN"/>
        </w:rPr>
      </w:pPr>
      <w:r w:rsidRPr="00C46DB1">
        <w:rPr>
          <w:rFonts w:cs="Times New Roman"/>
          <w:szCs w:val="28"/>
          <w:lang w:val="vi-VN"/>
        </w:rPr>
        <w:t>Lý do: Các tổ chức tín dụng đã tất toán huy động, cho vay vốn bằng vàng, do đó Ngân hàng Nhà nước không cần theo dõi báo cáo này.</w:t>
      </w:r>
    </w:p>
    <w:p w:rsidR="008448C5" w:rsidRPr="00C46DB1" w:rsidRDefault="008448C5" w:rsidP="00516445">
      <w:pPr>
        <w:widowControl w:val="0"/>
        <w:spacing w:before="120" w:after="120" w:line="240" w:lineRule="auto"/>
        <w:ind w:firstLine="540"/>
        <w:jc w:val="both"/>
        <w:rPr>
          <w:rFonts w:cs="Times New Roman"/>
          <w:b/>
          <w:szCs w:val="28"/>
          <w:lang w:val="vi-VN"/>
        </w:rPr>
      </w:pPr>
      <w:r w:rsidRPr="00C46DB1">
        <w:rPr>
          <w:rFonts w:cs="Times New Roman"/>
          <w:szCs w:val="28"/>
          <w:lang w:val="vi-VN"/>
        </w:rPr>
        <w:t xml:space="preserve">- </w:t>
      </w:r>
      <w:r w:rsidRPr="00C46DB1">
        <w:rPr>
          <w:rFonts w:cs="Times New Roman"/>
          <w:b/>
          <w:szCs w:val="28"/>
          <w:lang w:val="vi-VN"/>
        </w:rPr>
        <w:t xml:space="preserve">Báo cáo “Tình hình mua bán ngoại tệ tiền mặt với cá nhân” </w:t>
      </w:r>
      <w:r w:rsidR="00FE1EED" w:rsidRPr="00C46DB1">
        <w:rPr>
          <w:rFonts w:cs="Times New Roman"/>
          <w:b/>
          <w:szCs w:val="28"/>
          <w:lang w:val="vi-VN"/>
        </w:rPr>
        <w:t>quy định tại</w:t>
      </w:r>
      <w:r w:rsidRPr="00C46DB1">
        <w:rPr>
          <w:rFonts w:cs="Times New Roman"/>
          <w:b/>
          <w:szCs w:val="28"/>
          <w:lang w:val="vi-VN"/>
        </w:rPr>
        <w:t xml:space="preserve"> Thông tư số 20/2011/TT-NHNN ngày 29/08/2011 </w:t>
      </w:r>
      <w:r w:rsidRPr="00C46DB1">
        <w:rPr>
          <w:rFonts w:cs="Times New Roman"/>
          <w:i/>
          <w:szCs w:val="28"/>
          <w:lang w:val="vi-VN"/>
        </w:rPr>
        <w:t>(Vụ Quản lý ngoại hối)</w:t>
      </w:r>
      <w:r w:rsidRPr="00C46DB1">
        <w:rPr>
          <w:rFonts w:cs="Times New Roman"/>
          <w:b/>
          <w:szCs w:val="28"/>
          <w:lang w:val="vi-VN"/>
        </w:rPr>
        <w:t xml:space="preserve"> </w:t>
      </w:r>
    </w:p>
    <w:p w:rsidR="008448C5" w:rsidRDefault="008448C5" w:rsidP="00516445">
      <w:pPr>
        <w:spacing w:after="120" w:line="240" w:lineRule="auto"/>
        <w:ind w:firstLine="720"/>
        <w:jc w:val="both"/>
        <w:rPr>
          <w:rFonts w:cs="Times New Roman"/>
          <w:szCs w:val="28"/>
        </w:rPr>
      </w:pPr>
      <w:r w:rsidRPr="00C46DB1">
        <w:rPr>
          <w:rFonts w:cs="Times New Roman"/>
          <w:szCs w:val="28"/>
          <w:lang w:val="vi-VN"/>
        </w:rPr>
        <w:t xml:space="preserve">Lý do: Hiện nay báo cáo này đã được thực hiện theo quy định tại mẫu biểu 079-QLNH, Thông tư 35/2015/TT-NHNN. Đồng thời, NHNN đã sửa đổi mẫu biểu 079-QLNH tại dự thảo thông tư sửa đổi, bổ sung Thông tư 35 theo </w:t>
      </w:r>
      <w:r w:rsidRPr="00C46DB1">
        <w:rPr>
          <w:rFonts w:cs="Times New Roman"/>
          <w:szCs w:val="28"/>
          <w:lang w:val="vi-VN"/>
        </w:rPr>
        <w:lastRenderedPageBreak/>
        <w:t>hướng các TCTD gửi báo cáo số liệu toàn hệ thống và số liệu từng chi nhánh tới NHNN chi nhánh tỉnh, thành phố.</w:t>
      </w:r>
    </w:p>
    <w:p w:rsidR="006A431B" w:rsidRPr="00C46DB1" w:rsidRDefault="006A431B" w:rsidP="006A431B">
      <w:pPr>
        <w:spacing w:before="120" w:after="120" w:line="240" w:lineRule="auto"/>
        <w:ind w:firstLine="720"/>
        <w:jc w:val="both"/>
        <w:rPr>
          <w:rFonts w:cs="Times New Roman"/>
          <w:b/>
          <w:szCs w:val="28"/>
          <w:lang w:val="vi-VN"/>
        </w:rPr>
      </w:pPr>
      <w:r w:rsidRPr="00C46DB1">
        <w:rPr>
          <w:rFonts w:cs="Times New Roman"/>
          <w:szCs w:val="28"/>
          <w:lang w:val="vi-VN"/>
        </w:rPr>
        <w:t xml:space="preserve">- </w:t>
      </w:r>
      <w:r w:rsidRPr="006A431B">
        <w:rPr>
          <w:rFonts w:cs="Times New Roman"/>
          <w:b/>
          <w:szCs w:val="28"/>
        </w:rPr>
        <w:t>Bãi bỏ c</w:t>
      </w:r>
      <w:r w:rsidRPr="006A431B">
        <w:rPr>
          <w:rFonts w:cs="Times New Roman"/>
          <w:b/>
          <w:szCs w:val="28"/>
          <w:lang w:val="vi-VN"/>
        </w:rPr>
        <w:t>ác</w:t>
      </w:r>
      <w:r w:rsidRPr="00C46DB1">
        <w:rPr>
          <w:rFonts w:cs="Times New Roman"/>
          <w:b/>
          <w:szCs w:val="28"/>
          <w:lang w:val="vi-VN"/>
        </w:rPr>
        <w:t xml:space="preserve"> báo cáo về an ninh, bảo mật hệ thống CNTT ngành ngân hàng:</w:t>
      </w:r>
    </w:p>
    <w:p w:rsidR="006A431B" w:rsidRPr="00C46DB1" w:rsidRDefault="006A431B" w:rsidP="006A431B">
      <w:pPr>
        <w:spacing w:before="120" w:after="120" w:line="240" w:lineRule="auto"/>
        <w:ind w:firstLine="720"/>
        <w:jc w:val="both"/>
        <w:rPr>
          <w:rFonts w:cs="Times New Roman"/>
          <w:szCs w:val="28"/>
          <w:lang w:val="vi-VN"/>
        </w:rPr>
      </w:pPr>
      <w:r w:rsidRPr="00C46DB1">
        <w:rPr>
          <w:rFonts w:cs="Times New Roman"/>
          <w:szCs w:val="28"/>
          <w:lang w:val="vi-VN"/>
        </w:rPr>
        <w:t xml:space="preserve">+ Báo cáo năm về thực hiện đảm bảo an toàn bảo mật hệ thống công nghệ thông tin quy định tại thông tư số 31/2015/TT-NHNN ngày 28/12/2015 </w:t>
      </w:r>
    </w:p>
    <w:p w:rsidR="006A431B" w:rsidRPr="00C46DB1" w:rsidRDefault="006A431B" w:rsidP="006A431B">
      <w:pPr>
        <w:spacing w:before="120" w:after="120" w:line="240" w:lineRule="auto"/>
        <w:ind w:firstLine="720"/>
        <w:jc w:val="both"/>
        <w:rPr>
          <w:rFonts w:cs="Times New Roman"/>
          <w:szCs w:val="28"/>
          <w:lang w:val="vi-VN"/>
        </w:rPr>
      </w:pPr>
      <w:r w:rsidRPr="00C46DB1">
        <w:rPr>
          <w:rFonts w:cs="Times New Roman"/>
          <w:szCs w:val="28"/>
          <w:lang w:val="vi-VN"/>
        </w:rPr>
        <w:t>+ Báo cáo định kỳ hàng năm về an toàn bảo mật cho việc cung cấp dịch vụ ngân hàng trên Internet quy định tại Thông tư số 35/2016/TT-NHNN ngày 29/12/2016</w:t>
      </w:r>
    </w:p>
    <w:p w:rsidR="006A431B" w:rsidRPr="00C46DB1" w:rsidRDefault="006A431B" w:rsidP="006A431B">
      <w:pPr>
        <w:spacing w:before="120" w:after="120" w:line="240" w:lineRule="auto"/>
        <w:ind w:firstLine="720"/>
        <w:jc w:val="both"/>
        <w:rPr>
          <w:rFonts w:cs="Times New Roman"/>
          <w:szCs w:val="28"/>
          <w:lang w:val="vi-VN"/>
        </w:rPr>
      </w:pPr>
      <w:r w:rsidRPr="00C46DB1">
        <w:rPr>
          <w:rFonts w:cs="Times New Roman"/>
          <w:szCs w:val="28"/>
          <w:lang w:val="vi-VN"/>
        </w:rPr>
        <w:t>+ Báo cáo định kỳ hàng năm về việc thực hiện các quy định tại Thông tư 47/2014/TT-NHNN ngày 31/12/2014</w:t>
      </w:r>
    </w:p>
    <w:p w:rsidR="008448C5" w:rsidRPr="00C46DB1" w:rsidRDefault="008448C5" w:rsidP="00516445">
      <w:pPr>
        <w:spacing w:after="120" w:line="240" w:lineRule="auto"/>
        <w:ind w:firstLine="720"/>
        <w:jc w:val="both"/>
        <w:rPr>
          <w:b/>
          <w:lang w:val="vi-VN"/>
        </w:rPr>
      </w:pPr>
      <w:r w:rsidRPr="006A431B">
        <w:rPr>
          <w:b/>
          <w:lang w:val="vi-VN"/>
        </w:rPr>
        <w:t>2.2.</w:t>
      </w:r>
      <w:r w:rsidRPr="00C46DB1">
        <w:rPr>
          <w:b/>
          <w:lang w:val="vi-VN"/>
        </w:rPr>
        <w:t xml:space="preserve"> Sửa đổi, bổ sung</w:t>
      </w:r>
      <w:r w:rsidR="00D0291A" w:rsidRPr="00C46DB1">
        <w:rPr>
          <w:b/>
          <w:lang w:val="vi-VN"/>
        </w:rPr>
        <w:t xml:space="preserve"> quy định</w:t>
      </w:r>
      <w:r w:rsidRPr="00C46DB1">
        <w:rPr>
          <w:b/>
          <w:lang w:val="vi-VN"/>
        </w:rPr>
        <w:t xml:space="preserve"> </w:t>
      </w:r>
      <w:r w:rsidR="00D0291A" w:rsidRPr="00C46DB1">
        <w:rPr>
          <w:b/>
          <w:lang w:val="vi-VN"/>
        </w:rPr>
        <w:t>các</w:t>
      </w:r>
      <w:r w:rsidRPr="00C46DB1">
        <w:rPr>
          <w:b/>
          <w:lang w:val="vi-VN"/>
        </w:rPr>
        <w:t xml:space="preserve"> chế độ báo cáo định kỳ sau:</w:t>
      </w:r>
    </w:p>
    <w:p w:rsidR="00782900" w:rsidRPr="00C46DB1" w:rsidRDefault="00782900" w:rsidP="00516445">
      <w:pPr>
        <w:widowControl w:val="0"/>
        <w:spacing w:before="120" w:after="120" w:line="240" w:lineRule="auto"/>
        <w:ind w:firstLine="720"/>
        <w:jc w:val="both"/>
        <w:rPr>
          <w:rFonts w:cs="Times New Roman"/>
          <w:b/>
          <w:szCs w:val="28"/>
          <w:lang w:val="vi-VN"/>
        </w:rPr>
      </w:pPr>
      <w:r w:rsidRPr="00C46DB1">
        <w:rPr>
          <w:rFonts w:cs="Times New Roman"/>
          <w:b/>
          <w:szCs w:val="28"/>
          <w:lang w:val="vi-VN"/>
        </w:rPr>
        <w:t xml:space="preserve">- Báo cáo đánh giá tính hiệu quả, khả thi của các chính sách thí điểm tại Nghị quyết 42/2017/QH14 về thí điểm xử lý nợ xấu của các tổ chức tín dụng </w:t>
      </w:r>
      <w:r w:rsidRPr="00C46DB1">
        <w:rPr>
          <w:rFonts w:cs="Times New Roman"/>
          <w:i/>
          <w:szCs w:val="28"/>
          <w:lang w:val="vi-VN"/>
        </w:rPr>
        <w:t>(Vụ Pháp chế)</w:t>
      </w:r>
      <w:r w:rsidRPr="00C46DB1">
        <w:rPr>
          <w:rFonts w:cs="Times New Roman"/>
          <w:szCs w:val="28"/>
          <w:lang w:val="vi-VN"/>
        </w:rPr>
        <w:t xml:space="preserve"> </w:t>
      </w:r>
    </w:p>
    <w:p w:rsidR="00782900" w:rsidRPr="00C46DB1" w:rsidRDefault="008B6D80" w:rsidP="00516445">
      <w:pPr>
        <w:widowControl w:val="0"/>
        <w:spacing w:before="120" w:after="120" w:line="240" w:lineRule="auto"/>
        <w:ind w:firstLine="720"/>
        <w:jc w:val="both"/>
        <w:rPr>
          <w:rFonts w:cs="Times New Roman"/>
          <w:szCs w:val="28"/>
          <w:lang w:val="vi-VN"/>
        </w:rPr>
      </w:pPr>
      <w:r w:rsidRPr="00C46DB1">
        <w:rPr>
          <w:rFonts w:cs="Times New Roman"/>
          <w:szCs w:val="28"/>
          <w:lang w:val="vi-VN"/>
        </w:rPr>
        <w:t xml:space="preserve">Nội dung sửa đổi, bổ sung: </w:t>
      </w:r>
      <w:r w:rsidR="00782900" w:rsidRPr="00C46DB1">
        <w:rPr>
          <w:rFonts w:cs="Times New Roman"/>
          <w:szCs w:val="28"/>
          <w:lang w:val="vi-VN"/>
        </w:rPr>
        <w:t>Đề nghị bỏ thời hạn báo cáo định kỳ hàng năm, sửa đổi thành báo cáo 01 lần vào thời điểm Nghị quyết chuẩn bị hết hiệu lực khoả</w:t>
      </w:r>
      <w:r w:rsidRPr="00C46DB1">
        <w:rPr>
          <w:rFonts w:cs="Times New Roman"/>
          <w:szCs w:val="28"/>
          <w:lang w:val="vi-VN"/>
        </w:rPr>
        <w:t>ng 01 năm.</w:t>
      </w:r>
    </w:p>
    <w:p w:rsidR="00563B95" w:rsidRPr="006A431B" w:rsidRDefault="00563B95" w:rsidP="00516445">
      <w:pPr>
        <w:tabs>
          <w:tab w:val="left" w:pos="567"/>
        </w:tabs>
        <w:spacing w:before="120" w:after="120" w:line="240" w:lineRule="auto"/>
        <w:ind w:firstLine="709"/>
        <w:jc w:val="both"/>
        <w:rPr>
          <w:lang w:val="vi-VN"/>
        </w:rPr>
      </w:pPr>
      <w:r w:rsidRPr="00C46DB1">
        <w:rPr>
          <w:lang w:val="vi-VN"/>
        </w:rPr>
        <w:t xml:space="preserve">Trên đây là các nội dung cơ bản của Thông tư </w:t>
      </w:r>
      <w:r w:rsidR="006A431B" w:rsidRPr="006A431B">
        <w:rPr>
          <w:lang w:val="vi-VN"/>
        </w:rPr>
        <w:t>s</w:t>
      </w:r>
      <w:r w:rsidR="006A431B" w:rsidRPr="006A431B">
        <w:rPr>
          <w:szCs w:val="28"/>
          <w:lang w:val="vi-VN"/>
        </w:rPr>
        <w:t xml:space="preserve">ửa đổi, bổ sung, bãi bỏ một số điều của các Thông tư, văn bản </w:t>
      </w:r>
      <w:r w:rsidR="00BC54BF">
        <w:rPr>
          <w:szCs w:val="28"/>
        </w:rPr>
        <w:t>có</w:t>
      </w:r>
      <w:r w:rsidR="006A431B" w:rsidRPr="006A431B">
        <w:rPr>
          <w:szCs w:val="28"/>
          <w:lang w:val="vi-VN"/>
        </w:rPr>
        <w:t xml:space="preserve"> quy định</w:t>
      </w:r>
      <w:r w:rsidR="00BC54BF">
        <w:rPr>
          <w:szCs w:val="28"/>
        </w:rPr>
        <w:t xml:space="preserve"> về</w:t>
      </w:r>
      <w:r w:rsidR="006A431B" w:rsidRPr="006A431B">
        <w:rPr>
          <w:szCs w:val="28"/>
          <w:lang w:val="vi-VN"/>
        </w:rPr>
        <w:t xml:space="preserve"> chế độ báo cáo định kỳ</w:t>
      </w:r>
      <w:r w:rsidR="00880475" w:rsidRPr="006A431B">
        <w:rPr>
          <w:rFonts w:cs="Times New Roman"/>
          <w:szCs w:val="28"/>
          <w:lang w:val="vi-VN"/>
        </w:rPr>
        <w:t>.</w:t>
      </w:r>
    </w:p>
    <w:p w:rsidR="00563B95" w:rsidRPr="00C46DB1" w:rsidRDefault="009C4D3D" w:rsidP="00516445">
      <w:pPr>
        <w:spacing w:before="120" w:after="120" w:line="240" w:lineRule="auto"/>
        <w:ind w:firstLine="720"/>
        <w:jc w:val="both"/>
        <w:rPr>
          <w:rFonts w:cs="Times New Roman"/>
          <w:szCs w:val="28"/>
          <w:lang w:val="vi-VN"/>
        </w:rPr>
      </w:pPr>
      <w:r>
        <w:rPr>
          <w:noProof/>
        </w:rPr>
        <w:pict>
          <v:shape id="AutoShape 3" o:spid="_x0000_s1028" type="#_x0000_t32" style="position:absolute;left:0;text-align:left;margin-left:115.3pt;margin-top:86.85pt;width:262.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INHgIAADsEAAAOAAAAZHJzL2Uyb0RvYy54bWysU8GO2jAQvVfqP1i+QxIS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"/>
        </w:pict>
      </w:r>
      <w:r w:rsidR="00563B95" w:rsidRPr="00C46DB1">
        <w:rPr>
          <w:lang w:val="vi-VN"/>
        </w:rPr>
        <w:t xml:space="preserve">Tổ soạn thảo rất mong nhận được sự tham gia góp ý của các Bộ, ngành, cơ quan, đơn vị, tổ chức, cá nhân đối với nội dung dự thảo Thông tư. Ý kiến tham gia đề nghị gửi về Văn phòng Ngân hàng Nhà nước Việt Nam (47 - 49 Lý Thái Tổ, Hoàn Kiếm, Hà Nội) hoặc qua Email: </w:t>
      </w:r>
      <w:hyperlink r:id="rId7" w:history="1">
        <w:r w:rsidR="00563B95" w:rsidRPr="00C46DB1">
          <w:rPr>
            <w:rStyle w:val="Hyperlink"/>
            <w:color w:val="auto"/>
            <w:lang w:val="vi-VN"/>
          </w:rPr>
          <w:t>caicachhc@sbv.gov.vn</w:t>
        </w:r>
      </w:hyperlink>
      <w:r w:rsidR="00563B95" w:rsidRPr="00C46DB1">
        <w:rPr>
          <w:lang w:val="vi-VN"/>
        </w:rPr>
        <w:t>.</w:t>
      </w:r>
    </w:p>
    <w:sectPr w:rsidR="00563B95" w:rsidRPr="00C46DB1" w:rsidSect="00516445">
      <w:footerReference w:type="default" r:id="rId8"/>
      <w:pgSz w:w="11906" w:h="16838"/>
      <w:pgMar w:top="1134" w:right="1133"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D3D" w:rsidRDefault="009C4D3D" w:rsidP="00516445">
      <w:pPr>
        <w:spacing w:after="0" w:line="240" w:lineRule="auto"/>
      </w:pPr>
      <w:r>
        <w:separator/>
      </w:r>
    </w:p>
  </w:endnote>
  <w:endnote w:type="continuationSeparator" w:id="0">
    <w:p w:rsidR="009C4D3D" w:rsidRDefault="009C4D3D" w:rsidP="0051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5391"/>
      <w:docPartObj>
        <w:docPartGallery w:val="Page Numbers (Bottom of Page)"/>
        <w:docPartUnique/>
      </w:docPartObj>
    </w:sdtPr>
    <w:sdtEndPr/>
    <w:sdtContent>
      <w:p w:rsidR="00516445" w:rsidRDefault="009C4D3D">
        <w:pPr>
          <w:pStyle w:val="Footer"/>
          <w:jc w:val="center"/>
        </w:pPr>
        <w:r>
          <w:fldChar w:fldCharType="begin"/>
        </w:r>
        <w:r>
          <w:instrText xml:space="preserve"> PAGE   \* MERGEFORMAT </w:instrText>
        </w:r>
        <w:r>
          <w:fldChar w:fldCharType="separate"/>
        </w:r>
        <w:r w:rsidR="007618FA">
          <w:rPr>
            <w:noProof/>
          </w:rPr>
          <w:t>3</w:t>
        </w:r>
        <w:r>
          <w:rPr>
            <w:noProof/>
          </w:rPr>
          <w:fldChar w:fldCharType="end"/>
        </w:r>
      </w:p>
    </w:sdtContent>
  </w:sdt>
  <w:p w:rsidR="00516445" w:rsidRDefault="00516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D3D" w:rsidRDefault="009C4D3D" w:rsidP="00516445">
      <w:pPr>
        <w:spacing w:after="0" w:line="240" w:lineRule="auto"/>
      </w:pPr>
      <w:r>
        <w:separator/>
      </w:r>
    </w:p>
  </w:footnote>
  <w:footnote w:type="continuationSeparator" w:id="0">
    <w:p w:rsidR="009C4D3D" w:rsidRDefault="009C4D3D" w:rsidP="00516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4C8C"/>
    <w:rsid w:val="00017CE6"/>
    <w:rsid w:val="00033D32"/>
    <w:rsid w:val="00047C70"/>
    <w:rsid w:val="000D0205"/>
    <w:rsid w:val="00121D81"/>
    <w:rsid w:val="00144C03"/>
    <w:rsid w:val="0029077B"/>
    <w:rsid w:val="004A5801"/>
    <w:rsid w:val="004B63D8"/>
    <w:rsid w:val="00516445"/>
    <w:rsid w:val="00524E67"/>
    <w:rsid w:val="00563B95"/>
    <w:rsid w:val="005D3321"/>
    <w:rsid w:val="0063080F"/>
    <w:rsid w:val="006847A8"/>
    <w:rsid w:val="006A431B"/>
    <w:rsid w:val="006E12B1"/>
    <w:rsid w:val="00724C8C"/>
    <w:rsid w:val="007618FA"/>
    <w:rsid w:val="0078043D"/>
    <w:rsid w:val="00782900"/>
    <w:rsid w:val="008448C5"/>
    <w:rsid w:val="00880475"/>
    <w:rsid w:val="008B2302"/>
    <w:rsid w:val="008B606D"/>
    <w:rsid w:val="008B6D80"/>
    <w:rsid w:val="009173B1"/>
    <w:rsid w:val="00955C09"/>
    <w:rsid w:val="00972670"/>
    <w:rsid w:val="009C4D3D"/>
    <w:rsid w:val="009F527E"/>
    <w:rsid w:val="00A669E7"/>
    <w:rsid w:val="00B16F49"/>
    <w:rsid w:val="00BC54BF"/>
    <w:rsid w:val="00C46DB1"/>
    <w:rsid w:val="00C54257"/>
    <w:rsid w:val="00D0291A"/>
    <w:rsid w:val="00D36B5E"/>
    <w:rsid w:val="00E61143"/>
    <w:rsid w:val="00F334AE"/>
    <w:rsid w:val="00FE1EED"/>
    <w:rsid w:val="00FE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3"/>
        <o:r id="V:Rule2" type="connector" idref="#_x0000_s1029"/>
      </o:rules>
    </o:shapelayout>
  </w:shapeDefaults>
  <w:decimalSymbol w:val="."/>
  <w:listSeparator w:val=","/>
  <w15:docId w15:val="{F878266C-A7FA-4DFA-BB4B-E5F1A9E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C8C"/>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3B95"/>
    <w:rPr>
      <w:color w:val="0000FF"/>
      <w:u w:val="single"/>
    </w:rPr>
  </w:style>
  <w:style w:type="character" w:styleId="CommentReference">
    <w:name w:val="annotation reference"/>
    <w:basedOn w:val="DefaultParagraphFont"/>
    <w:uiPriority w:val="99"/>
    <w:semiHidden/>
    <w:unhideWhenUsed/>
    <w:rsid w:val="00782900"/>
    <w:rPr>
      <w:sz w:val="16"/>
      <w:szCs w:val="16"/>
    </w:rPr>
  </w:style>
  <w:style w:type="paragraph" w:styleId="CommentText">
    <w:name w:val="annotation text"/>
    <w:basedOn w:val="Normal"/>
    <w:link w:val="CommentTextChar"/>
    <w:uiPriority w:val="99"/>
    <w:semiHidden/>
    <w:unhideWhenUsed/>
    <w:rsid w:val="00782900"/>
    <w:pPr>
      <w:spacing w:line="240" w:lineRule="auto"/>
    </w:pPr>
    <w:rPr>
      <w:sz w:val="20"/>
      <w:szCs w:val="20"/>
    </w:rPr>
  </w:style>
  <w:style w:type="character" w:customStyle="1" w:styleId="CommentTextChar">
    <w:name w:val="Comment Text Char"/>
    <w:basedOn w:val="DefaultParagraphFont"/>
    <w:link w:val="CommentText"/>
    <w:uiPriority w:val="99"/>
    <w:semiHidden/>
    <w:rsid w:val="00782900"/>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782900"/>
    <w:rPr>
      <w:b/>
      <w:bCs/>
    </w:rPr>
  </w:style>
  <w:style w:type="character" w:customStyle="1" w:styleId="CommentSubjectChar">
    <w:name w:val="Comment Subject Char"/>
    <w:basedOn w:val="CommentTextChar"/>
    <w:link w:val="CommentSubject"/>
    <w:uiPriority w:val="99"/>
    <w:semiHidden/>
    <w:rsid w:val="00782900"/>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78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00"/>
    <w:rPr>
      <w:rFonts w:ascii="Tahoma" w:hAnsi="Tahoma" w:cs="Tahoma"/>
      <w:sz w:val="16"/>
      <w:szCs w:val="16"/>
      <w:lang w:val="en-US"/>
    </w:rPr>
  </w:style>
  <w:style w:type="paragraph" w:styleId="Header">
    <w:name w:val="header"/>
    <w:basedOn w:val="Normal"/>
    <w:link w:val="HeaderChar"/>
    <w:uiPriority w:val="99"/>
    <w:semiHidden/>
    <w:unhideWhenUsed/>
    <w:rsid w:val="005164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445"/>
    <w:rPr>
      <w:rFonts w:ascii="Times New Roman" w:hAnsi="Times New Roman"/>
      <w:sz w:val="28"/>
      <w:lang w:val="en-US"/>
    </w:rPr>
  </w:style>
  <w:style w:type="paragraph" w:styleId="Footer">
    <w:name w:val="footer"/>
    <w:basedOn w:val="Normal"/>
    <w:link w:val="FooterChar"/>
    <w:uiPriority w:val="99"/>
    <w:unhideWhenUsed/>
    <w:rsid w:val="0051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445"/>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aicachhc@sbv.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entap.vbpl.vn/nganhangnhanuoc/pages/vbpq-timkiem.aspx?type=0&amp;s=1&amp;Keyword=11/2011/TT-NHNN&amp;SearchIn=Title,Title1&amp;IsRec=1&amp;pv=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hai.nguyen2</dc:creator>
  <cp:lastModifiedBy>anh tran</cp:lastModifiedBy>
  <cp:revision>4</cp:revision>
  <cp:lastPrinted>2018-06-21T07:20:00Z</cp:lastPrinted>
  <dcterms:created xsi:type="dcterms:W3CDTF">2018-07-24T07:29:00Z</dcterms:created>
  <dcterms:modified xsi:type="dcterms:W3CDTF">2018-07-30T02:41:00Z</dcterms:modified>
</cp:coreProperties>
</file>