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153" w:rsidRPr="00D84412" w:rsidRDefault="00B52520" w:rsidP="003D5153">
      <w:pPr>
        <w:keepNext/>
        <w:spacing w:before="120"/>
        <w:ind w:firstLine="0"/>
        <w:jc w:val="center"/>
        <w:rPr>
          <w:rFonts w:ascii="Times New Roman" w:hAnsi="Times New Roman"/>
          <w:b/>
          <w:color w:val="auto"/>
          <w:sz w:val="26"/>
          <w:szCs w:val="26"/>
        </w:rPr>
      </w:pPr>
      <w:r w:rsidRPr="00D84412">
        <w:rPr>
          <w:rFonts w:ascii="Times New Roman" w:hAnsi="Times New Roman"/>
          <w:b/>
          <w:color w:val="auto"/>
          <w:sz w:val="26"/>
          <w:szCs w:val="26"/>
        </w:rPr>
        <w:t>BẢN THUYẾT MINH</w:t>
      </w:r>
    </w:p>
    <w:p w:rsidR="003D5153" w:rsidRPr="00876394" w:rsidRDefault="00B52520" w:rsidP="0067137F">
      <w:pPr>
        <w:keepNext/>
        <w:spacing w:after="0"/>
        <w:ind w:firstLine="0"/>
        <w:jc w:val="center"/>
        <w:rPr>
          <w:rFonts w:ascii="Times New Roman" w:hAnsi="Times New Roman"/>
          <w:b/>
          <w:color w:val="auto"/>
          <w:sz w:val="28"/>
          <w:szCs w:val="28"/>
        </w:rPr>
      </w:pPr>
      <w:r>
        <w:rPr>
          <w:rFonts w:ascii="Times New Roman" w:hAnsi="Times New Roman"/>
          <w:b/>
          <w:color w:val="auto"/>
          <w:sz w:val="28"/>
          <w:szCs w:val="28"/>
        </w:rPr>
        <w:t xml:space="preserve">Thông tư </w:t>
      </w:r>
      <w:r w:rsidR="00E1522B">
        <w:rPr>
          <w:rFonts w:ascii="Times New Roman" w:hAnsi="Times New Roman"/>
          <w:b/>
          <w:color w:val="auto"/>
          <w:sz w:val="28"/>
          <w:szCs w:val="28"/>
        </w:rPr>
        <w:t>quy định về thực hiện dự trữ bắt buộc của các tổ chức tín dụng, chi nhánh ngân hàng nước ngoài</w:t>
      </w:r>
    </w:p>
    <w:p w:rsidR="003D5153" w:rsidRPr="003D5153" w:rsidRDefault="00F30288" w:rsidP="003D5153">
      <w:pPr>
        <w:rPr>
          <w:rFonts w:ascii="Times New Roman" w:hAnsi="Times New Roman"/>
          <w:b/>
          <w:color w:val="auto"/>
          <w:sz w:val="28"/>
          <w:szCs w:val="28"/>
          <w:u w:val="single"/>
        </w:rPr>
      </w:pPr>
      <w:r>
        <w:rPr>
          <w:rFonts w:ascii="Times New Roman" w:hAnsi="Times New Roman"/>
          <w:b/>
          <w:noProof/>
          <w:color w:val="auto"/>
          <w:sz w:val="28"/>
          <w:szCs w:val="28"/>
          <w:u w:val="single"/>
        </w:rPr>
        <w:pict>
          <v:shapetype id="_x0000_t32" coordsize="21600,21600" o:spt="32" o:oned="t" path="m,l21600,21600e" filled="f">
            <v:path arrowok="t" fillok="f" o:connecttype="none"/>
            <o:lock v:ext="edit" shapetype="t"/>
          </v:shapetype>
          <v:shape id="_x0000_s1026" type="#_x0000_t32" style="position:absolute;left:0;text-align:left;margin-left:144.9pt;margin-top:5.85pt;width:165.75pt;height:0;z-index:251657728" o:connectortype="straight"/>
        </w:pict>
      </w:r>
    </w:p>
    <w:p w:rsidR="0067137F" w:rsidRDefault="0067137F" w:rsidP="00637C09">
      <w:pPr>
        <w:spacing w:before="120"/>
        <w:ind w:firstLine="720"/>
        <w:rPr>
          <w:rFonts w:ascii="Times New Roman" w:hAnsi="Times New Roman"/>
          <w:b/>
          <w:color w:val="auto"/>
          <w:sz w:val="28"/>
          <w:szCs w:val="28"/>
        </w:rPr>
      </w:pPr>
    </w:p>
    <w:p w:rsidR="00E1522B" w:rsidRPr="00793A20" w:rsidRDefault="00E1522B" w:rsidP="006877EC">
      <w:pPr>
        <w:spacing w:before="120" w:line="259" w:lineRule="auto"/>
        <w:ind w:firstLine="720"/>
        <w:rPr>
          <w:rFonts w:ascii="Times New Roman" w:hAnsi="Times New Roman"/>
          <w:color w:val="auto"/>
          <w:sz w:val="28"/>
          <w:szCs w:val="28"/>
        </w:rPr>
      </w:pPr>
      <w:r w:rsidRPr="00793A20">
        <w:rPr>
          <w:rFonts w:ascii="Times New Roman" w:hAnsi="Times New Roman"/>
          <w:color w:val="auto"/>
          <w:sz w:val="28"/>
          <w:szCs w:val="28"/>
        </w:rPr>
        <w:t>Thông tư quy định về dự trữ bắt buộc của tổ chức tín dụng, chi nhánh ngân hàng nước ngoài (</w:t>
      </w:r>
      <w:r w:rsidR="0044499F">
        <w:rPr>
          <w:rFonts w:ascii="Times New Roman" w:hAnsi="Times New Roman"/>
          <w:color w:val="auto"/>
          <w:sz w:val="28"/>
          <w:szCs w:val="28"/>
        </w:rPr>
        <w:t>sau đây gọi là tổ chức tín dụng</w:t>
      </w:r>
      <w:r w:rsidRPr="00793A20">
        <w:rPr>
          <w:rFonts w:ascii="Times New Roman" w:hAnsi="Times New Roman"/>
          <w:color w:val="auto"/>
          <w:sz w:val="28"/>
          <w:szCs w:val="28"/>
        </w:rPr>
        <w:t>) thay thế Quy chế dự trữ bắt buộc đối với các tổ chức tín dụng (ban hành kèm theo Quyết định số 581/2003/QĐ-NHNN ngày 09/6/2003 và được sửa đổi, bổ sung bởi các Thông tư số 27/2011/TT-NHNN ngày 31/8/2011 và số 23/2015/TT-NHNN ngày 04/12/2015)</w:t>
      </w:r>
      <w:r w:rsidR="00793A20" w:rsidRPr="00793A20">
        <w:rPr>
          <w:rFonts w:ascii="Times New Roman" w:hAnsi="Times New Roman"/>
          <w:color w:val="auto"/>
          <w:sz w:val="28"/>
          <w:szCs w:val="28"/>
        </w:rPr>
        <w:t>, các nội dung sửa đổi, bổ sung chủ yếu sau:</w:t>
      </w:r>
    </w:p>
    <w:p w:rsidR="00F82AF0" w:rsidRPr="00CE21F2" w:rsidRDefault="00793A20" w:rsidP="00BF0F61">
      <w:pPr>
        <w:spacing w:before="120" w:line="259" w:lineRule="auto"/>
        <w:ind w:firstLine="720"/>
        <w:rPr>
          <w:rFonts w:ascii="Times New Roman" w:hAnsi="Times New Roman"/>
          <w:color w:val="auto"/>
          <w:sz w:val="28"/>
          <w:szCs w:val="28"/>
        </w:rPr>
      </w:pPr>
      <w:r w:rsidRPr="00A6743C">
        <w:rPr>
          <w:rFonts w:ascii="Times New Roman" w:hAnsi="Times New Roman"/>
          <w:b/>
          <w:color w:val="auto"/>
          <w:sz w:val="28"/>
          <w:szCs w:val="28"/>
        </w:rPr>
        <w:t>1</w:t>
      </w:r>
      <w:r w:rsidR="006938EB">
        <w:rPr>
          <w:rFonts w:ascii="Times New Roman" w:hAnsi="Times New Roman"/>
          <w:color w:val="auto"/>
          <w:sz w:val="28"/>
          <w:szCs w:val="28"/>
        </w:rPr>
        <w:t xml:space="preserve">. </w:t>
      </w:r>
      <w:r w:rsidR="001129CA">
        <w:rPr>
          <w:rFonts w:ascii="Times New Roman" w:hAnsi="Times New Roman"/>
          <w:color w:val="auto"/>
          <w:sz w:val="28"/>
          <w:szCs w:val="28"/>
        </w:rPr>
        <w:t>Về đ</w:t>
      </w:r>
      <w:r w:rsidRPr="00793A20">
        <w:rPr>
          <w:rFonts w:ascii="Times New Roman" w:hAnsi="Times New Roman"/>
          <w:color w:val="auto"/>
          <w:sz w:val="28"/>
          <w:szCs w:val="28"/>
        </w:rPr>
        <w:t xml:space="preserve">ối tượng </w:t>
      </w:r>
      <w:r w:rsidR="006938EB">
        <w:rPr>
          <w:rFonts w:ascii="Times New Roman" w:hAnsi="Times New Roman"/>
          <w:color w:val="auto"/>
          <w:sz w:val="28"/>
          <w:szCs w:val="28"/>
        </w:rPr>
        <w:t xml:space="preserve">không </w:t>
      </w:r>
      <w:r w:rsidRPr="00793A20">
        <w:rPr>
          <w:rFonts w:ascii="Times New Roman" w:hAnsi="Times New Roman"/>
          <w:color w:val="auto"/>
          <w:sz w:val="28"/>
          <w:szCs w:val="28"/>
        </w:rPr>
        <w:t>áp dụng</w:t>
      </w:r>
      <w:r w:rsidR="001129CA">
        <w:rPr>
          <w:rFonts w:ascii="Times New Roman" w:hAnsi="Times New Roman"/>
          <w:color w:val="auto"/>
          <w:sz w:val="28"/>
          <w:szCs w:val="28"/>
        </w:rPr>
        <w:t xml:space="preserve"> quy định về dự trữ bắt buộc, </w:t>
      </w:r>
      <w:r w:rsidRPr="00F82AF0">
        <w:rPr>
          <w:rFonts w:ascii="Times New Roman" w:hAnsi="Times New Roman"/>
          <w:color w:val="auto"/>
          <w:sz w:val="28"/>
          <w:szCs w:val="28"/>
        </w:rPr>
        <w:t xml:space="preserve">dự thảo Thông tư bổ sung quy định loại trừ một số đối tượng </w:t>
      </w:r>
      <w:r w:rsidR="006A34F7">
        <w:rPr>
          <w:rFonts w:ascii="Times New Roman" w:hAnsi="Times New Roman"/>
          <w:color w:val="auto"/>
          <w:sz w:val="28"/>
          <w:szCs w:val="28"/>
        </w:rPr>
        <w:t>tổ chức tín dụng</w:t>
      </w:r>
      <w:r w:rsidRPr="00F82AF0">
        <w:rPr>
          <w:rFonts w:ascii="Times New Roman" w:hAnsi="Times New Roman"/>
          <w:color w:val="auto"/>
          <w:sz w:val="28"/>
          <w:szCs w:val="28"/>
        </w:rPr>
        <w:t xml:space="preserve"> không áp dụng Thông tư, gồm:</w:t>
      </w:r>
      <w:r w:rsidR="006A511C">
        <w:rPr>
          <w:rFonts w:ascii="Times New Roman" w:hAnsi="Times New Roman"/>
          <w:color w:val="auto"/>
          <w:sz w:val="28"/>
          <w:szCs w:val="28"/>
        </w:rPr>
        <w:t xml:space="preserve"> </w:t>
      </w:r>
      <w:r w:rsidR="00F82AF0" w:rsidRPr="00F82AF0">
        <w:rPr>
          <w:rFonts w:ascii="Times New Roman" w:hAnsi="Times New Roman"/>
          <w:color w:val="auto"/>
          <w:sz w:val="28"/>
          <w:szCs w:val="28"/>
        </w:rPr>
        <w:t>Tổ chức tín dụng được kiểm soát đặc biệt</w:t>
      </w:r>
      <w:r w:rsidR="00BF0F61">
        <w:rPr>
          <w:rFonts w:ascii="Times New Roman" w:hAnsi="Times New Roman"/>
          <w:color w:val="auto"/>
          <w:sz w:val="28"/>
          <w:szCs w:val="28"/>
        </w:rPr>
        <w:t>; t</w:t>
      </w:r>
      <w:r w:rsidR="004A1341" w:rsidRPr="00CE21F2">
        <w:rPr>
          <w:rFonts w:ascii="Times New Roman" w:hAnsi="Times New Roman"/>
          <w:color w:val="auto"/>
          <w:sz w:val="28"/>
          <w:szCs w:val="28"/>
        </w:rPr>
        <w:t>ổ chức tín dụng</w:t>
      </w:r>
      <w:r w:rsidR="00BF0F61">
        <w:rPr>
          <w:rFonts w:ascii="Times New Roman" w:hAnsi="Times New Roman"/>
          <w:color w:val="auto"/>
          <w:sz w:val="28"/>
          <w:szCs w:val="28"/>
        </w:rPr>
        <w:t xml:space="preserve"> chưa khai trương hoạt động;</w:t>
      </w:r>
      <w:r w:rsidR="006A511C" w:rsidRPr="00CE21F2">
        <w:rPr>
          <w:rFonts w:ascii="Times New Roman" w:hAnsi="Times New Roman"/>
          <w:color w:val="auto"/>
          <w:sz w:val="28"/>
          <w:szCs w:val="28"/>
        </w:rPr>
        <w:t xml:space="preserve"> </w:t>
      </w:r>
      <w:r w:rsidR="004A1341" w:rsidRPr="00CE21F2">
        <w:rPr>
          <w:rFonts w:ascii="Times New Roman" w:hAnsi="Times New Roman"/>
          <w:color w:val="auto"/>
          <w:sz w:val="28"/>
          <w:szCs w:val="28"/>
        </w:rPr>
        <w:t>Tổ chức tín dụng</w:t>
      </w:r>
      <w:r w:rsidR="00F82AF0" w:rsidRPr="00CE21F2">
        <w:rPr>
          <w:rFonts w:ascii="Times New Roman" w:hAnsi="Times New Roman"/>
          <w:color w:val="auto"/>
          <w:sz w:val="28"/>
          <w:szCs w:val="28"/>
        </w:rPr>
        <w:t xml:space="preserve"> có quyết định thanh lý tài sản, hoặc giải thể, hoặc chấm dứt hoạt động hoặc thu hồi giấy phép hoạt động của cấp có thẩm quyền. </w:t>
      </w:r>
    </w:p>
    <w:p w:rsidR="00691EF2" w:rsidRPr="00CE21F2" w:rsidRDefault="00691EF2" w:rsidP="006877EC">
      <w:pPr>
        <w:tabs>
          <w:tab w:val="left" w:pos="1647"/>
        </w:tabs>
        <w:spacing w:before="120" w:line="259" w:lineRule="auto"/>
        <w:ind w:firstLine="720"/>
        <w:rPr>
          <w:rFonts w:ascii="Times New Roman" w:hAnsi="Times New Roman"/>
          <w:color w:val="auto"/>
          <w:sz w:val="28"/>
          <w:szCs w:val="28"/>
        </w:rPr>
      </w:pPr>
      <w:r w:rsidRPr="00CE21F2">
        <w:rPr>
          <w:rFonts w:ascii="Times New Roman" w:hAnsi="Times New Roman"/>
          <w:b/>
          <w:color w:val="auto"/>
          <w:sz w:val="28"/>
          <w:szCs w:val="28"/>
        </w:rPr>
        <w:t>2</w:t>
      </w:r>
      <w:r w:rsidRPr="00CE21F2">
        <w:rPr>
          <w:rFonts w:ascii="Times New Roman" w:hAnsi="Times New Roman"/>
          <w:color w:val="auto"/>
          <w:sz w:val="28"/>
          <w:szCs w:val="28"/>
        </w:rPr>
        <w:t>. Về đối tượng được giảm tỷ lệ dự trữ bắt buộc</w:t>
      </w:r>
    </w:p>
    <w:p w:rsidR="00691EF2" w:rsidRPr="00CE21F2" w:rsidRDefault="00CA315B" w:rsidP="006877EC">
      <w:pPr>
        <w:tabs>
          <w:tab w:val="left" w:pos="1647"/>
        </w:tabs>
        <w:spacing w:before="120" w:line="259" w:lineRule="auto"/>
        <w:ind w:firstLine="720"/>
        <w:rPr>
          <w:rFonts w:ascii="Times New Roman" w:hAnsi="Times New Roman"/>
          <w:color w:val="auto"/>
          <w:sz w:val="28"/>
          <w:szCs w:val="28"/>
        </w:rPr>
      </w:pPr>
      <w:r>
        <w:rPr>
          <w:rFonts w:ascii="Times New Roman" w:hAnsi="Times New Roman"/>
          <w:color w:val="auto"/>
          <w:sz w:val="28"/>
          <w:szCs w:val="28"/>
        </w:rPr>
        <w:t>Trên cơ sở</w:t>
      </w:r>
      <w:r w:rsidR="00691EF2" w:rsidRPr="00CE21F2">
        <w:rPr>
          <w:rFonts w:ascii="Times New Roman" w:hAnsi="Times New Roman"/>
          <w:color w:val="auto"/>
          <w:sz w:val="28"/>
          <w:szCs w:val="28"/>
        </w:rPr>
        <w:t xml:space="preserve"> quy định tại Luật số 17/2017/QH14, dự thảo Thông tư quy định: </w:t>
      </w:r>
      <w:r w:rsidR="00343576" w:rsidRPr="00CE21F2">
        <w:rPr>
          <w:rFonts w:ascii="Times New Roman" w:hAnsi="Times New Roman"/>
          <w:color w:val="auto"/>
          <w:sz w:val="28"/>
          <w:szCs w:val="28"/>
        </w:rPr>
        <w:t>Tổ chức tín dụng hỗ trợ được giảm 50% tỷ lệ dự trữ bắt buộc đối với tất cả các loại tiền gửi theo phương án phục hồi đã được phê duyệt theo quy định tại khoản 7 Điều 148đ Luật các tổ chức tín dụng số 47/2010/QH12 đã được sửa đổi, bổ sung theo Luật số 17/2017/QH14.</w:t>
      </w:r>
    </w:p>
    <w:p w:rsidR="00793A20" w:rsidRPr="00CE21F2" w:rsidRDefault="00691EF2" w:rsidP="006877EC">
      <w:pPr>
        <w:tabs>
          <w:tab w:val="left" w:pos="1647"/>
        </w:tabs>
        <w:spacing w:before="120" w:line="259" w:lineRule="auto"/>
        <w:ind w:firstLine="720"/>
        <w:rPr>
          <w:rFonts w:ascii="Times New Roman" w:hAnsi="Times New Roman"/>
          <w:color w:val="auto"/>
          <w:sz w:val="28"/>
          <w:szCs w:val="28"/>
        </w:rPr>
      </w:pPr>
      <w:r w:rsidRPr="00CE21F2">
        <w:rPr>
          <w:rFonts w:ascii="Times New Roman" w:hAnsi="Times New Roman"/>
          <w:color w:val="auto"/>
          <w:sz w:val="28"/>
          <w:szCs w:val="28"/>
        </w:rPr>
        <w:t xml:space="preserve"> </w:t>
      </w:r>
      <w:r w:rsidR="00343576" w:rsidRPr="00CE21F2">
        <w:rPr>
          <w:rFonts w:ascii="Times New Roman" w:hAnsi="Times New Roman"/>
          <w:b/>
          <w:color w:val="auto"/>
          <w:sz w:val="28"/>
          <w:szCs w:val="28"/>
        </w:rPr>
        <w:t>3</w:t>
      </w:r>
      <w:r w:rsidR="00195D7C" w:rsidRPr="00CE21F2">
        <w:rPr>
          <w:rFonts w:ascii="Times New Roman" w:hAnsi="Times New Roman"/>
          <w:color w:val="auto"/>
          <w:sz w:val="28"/>
          <w:szCs w:val="28"/>
        </w:rPr>
        <w:t xml:space="preserve">. Tiền gửi huy động phải tính dự trữ bắt buộc </w:t>
      </w:r>
    </w:p>
    <w:p w:rsidR="00A6743C" w:rsidRPr="00CE21F2" w:rsidRDefault="00195D7C" w:rsidP="0068687F">
      <w:pPr>
        <w:spacing w:before="120" w:line="259" w:lineRule="auto"/>
        <w:ind w:firstLine="720"/>
        <w:rPr>
          <w:rFonts w:ascii="Times New Roman" w:hAnsi="Times New Roman"/>
          <w:color w:val="auto"/>
          <w:sz w:val="28"/>
          <w:szCs w:val="28"/>
        </w:rPr>
      </w:pPr>
      <w:r w:rsidRPr="00CE21F2">
        <w:rPr>
          <w:rFonts w:ascii="Times New Roman" w:hAnsi="Times New Roman"/>
          <w:color w:val="auto"/>
          <w:sz w:val="28"/>
          <w:szCs w:val="28"/>
        </w:rPr>
        <w:t xml:space="preserve">Dự thảo Thông tư quy định theo hướng </w:t>
      </w:r>
      <w:r w:rsidR="00A6743C" w:rsidRPr="00CE21F2">
        <w:rPr>
          <w:rFonts w:ascii="Times New Roman" w:hAnsi="Times New Roman"/>
          <w:color w:val="auto"/>
          <w:sz w:val="28"/>
          <w:szCs w:val="28"/>
        </w:rPr>
        <w:t>thống nhất với quy định</w:t>
      </w:r>
      <w:r w:rsidR="0068687F">
        <w:rPr>
          <w:rFonts w:ascii="Times New Roman" w:hAnsi="Times New Roman"/>
          <w:color w:val="auto"/>
          <w:sz w:val="28"/>
          <w:szCs w:val="28"/>
        </w:rPr>
        <w:t xml:space="preserve"> về</w:t>
      </w:r>
      <w:r w:rsidRPr="00CE21F2">
        <w:rPr>
          <w:rFonts w:ascii="Times New Roman" w:hAnsi="Times New Roman"/>
          <w:color w:val="auto"/>
          <w:sz w:val="28"/>
          <w:szCs w:val="28"/>
        </w:rPr>
        <w:t xml:space="preserve"> nhận tiền gửi </w:t>
      </w:r>
      <w:r w:rsidR="00A6743C" w:rsidRPr="00CE21F2">
        <w:rPr>
          <w:rFonts w:ascii="Times New Roman" w:hAnsi="Times New Roman"/>
          <w:color w:val="auto"/>
          <w:sz w:val="28"/>
          <w:szCs w:val="28"/>
        </w:rPr>
        <w:t xml:space="preserve">tại khoản 13 Điều 14 </w:t>
      </w:r>
      <w:r w:rsidRPr="00CE21F2">
        <w:rPr>
          <w:rFonts w:ascii="Times New Roman" w:hAnsi="Times New Roman"/>
          <w:color w:val="auto"/>
          <w:sz w:val="28"/>
          <w:szCs w:val="28"/>
        </w:rPr>
        <w:t>Luật</w:t>
      </w:r>
      <w:r w:rsidR="00A6743C" w:rsidRPr="00CE21F2">
        <w:rPr>
          <w:rFonts w:ascii="Times New Roman" w:hAnsi="Times New Roman"/>
          <w:color w:val="auto"/>
          <w:sz w:val="28"/>
          <w:szCs w:val="28"/>
        </w:rPr>
        <w:t xml:space="preserve"> TCTD,</w:t>
      </w:r>
      <w:r w:rsidR="0068687F">
        <w:rPr>
          <w:rFonts w:ascii="Times New Roman" w:hAnsi="Times New Roman"/>
          <w:color w:val="auto"/>
          <w:sz w:val="28"/>
          <w:szCs w:val="28"/>
        </w:rPr>
        <w:t xml:space="preserve"> theo đó</w:t>
      </w:r>
      <w:r w:rsidR="00A6743C" w:rsidRPr="00CE21F2">
        <w:rPr>
          <w:rFonts w:ascii="Times New Roman" w:hAnsi="Times New Roman"/>
          <w:color w:val="auto"/>
          <w:sz w:val="28"/>
          <w:szCs w:val="28"/>
        </w:rPr>
        <w:t>: Cơ sở tiền gửi huy động phải tính dự trữ bắt buộc là các loại tiền gửi bằng đồng Việt Nam và ngoại tệ của tổ chức tín dụng theo quy định tại khoản 13 Điều 4 Luật Các tổ chức tín dụng, gồm: Tiền gửi không kỳ hạn, tiền gửi có kỳ hạn, tiền gửi tiết kiệm và các hình thức nhận tiền gửi khác theo nguyên tắc có hoàn trả đầy đủ tiền gốc, lãi cho người gửi tiền theo thỏa thuận, trừ tiền gửi của tổ chức tín dụng khác thành lập và hoạt động tại Việt Nam; Tiền thu được từ phát hành chứng chỉ tiền gửi, kỳ phiếu, tín phiếu, trái phiếu.</w:t>
      </w:r>
    </w:p>
    <w:p w:rsidR="00A6743C" w:rsidRPr="00CE21F2" w:rsidRDefault="008A3664" w:rsidP="006877EC">
      <w:pPr>
        <w:spacing w:before="120" w:line="259" w:lineRule="auto"/>
        <w:ind w:firstLine="720"/>
        <w:rPr>
          <w:rFonts w:ascii="Times New Roman" w:hAnsi="Times New Roman"/>
          <w:color w:val="auto"/>
          <w:sz w:val="28"/>
          <w:szCs w:val="28"/>
        </w:rPr>
      </w:pPr>
      <w:r w:rsidRPr="00CE21F2">
        <w:rPr>
          <w:rFonts w:ascii="Times New Roman" w:hAnsi="Times New Roman"/>
          <w:b/>
          <w:color w:val="auto"/>
          <w:sz w:val="28"/>
          <w:szCs w:val="28"/>
        </w:rPr>
        <w:t>4</w:t>
      </w:r>
      <w:r w:rsidR="00A6743C" w:rsidRPr="00CE21F2">
        <w:rPr>
          <w:rFonts w:ascii="Times New Roman" w:hAnsi="Times New Roman"/>
          <w:color w:val="auto"/>
          <w:sz w:val="28"/>
          <w:szCs w:val="28"/>
        </w:rPr>
        <w:t xml:space="preserve">. Đơn vị quản lý dự trữ bắt buộc của </w:t>
      </w:r>
      <w:r w:rsidR="006A34F7">
        <w:rPr>
          <w:rFonts w:ascii="Times New Roman" w:hAnsi="Times New Roman"/>
          <w:color w:val="auto"/>
          <w:sz w:val="28"/>
          <w:szCs w:val="28"/>
        </w:rPr>
        <w:t>tổ chức tín dụng</w:t>
      </w:r>
    </w:p>
    <w:p w:rsidR="00793A20" w:rsidRPr="00CE21F2" w:rsidRDefault="00A6743C" w:rsidP="006877EC">
      <w:pPr>
        <w:spacing w:before="120" w:line="259" w:lineRule="auto"/>
        <w:ind w:firstLine="720"/>
        <w:rPr>
          <w:rFonts w:ascii="Times New Roman" w:hAnsi="Times New Roman"/>
          <w:color w:val="auto"/>
          <w:sz w:val="28"/>
          <w:szCs w:val="28"/>
        </w:rPr>
      </w:pPr>
      <w:r w:rsidRPr="00CE21F2">
        <w:rPr>
          <w:rFonts w:ascii="Times New Roman" w:hAnsi="Times New Roman"/>
          <w:color w:val="auto"/>
          <w:sz w:val="28"/>
          <w:szCs w:val="28"/>
        </w:rPr>
        <w:t xml:space="preserve">Để phù hợp với hệ thống chương trình, công nghệ thông tin quản lý dự trữ bắt buộc theo hướng tập trung hiện nay, dự thảo Thông tư quy định Sở Giao dịch NHNN là đơn vị quản lý dự trữ bắt buộc đối với tất cả tổ chức tín dụng, bao gồm tiền gửi VND và ngoại tệ. Theo đó, Sở Giao dịch NHNN </w:t>
      </w:r>
      <w:r w:rsidR="00DD046A" w:rsidRPr="00CE21F2">
        <w:rPr>
          <w:rFonts w:ascii="Times New Roman" w:hAnsi="Times New Roman"/>
          <w:color w:val="auto"/>
          <w:sz w:val="28"/>
          <w:szCs w:val="28"/>
        </w:rPr>
        <w:t xml:space="preserve">xác định, thông báo dự trữ bắt buộc cho </w:t>
      </w:r>
      <w:r w:rsidR="006A34F7">
        <w:rPr>
          <w:rFonts w:ascii="Times New Roman" w:hAnsi="Times New Roman"/>
          <w:color w:val="auto"/>
          <w:sz w:val="28"/>
          <w:szCs w:val="28"/>
        </w:rPr>
        <w:t>tổ chức tín dụng</w:t>
      </w:r>
      <w:r w:rsidR="00DD046A" w:rsidRPr="00CE21F2">
        <w:rPr>
          <w:rFonts w:ascii="Times New Roman" w:hAnsi="Times New Roman"/>
          <w:color w:val="auto"/>
          <w:sz w:val="28"/>
          <w:szCs w:val="28"/>
        </w:rPr>
        <w:t xml:space="preserve">; xác định vượt, thiếu dự trữ bắt buộc </w:t>
      </w:r>
      <w:r w:rsidR="00DD046A" w:rsidRPr="00CE21F2">
        <w:rPr>
          <w:rFonts w:ascii="Times New Roman" w:hAnsi="Times New Roman"/>
          <w:color w:val="auto"/>
          <w:sz w:val="28"/>
          <w:szCs w:val="28"/>
        </w:rPr>
        <w:lastRenderedPageBreak/>
        <w:t xml:space="preserve">của </w:t>
      </w:r>
      <w:r w:rsidR="006A34F7">
        <w:rPr>
          <w:rFonts w:ascii="Times New Roman" w:hAnsi="Times New Roman"/>
          <w:color w:val="auto"/>
          <w:sz w:val="28"/>
          <w:szCs w:val="28"/>
        </w:rPr>
        <w:t>tổ chức tín dụng</w:t>
      </w:r>
      <w:r w:rsidR="00DD046A" w:rsidRPr="00CE21F2">
        <w:rPr>
          <w:rFonts w:ascii="Times New Roman" w:hAnsi="Times New Roman"/>
          <w:color w:val="auto"/>
          <w:sz w:val="28"/>
          <w:szCs w:val="28"/>
        </w:rPr>
        <w:t xml:space="preserve">; trả lãi tiền gửi dự trữ bắt buộc, tiền gửi vượt dự trữ bắt buộc bằng đồng Việt Nam và ngoại tệ cho </w:t>
      </w:r>
      <w:r w:rsidR="006A34F7">
        <w:rPr>
          <w:rFonts w:ascii="Times New Roman" w:hAnsi="Times New Roman"/>
          <w:color w:val="auto"/>
          <w:sz w:val="28"/>
          <w:szCs w:val="28"/>
        </w:rPr>
        <w:t>tổ chức tín dụng</w:t>
      </w:r>
      <w:r w:rsidR="00DD046A" w:rsidRPr="00CE21F2">
        <w:rPr>
          <w:rFonts w:ascii="Times New Roman" w:hAnsi="Times New Roman"/>
          <w:color w:val="auto"/>
          <w:sz w:val="28"/>
          <w:szCs w:val="28"/>
        </w:rPr>
        <w:t xml:space="preserve">.  </w:t>
      </w:r>
    </w:p>
    <w:p w:rsidR="005A221A" w:rsidRDefault="006938EB" w:rsidP="006877EC">
      <w:pPr>
        <w:spacing w:before="120" w:line="259" w:lineRule="auto"/>
        <w:ind w:firstLine="720"/>
        <w:rPr>
          <w:rFonts w:ascii="Times New Roman" w:hAnsi="Times New Roman"/>
          <w:color w:val="auto"/>
          <w:sz w:val="28"/>
          <w:szCs w:val="28"/>
        </w:rPr>
      </w:pPr>
      <w:r>
        <w:rPr>
          <w:rFonts w:ascii="Times New Roman" w:hAnsi="Times New Roman"/>
          <w:b/>
          <w:color w:val="auto"/>
          <w:sz w:val="28"/>
          <w:szCs w:val="28"/>
        </w:rPr>
        <w:t>5</w:t>
      </w:r>
      <w:r w:rsidR="005A221A" w:rsidRPr="00CD1782">
        <w:rPr>
          <w:rFonts w:ascii="Times New Roman" w:hAnsi="Times New Roman"/>
          <w:b/>
          <w:color w:val="auto"/>
          <w:sz w:val="28"/>
          <w:szCs w:val="28"/>
        </w:rPr>
        <w:t>.</w:t>
      </w:r>
      <w:r w:rsidR="005A221A">
        <w:rPr>
          <w:rFonts w:ascii="Times New Roman" w:hAnsi="Times New Roman"/>
          <w:color w:val="auto"/>
          <w:sz w:val="28"/>
          <w:szCs w:val="28"/>
        </w:rPr>
        <w:t xml:space="preserve"> Trách nhiệm các đơn vị trong Ngân hàng Nhà nước</w:t>
      </w:r>
    </w:p>
    <w:p w:rsidR="005A221A" w:rsidRDefault="005A221A" w:rsidP="006877EC">
      <w:pPr>
        <w:spacing w:before="120" w:line="259" w:lineRule="auto"/>
        <w:ind w:firstLine="720"/>
        <w:rPr>
          <w:rFonts w:ascii="Times New Roman" w:hAnsi="Times New Roman"/>
          <w:color w:val="auto"/>
          <w:sz w:val="28"/>
          <w:szCs w:val="28"/>
        </w:rPr>
      </w:pPr>
      <w:r>
        <w:rPr>
          <w:rFonts w:ascii="Times New Roman" w:hAnsi="Times New Roman"/>
          <w:color w:val="auto"/>
          <w:sz w:val="28"/>
          <w:szCs w:val="28"/>
        </w:rPr>
        <w:t>Để</w:t>
      </w:r>
      <w:r w:rsidR="00CD1782">
        <w:rPr>
          <w:rFonts w:ascii="Times New Roman" w:hAnsi="Times New Roman"/>
          <w:color w:val="auto"/>
          <w:sz w:val="28"/>
          <w:szCs w:val="28"/>
        </w:rPr>
        <w:t xml:space="preserve"> thống nhất với các nội dung sửa đổi, bổ sung, dự thảo Thông tư sửa đổi, bổ sung một số quy định về trách nhiệm các đơn vị của NHNN để</w:t>
      </w:r>
      <w:r>
        <w:rPr>
          <w:rFonts w:ascii="Times New Roman" w:hAnsi="Times New Roman"/>
          <w:color w:val="auto"/>
          <w:sz w:val="28"/>
          <w:szCs w:val="28"/>
        </w:rPr>
        <w:t xml:space="preserve"> triển khai</w:t>
      </w:r>
      <w:r w:rsidR="00CD1782">
        <w:rPr>
          <w:rFonts w:ascii="Times New Roman" w:hAnsi="Times New Roman"/>
          <w:color w:val="auto"/>
          <w:sz w:val="28"/>
          <w:szCs w:val="28"/>
        </w:rPr>
        <w:t xml:space="preserve">. </w:t>
      </w:r>
    </w:p>
    <w:p w:rsidR="00CD1782" w:rsidRPr="00DD046A" w:rsidRDefault="00CD1782" w:rsidP="00343576">
      <w:pPr>
        <w:spacing w:before="120"/>
        <w:ind w:firstLine="720"/>
        <w:rPr>
          <w:rFonts w:ascii="Times New Roman" w:hAnsi="Times New Roman"/>
          <w:color w:val="auto"/>
          <w:sz w:val="28"/>
          <w:szCs w:val="28"/>
        </w:rPr>
      </w:pPr>
    </w:p>
    <w:sectPr w:rsidR="00CD1782" w:rsidRPr="00DD046A" w:rsidSect="005F7644">
      <w:footerReference w:type="default" r:id="rId7"/>
      <w:pgSz w:w="11907" w:h="16840" w:code="9"/>
      <w:pgMar w:top="1021" w:right="1134" w:bottom="567" w:left="1701" w:header="720" w:footer="227"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065" w:rsidRDefault="00210065" w:rsidP="005133A6">
      <w:pPr>
        <w:spacing w:after="0"/>
      </w:pPr>
      <w:r>
        <w:separator/>
      </w:r>
    </w:p>
  </w:endnote>
  <w:endnote w:type="continuationSeparator" w:id="1">
    <w:p w:rsidR="00210065" w:rsidRDefault="00210065" w:rsidP="005133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0E3" w:rsidRDefault="007920E3">
    <w:pPr>
      <w:pStyle w:val="Footer"/>
      <w:jc w:val="right"/>
    </w:pPr>
    <w:fldSimple w:instr=" PAGE   \* MERGEFORMAT ">
      <w:r w:rsidR="003B63B2">
        <w:rPr>
          <w:noProof/>
        </w:rPr>
        <w:t>2</w:t>
      </w:r>
    </w:fldSimple>
  </w:p>
  <w:p w:rsidR="008D1979" w:rsidRDefault="008D1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065" w:rsidRDefault="00210065" w:rsidP="005133A6">
      <w:pPr>
        <w:spacing w:after="0"/>
      </w:pPr>
      <w:r>
        <w:separator/>
      </w:r>
    </w:p>
  </w:footnote>
  <w:footnote w:type="continuationSeparator" w:id="1">
    <w:p w:rsidR="00210065" w:rsidRDefault="00210065" w:rsidP="005133A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rawingGridVerticalSpacing w:val="381"/>
  <w:displayHorizontalDrawingGridEvery w:val="2"/>
  <w:characterSpacingControl w:val="doNotCompress"/>
  <w:footnotePr>
    <w:footnote w:id="0"/>
    <w:footnote w:id="1"/>
  </w:footnotePr>
  <w:endnotePr>
    <w:endnote w:id="0"/>
    <w:endnote w:id="1"/>
  </w:endnotePr>
  <w:compat/>
  <w:rsids>
    <w:rsidRoot w:val="003D5153"/>
    <w:rsid w:val="00012473"/>
    <w:rsid w:val="00013A4D"/>
    <w:rsid w:val="0002154B"/>
    <w:rsid w:val="0002486F"/>
    <w:rsid w:val="00026522"/>
    <w:rsid w:val="0003620C"/>
    <w:rsid w:val="0004120E"/>
    <w:rsid w:val="00052D62"/>
    <w:rsid w:val="00065417"/>
    <w:rsid w:val="000703C2"/>
    <w:rsid w:val="00071568"/>
    <w:rsid w:val="00071CC3"/>
    <w:rsid w:val="00075884"/>
    <w:rsid w:val="00087B9C"/>
    <w:rsid w:val="0009606A"/>
    <w:rsid w:val="000A09C8"/>
    <w:rsid w:val="000A726C"/>
    <w:rsid w:val="000A7E72"/>
    <w:rsid w:val="000C034B"/>
    <w:rsid w:val="000C18B8"/>
    <w:rsid w:val="000C5F74"/>
    <w:rsid w:val="000D0B67"/>
    <w:rsid w:val="000D42CE"/>
    <w:rsid w:val="000E3B2E"/>
    <w:rsid w:val="000F489E"/>
    <w:rsid w:val="001129CA"/>
    <w:rsid w:val="0013088E"/>
    <w:rsid w:val="00140C1E"/>
    <w:rsid w:val="00156A9F"/>
    <w:rsid w:val="00170DCF"/>
    <w:rsid w:val="001726B8"/>
    <w:rsid w:val="00174E6E"/>
    <w:rsid w:val="00182C92"/>
    <w:rsid w:val="001902A0"/>
    <w:rsid w:val="00195D7C"/>
    <w:rsid w:val="001B1618"/>
    <w:rsid w:val="001B485F"/>
    <w:rsid w:val="001C1689"/>
    <w:rsid w:val="001C31C4"/>
    <w:rsid w:val="001D365C"/>
    <w:rsid w:val="001D53B8"/>
    <w:rsid w:val="001D607B"/>
    <w:rsid w:val="001D6889"/>
    <w:rsid w:val="001E0568"/>
    <w:rsid w:val="001F04B3"/>
    <w:rsid w:val="001F7422"/>
    <w:rsid w:val="00210065"/>
    <w:rsid w:val="00214DA1"/>
    <w:rsid w:val="00215167"/>
    <w:rsid w:val="00222EF0"/>
    <w:rsid w:val="00226262"/>
    <w:rsid w:val="00226F14"/>
    <w:rsid w:val="00244DED"/>
    <w:rsid w:val="002476D0"/>
    <w:rsid w:val="0025426B"/>
    <w:rsid w:val="00260ED6"/>
    <w:rsid w:val="002618D3"/>
    <w:rsid w:val="002638C2"/>
    <w:rsid w:val="00266952"/>
    <w:rsid w:val="00270B27"/>
    <w:rsid w:val="00274C06"/>
    <w:rsid w:val="0028268D"/>
    <w:rsid w:val="00287035"/>
    <w:rsid w:val="00290D96"/>
    <w:rsid w:val="00291273"/>
    <w:rsid w:val="002A5708"/>
    <w:rsid w:val="002C1C42"/>
    <w:rsid w:val="002F0DEC"/>
    <w:rsid w:val="002F48F5"/>
    <w:rsid w:val="00300466"/>
    <w:rsid w:val="003144EF"/>
    <w:rsid w:val="003274CB"/>
    <w:rsid w:val="00335E34"/>
    <w:rsid w:val="00343576"/>
    <w:rsid w:val="003572E8"/>
    <w:rsid w:val="00363598"/>
    <w:rsid w:val="003655A9"/>
    <w:rsid w:val="00380CAF"/>
    <w:rsid w:val="003903DD"/>
    <w:rsid w:val="003A10BB"/>
    <w:rsid w:val="003A2E2F"/>
    <w:rsid w:val="003B3A45"/>
    <w:rsid w:val="003B63B2"/>
    <w:rsid w:val="003D5153"/>
    <w:rsid w:val="003D6760"/>
    <w:rsid w:val="003D6BFB"/>
    <w:rsid w:val="003E0C8F"/>
    <w:rsid w:val="003E59C4"/>
    <w:rsid w:val="003E72D0"/>
    <w:rsid w:val="004037EB"/>
    <w:rsid w:val="00405B3E"/>
    <w:rsid w:val="00406A40"/>
    <w:rsid w:val="004261AE"/>
    <w:rsid w:val="00427CE7"/>
    <w:rsid w:val="00441067"/>
    <w:rsid w:val="0044499F"/>
    <w:rsid w:val="004453DC"/>
    <w:rsid w:val="00451FAE"/>
    <w:rsid w:val="004567E9"/>
    <w:rsid w:val="004579A0"/>
    <w:rsid w:val="00476211"/>
    <w:rsid w:val="00476D0D"/>
    <w:rsid w:val="004824C3"/>
    <w:rsid w:val="004941C4"/>
    <w:rsid w:val="004A1341"/>
    <w:rsid w:val="004B61D7"/>
    <w:rsid w:val="004B7C1C"/>
    <w:rsid w:val="004C25F0"/>
    <w:rsid w:val="004D1189"/>
    <w:rsid w:val="004D1C4A"/>
    <w:rsid w:val="004D36EB"/>
    <w:rsid w:val="004E36C5"/>
    <w:rsid w:val="004F1CD6"/>
    <w:rsid w:val="004F2C18"/>
    <w:rsid w:val="00501A34"/>
    <w:rsid w:val="00501C79"/>
    <w:rsid w:val="0050248E"/>
    <w:rsid w:val="005056AE"/>
    <w:rsid w:val="005133A6"/>
    <w:rsid w:val="00516188"/>
    <w:rsid w:val="00523E67"/>
    <w:rsid w:val="00524F01"/>
    <w:rsid w:val="005516E6"/>
    <w:rsid w:val="00555EC5"/>
    <w:rsid w:val="00566214"/>
    <w:rsid w:val="0057306F"/>
    <w:rsid w:val="00581850"/>
    <w:rsid w:val="005824BD"/>
    <w:rsid w:val="00582F09"/>
    <w:rsid w:val="00594104"/>
    <w:rsid w:val="005A221A"/>
    <w:rsid w:val="005B2600"/>
    <w:rsid w:val="005C6712"/>
    <w:rsid w:val="005E7140"/>
    <w:rsid w:val="005F335C"/>
    <w:rsid w:val="005F55FE"/>
    <w:rsid w:val="005F7644"/>
    <w:rsid w:val="00611A47"/>
    <w:rsid w:val="0061657C"/>
    <w:rsid w:val="006174D8"/>
    <w:rsid w:val="00623690"/>
    <w:rsid w:val="006363AA"/>
    <w:rsid w:val="00637C09"/>
    <w:rsid w:val="00641CD7"/>
    <w:rsid w:val="00643E96"/>
    <w:rsid w:val="00651A1A"/>
    <w:rsid w:val="0067137F"/>
    <w:rsid w:val="00674D49"/>
    <w:rsid w:val="00681D25"/>
    <w:rsid w:val="0068687F"/>
    <w:rsid w:val="006877EC"/>
    <w:rsid w:val="00687CDD"/>
    <w:rsid w:val="006908D2"/>
    <w:rsid w:val="00691EF2"/>
    <w:rsid w:val="006938EB"/>
    <w:rsid w:val="00696DAE"/>
    <w:rsid w:val="006A0F9B"/>
    <w:rsid w:val="006A34F7"/>
    <w:rsid w:val="006A3BD9"/>
    <w:rsid w:val="006A511C"/>
    <w:rsid w:val="006C17EF"/>
    <w:rsid w:val="006C2897"/>
    <w:rsid w:val="006C7668"/>
    <w:rsid w:val="006E7C7E"/>
    <w:rsid w:val="006F3D22"/>
    <w:rsid w:val="006F7C37"/>
    <w:rsid w:val="00702AF3"/>
    <w:rsid w:val="0070373E"/>
    <w:rsid w:val="00706A54"/>
    <w:rsid w:val="0071146F"/>
    <w:rsid w:val="00734BBE"/>
    <w:rsid w:val="00747AB0"/>
    <w:rsid w:val="00752974"/>
    <w:rsid w:val="007658B9"/>
    <w:rsid w:val="00766D26"/>
    <w:rsid w:val="007866BF"/>
    <w:rsid w:val="007912C0"/>
    <w:rsid w:val="00791DAA"/>
    <w:rsid w:val="007920E3"/>
    <w:rsid w:val="00793A20"/>
    <w:rsid w:val="00797667"/>
    <w:rsid w:val="007A380F"/>
    <w:rsid w:val="007A6350"/>
    <w:rsid w:val="007A7464"/>
    <w:rsid w:val="007B06EF"/>
    <w:rsid w:val="007B1964"/>
    <w:rsid w:val="007C2CC8"/>
    <w:rsid w:val="007C4241"/>
    <w:rsid w:val="007E091C"/>
    <w:rsid w:val="00800F6F"/>
    <w:rsid w:val="00814B7E"/>
    <w:rsid w:val="00820312"/>
    <w:rsid w:val="00822AE6"/>
    <w:rsid w:val="00843FDB"/>
    <w:rsid w:val="00851F1A"/>
    <w:rsid w:val="00863897"/>
    <w:rsid w:val="00864FF3"/>
    <w:rsid w:val="008724C7"/>
    <w:rsid w:val="00876394"/>
    <w:rsid w:val="00877C1A"/>
    <w:rsid w:val="008A091F"/>
    <w:rsid w:val="008A2382"/>
    <w:rsid w:val="008A3664"/>
    <w:rsid w:val="008B207A"/>
    <w:rsid w:val="008B5347"/>
    <w:rsid w:val="008D1979"/>
    <w:rsid w:val="008D30DC"/>
    <w:rsid w:val="008D5A1F"/>
    <w:rsid w:val="008D7213"/>
    <w:rsid w:val="008E3E47"/>
    <w:rsid w:val="008E76D7"/>
    <w:rsid w:val="008E7EB2"/>
    <w:rsid w:val="008F52FD"/>
    <w:rsid w:val="00910586"/>
    <w:rsid w:val="009170B4"/>
    <w:rsid w:val="00923A38"/>
    <w:rsid w:val="00925BEB"/>
    <w:rsid w:val="009332A5"/>
    <w:rsid w:val="00942106"/>
    <w:rsid w:val="0094314E"/>
    <w:rsid w:val="00952FA6"/>
    <w:rsid w:val="00957F77"/>
    <w:rsid w:val="0096106F"/>
    <w:rsid w:val="00991B9C"/>
    <w:rsid w:val="009A38CC"/>
    <w:rsid w:val="009B6745"/>
    <w:rsid w:val="009E54B2"/>
    <w:rsid w:val="009F2EA7"/>
    <w:rsid w:val="00A00496"/>
    <w:rsid w:val="00A020EA"/>
    <w:rsid w:val="00A07CF5"/>
    <w:rsid w:val="00A2038E"/>
    <w:rsid w:val="00A2628B"/>
    <w:rsid w:val="00A2655D"/>
    <w:rsid w:val="00A47AEB"/>
    <w:rsid w:val="00A51B4F"/>
    <w:rsid w:val="00A62EFB"/>
    <w:rsid w:val="00A66972"/>
    <w:rsid w:val="00A6743C"/>
    <w:rsid w:val="00A70C52"/>
    <w:rsid w:val="00A725D3"/>
    <w:rsid w:val="00A727C1"/>
    <w:rsid w:val="00A75E20"/>
    <w:rsid w:val="00A829F2"/>
    <w:rsid w:val="00A914A1"/>
    <w:rsid w:val="00A94222"/>
    <w:rsid w:val="00A94CEE"/>
    <w:rsid w:val="00AA02C6"/>
    <w:rsid w:val="00AA7973"/>
    <w:rsid w:val="00AB5E68"/>
    <w:rsid w:val="00AD5D15"/>
    <w:rsid w:val="00AE2491"/>
    <w:rsid w:val="00B102CC"/>
    <w:rsid w:val="00B13F38"/>
    <w:rsid w:val="00B2399F"/>
    <w:rsid w:val="00B4749C"/>
    <w:rsid w:val="00B52520"/>
    <w:rsid w:val="00B67525"/>
    <w:rsid w:val="00B70067"/>
    <w:rsid w:val="00B756A1"/>
    <w:rsid w:val="00B80A37"/>
    <w:rsid w:val="00B824CA"/>
    <w:rsid w:val="00B85FA1"/>
    <w:rsid w:val="00B875FE"/>
    <w:rsid w:val="00B932B3"/>
    <w:rsid w:val="00BA12A2"/>
    <w:rsid w:val="00BA4F0F"/>
    <w:rsid w:val="00BB0169"/>
    <w:rsid w:val="00BB65B9"/>
    <w:rsid w:val="00BB77FA"/>
    <w:rsid w:val="00BD1EB2"/>
    <w:rsid w:val="00BE36F3"/>
    <w:rsid w:val="00BE3B09"/>
    <w:rsid w:val="00BF0F61"/>
    <w:rsid w:val="00BF6E9E"/>
    <w:rsid w:val="00C042A3"/>
    <w:rsid w:val="00C054DC"/>
    <w:rsid w:val="00C1063F"/>
    <w:rsid w:val="00C20DBD"/>
    <w:rsid w:val="00C318E4"/>
    <w:rsid w:val="00C32C16"/>
    <w:rsid w:val="00C65A3F"/>
    <w:rsid w:val="00C70B0D"/>
    <w:rsid w:val="00C91F8C"/>
    <w:rsid w:val="00CA1FB1"/>
    <w:rsid w:val="00CA315B"/>
    <w:rsid w:val="00CA4B5C"/>
    <w:rsid w:val="00CA63B2"/>
    <w:rsid w:val="00CB0163"/>
    <w:rsid w:val="00CC7D0E"/>
    <w:rsid w:val="00CD05DE"/>
    <w:rsid w:val="00CD1043"/>
    <w:rsid w:val="00CD1782"/>
    <w:rsid w:val="00CE21F2"/>
    <w:rsid w:val="00CE7DD2"/>
    <w:rsid w:val="00CF3E3C"/>
    <w:rsid w:val="00D06BD4"/>
    <w:rsid w:val="00D3120D"/>
    <w:rsid w:val="00D32668"/>
    <w:rsid w:val="00D34AFD"/>
    <w:rsid w:val="00D34C9C"/>
    <w:rsid w:val="00D57F82"/>
    <w:rsid w:val="00D66FD4"/>
    <w:rsid w:val="00D679F3"/>
    <w:rsid w:val="00D83E2B"/>
    <w:rsid w:val="00D83F85"/>
    <w:rsid w:val="00D84412"/>
    <w:rsid w:val="00DA5F25"/>
    <w:rsid w:val="00DB11DF"/>
    <w:rsid w:val="00DB50A9"/>
    <w:rsid w:val="00DC2A41"/>
    <w:rsid w:val="00DD046A"/>
    <w:rsid w:val="00DD05AC"/>
    <w:rsid w:val="00DD3666"/>
    <w:rsid w:val="00DD5C4A"/>
    <w:rsid w:val="00DD603B"/>
    <w:rsid w:val="00DD7015"/>
    <w:rsid w:val="00DE6B40"/>
    <w:rsid w:val="00DF21E6"/>
    <w:rsid w:val="00E024DE"/>
    <w:rsid w:val="00E05874"/>
    <w:rsid w:val="00E117B6"/>
    <w:rsid w:val="00E11EF5"/>
    <w:rsid w:val="00E143B8"/>
    <w:rsid w:val="00E1522B"/>
    <w:rsid w:val="00E23EA4"/>
    <w:rsid w:val="00E3134D"/>
    <w:rsid w:val="00E41CDB"/>
    <w:rsid w:val="00E4343D"/>
    <w:rsid w:val="00E46A73"/>
    <w:rsid w:val="00E5362A"/>
    <w:rsid w:val="00E70592"/>
    <w:rsid w:val="00E92F26"/>
    <w:rsid w:val="00EB10AF"/>
    <w:rsid w:val="00EB53FB"/>
    <w:rsid w:val="00EC55B9"/>
    <w:rsid w:val="00ED0A7E"/>
    <w:rsid w:val="00ED7E81"/>
    <w:rsid w:val="00EF0A5C"/>
    <w:rsid w:val="00EF51C8"/>
    <w:rsid w:val="00EF6777"/>
    <w:rsid w:val="00F011DF"/>
    <w:rsid w:val="00F057AD"/>
    <w:rsid w:val="00F13E56"/>
    <w:rsid w:val="00F2278B"/>
    <w:rsid w:val="00F25F5C"/>
    <w:rsid w:val="00F30288"/>
    <w:rsid w:val="00F352E4"/>
    <w:rsid w:val="00F429BF"/>
    <w:rsid w:val="00F44A6F"/>
    <w:rsid w:val="00F63DB9"/>
    <w:rsid w:val="00F65FDA"/>
    <w:rsid w:val="00F73EED"/>
    <w:rsid w:val="00F77258"/>
    <w:rsid w:val="00F82AF0"/>
    <w:rsid w:val="00F91AF8"/>
    <w:rsid w:val="00F95433"/>
    <w:rsid w:val="00F97137"/>
    <w:rsid w:val="00FA2569"/>
    <w:rsid w:val="00FA78E0"/>
    <w:rsid w:val="00FB5E86"/>
    <w:rsid w:val="00FE1EEE"/>
    <w:rsid w:val="00FE6277"/>
    <w:rsid w:val="00FF2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153"/>
    <w:pPr>
      <w:overflowPunct w:val="0"/>
      <w:autoSpaceDE w:val="0"/>
      <w:autoSpaceDN w:val="0"/>
      <w:adjustRightInd w:val="0"/>
      <w:spacing w:after="120"/>
      <w:ind w:firstLine="567"/>
      <w:jc w:val="both"/>
      <w:textAlignment w:val="baseline"/>
    </w:pPr>
    <w:rPr>
      <w:rFonts w:ascii=".VnTime" w:eastAsia="Times New Roman" w:hAnsi=".VnTime"/>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C18"/>
    <w:pPr>
      <w:ind w:left="720"/>
      <w:contextualSpacing/>
    </w:pPr>
  </w:style>
  <w:style w:type="paragraph" w:styleId="Header">
    <w:name w:val="header"/>
    <w:basedOn w:val="Normal"/>
    <w:link w:val="HeaderChar"/>
    <w:uiPriority w:val="99"/>
    <w:unhideWhenUsed/>
    <w:rsid w:val="005133A6"/>
    <w:pPr>
      <w:tabs>
        <w:tab w:val="center" w:pos="4680"/>
        <w:tab w:val="right" w:pos="9360"/>
      </w:tabs>
    </w:pPr>
  </w:style>
  <w:style w:type="character" w:customStyle="1" w:styleId="HeaderChar">
    <w:name w:val="Header Char"/>
    <w:link w:val="Header"/>
    <w:uiPriority w:val="99"/>
    <w:rsid w:val="005133A6"/>
    <w:rPr>
      <w:rFonts w:ascii=".VnTime" w:eastAsia="Times New Roman" w:hAnsi=".VnTime"/>
      <w:color w:val="0000FF"/>
      <w:sz w:val="24"/>
    </w:rPr>
  </w:style>
  <w:style w:type="paragraph" w:styleId="Footer">
    <w:name w:val="footer"/>
    <w:basedOn w:val="Normal"/>
    <w:link w:val="FooterChar"/>
    <w:uiPriority w:val="99"/>
    <w:unhideWhenUsed/>
    <w:rsid w:val="005133A6"/>
    <w:pPr>
      <w:tabs>
        <w:tab w:val="center" w:pos="4680"/>
        <w:tab w:val="right" w:pos="9360"/>
      </w:tabs>
    </w:pPr>
  </w:style>
  <w:style w:type="character" w:customStyle="1" w:styleId="FooterChar">
    <w:name w:val="Footer Char"/>
    <w:link w:val="Footer"/>
    <w:uiPriority w:val="99"/>
    <w:rsid w:val="005133A6"/>
    <w:rPr>
      <w:rFonts w:ascii=".VnTime" w:eastAsia="Times New Roman" w:hAnsi=".VnTime"/>
      <w:color w:val="0000FF"/>
      <w:sz w:val="24"/>
    </w:rPr>
  </w:style>
  <w:style w:type="table" w:styleId="TableGrid">
    <w:name w:val="Table Grid"/>
    <w:basedOn w:val="TableNormal"/>
    <w:uiPriority w:val="59"/>
    <w:rsid w:val="008D5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3FDB"/>
    <w:pPr>
      <w:spacing w:after="0"/>
    </w:pPr>
    <w:rPr>
      <w:rFonts w:ascii="Segoe UI" w:hAnsi="Segoe UI" w:cs="Segoe UI"/>
      <w:sz w:val="18"/>
      <w:szCs w:val="18"/>
    </w:rPr>
  </w:style>
  <w:style w:type="character" w:customStyle="1" w:styleId="BalloonTextChar">
    <w:name w:val="Balloon Text Char"/>
    <w:link w:val="BalloonText"/>
    <w:uiPriority w:val="99"/>
    <w:semiHidden/>
    <w:rsid w:val="00843FDB"/>
    <w:rPr>
      <w:rFonts w:ascii="Segoe UI" w:eastAsia="Times New Roman" w:hAnsi="Segoe UI" w:cs="Segoe UI"/>
      <w:color w:val="0000FF"/>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737748237">
      <w:bodyDiv w:val="1"/>
      <w:marLeft w:val="0"/>
      <w:marRight w:val="0"/>
      <w:marTop w:val="0"/>
      <w:marBottom w:val="0"/>
      <w:divBdr>
        <w:top w:val="none" w:sz="0" w:space="0" w:color="auto"/>
        <w:left w:val="none" w:sz="0" w:space="0" w:color="auto"/>
        <w:bottom w:val="none" w:sz="0" w:space="0" w:color="auto"/>
        <w:right w:val="none" w:sz="0" w:space="0" w:color="auto"/>
      </w:divBdr>
    </w:div>
    <w:div w:id="830373042">
      <w:bodyDiv w:val="1"/>
      <w:marLeft w:val="0"/>
      <w:marRight w:val="0"/>
      <w:marTop w:val="0"/>
      <w:marBottom w:val="0"/>
      <w:divBdr>
        <w:top w:val="none" w:sz="0" w:space="0" w:color="auto"/>
        <w:left w:val="none" w:sz="0" w:space="0" w:color="auto"/>
        <w:bottom w:val="none" w:sz="0" w:space="0" w:color="auto"/>
        <w:right w:val="none" w:sz="0" w:space="0" w:color="auto"/>
      </w:divBdr>
    </w:div>
    <w:div w:id="92676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17213-068C-4F7A-B3B9-770CE048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cstt02</dc:creator>
  <cp:keywords/>
  <cp:lastModifiedBy>Windows XPSP3</cp:lastModifiedBy>
  <cp:revision>2</cp:revision>
  <cp:lastPrinted>2018-11-16T10:14:00Z</cp:lastPrinted>
  <dcterms:created xsi:type="dcterms:W3CDTF">2019-02-01T13:00:00Z</dcterms:created>
  <dcterms:modified xsi:type="dcterms:W3CDTF">2019-02-01T13:00:00Z</dcterms:modified>
</cp:coreProperties>
</file>