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5FE" w:rsidRDefault="0058612A">
      <w:pPr>
        <w:jc w:val="center"/>
        <w:rPr>
          <w:rFonts w:ascii="Times New Roman" w:hAnsi="Times New Roman"/>
          <w:b/>
          <w:szCs w:val="28"/>
        </w:rPr>
      </w:pPr>
      <w:r>
        <w:rPr>
          <w:b/>
          <w:noProof/>
          <w:szCs w:val="28"/>
          <w:lang w:val="vi-VN" w:eastAsia="vi-VN"/>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-387350</wp:posOffset>
                </wp:positionV>
                <wp:extent cx="1062990" cy="412750"/>
                <wp:effectExtent l="0" t="0" r="22860" b="25400"/>
                <wp:wrapNone/>
                <wp:docPr id="2" name="Rectangle: Rounded Corners 2"/>
                <wp:cNvGraphicFramePr/>
                <a:graphic xmlns:a="http://schemas.openxmlformats.org/drawingml/2006/main">
                  <a:graphicData uri="http://schemas.microsoft.com/office/word/2010/wordprocessingShape">
                    <wps:wsp>
                      <wps:cNvSpPr/>
                      <wps:spPr>
                        <a:xfrm>
                          <a:off x="0" y="0"/>
                          <a:ext cx="1062990" cy="412750"/>
                        </a:xfrm>
                        <a:prstGeom prst="roundRect">
                          <a:avLst/>
                        </a:prstGeom>
                        <a:solidFill>
                          <a:schemeClr val="bg1"/>
                        </a:solidFill>
                        <a:ln>
                          <a:solidFill>
                            <a:schemeClr val="tx1"/>
                          </a:solidFill>
                        </a:ln>
                      </wps:spPr>
                      <wps:style>
                        <a:lnRef idx="2">
                          <a:schemeClr val="accent6">
                            <a:shade val="50000"/>
                          </a:schemeClr>
                        </a:lnRef>
                        <a:fillRef idx="1">
                          <a:schemeClr val="accent6"/>
                        </a:fillRef>
                        <a:effectRef idx="0">
                          <a:schemeClr val="accent6"/>
                        </a:effectRef>
                        <a:fontRef idx="minor">
                          <a:schemeClr val="lt1"/>
                        </a:fontRef>
                      </wps:style>
                      <wps:txbx>
                        <w:txbxContent>
                          <w:p w:rsidR="008F25FE" w:rsidRDefault="00AB3F9E">
                            <w:pPr>
                              <w:ind w:left="-142" w:right="-113"/>
                              <w:jc w:val="center"/>
                              <w:rPr>
                                <w:rFonts w:ascii="Times New Roman" w:hAnsi="Times New Roman"/>
                                <w:b/>
                                <w:color w:val="000000" w:themeColor="text1"/>
                                <w:szCs w:val="28"/>
                              </w:rPr>
                            </w:pPr>
                            <w:r>
                              <w:rPr>
                                <w:rFonts w:ascii="Times New Roman" w:hAnsi="Times New Roman"/>
                                <w:b/>
                                <w:color w:val="000000" w:themeColor="text1"/>
                                <w:szCs w:val="28"/>
                              </w:rPr>
                              <w:t>Phụ lục 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 o:spid="_x0000_s1026" style="position:absolute;left:0;text-align:left;margin-left:32.5pt;margin-top:-30.5pt;width:83.7pt;height:3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" fillcolor="white [3212]" strokecolor="black [3213]" strokeweight="1pt">
                <v:stroke joinstyle="miter"/>
                <v:textbox>
                  <w:txbxContent>
                    <w:p w:rsidR="008F25FE" w:rsidRDefault="00AB3F9E">
                      <w:pPr>
                        <w:ind w:left="-142" w:right="-113"/>
                        <w:jc w:val="center"/>
                        <w:rPr>
                          <w:rFonts w:ascii="Times New Roman" w:hAnsi="Times New Roman"/>
                          <w:b/>
                          <w:color w:val="000000" w:themeColor="text1"/>
                          <w:szCs w:val="28"/>
                        </w:rPr>
                      </w:pPr>
                      <w:r>
                        <w:rPr>
                          <w:rFonts w:ascii="Times New Roman" w:hAnsi="Times New Roman"/>
                          <w:b/>
                          <w:color w:val="000000" w:themeColor="text1"/>
                          <w:szCs w:val="28"/>
                        </w:rPr>
                        <w:t>Phụ lục 04</w:t>
                      </w:r>
                    </w:p>
                  </w:txbxContent>
                </v:textbox>
                <w10:wrap anchorx="margin"/>
              </v:roundrect>
            </w:pict>
          </mc:Fallback>
        </mc:AlternateContent>
      </w:r>
      <w:r>
        <w:rPr>
          <w:rFonts w:ascii="Times New Roman" w:hAnsi="Times New Roman"/>
          <w:b/>
          <w:szCs w:val="28"/>
        </w:rPr>
        <w:t>KHUNG TÀI LIỆU ÔN TẬP</w:t>
      </w:r>
    </w:p>
    <w:p w:rsidR="008F25FE" w:rsidRDefault="0058612A">
      <w:pPr>
        <w:jc w:val="center"/>
        <w:rPr>
          <w:rFonts w:ascii="Times New Roman" w:hAnsi="Times New Roman"/>
          <w:b/>
          <w:szCs w:val="28"/>
        </w:rPr>
      </w:pPr>
      <w:r>
        <w:rPr>
          <w:rFonts w:ascii="Times New Roman" w:hAnsi="Times New Roman"/>
          <w:b/>
          <w:szCs w:val="28"/>
        </w:rPr>
        <w:t xml:space="preserve">CHO KỲ </w:t>
      </w:r>
      <w:r w:rsidR="00AB3F9E">
        <w:rPr>
          <w:rFonts w:ascii="Times New Roman" w:hAnsi="Times New Roman"/>
          <w:b/>
          <w:szCs w:val="28"/>
        </w:rPr>
        <w:t>TUYỂN DỤNG</w:t>
      </w:r>
      <w:r>
        <w:rPr>
          <w:rFonts w:ascii="Times New Roman" w:hAnsi="Times New Roman"/>
          <w:b/>
          <w:szCs w:val="28"/>
        </w:rPr>
        <w:t xml:space="preserve"> CÔNG CHỨC LOẠI C  VÀO LÀM VIỆC TẠI MỘT SỐ NHNN CHI NHÁNH TỈNH</w:t>
      </w:r>
      <w:r w:rsidR="00AB3F9E">
        <w:rPr>
          <w:rFonts w:ascii="Times New Roman" w:hAnsi="Times New Roman"/>
          <w:b/>
          <w:szCs w:val="28"/>
        </w:rPr>
        <w:t>, THÀNH PHỐ</w:t>
      </w:r>
      <w:bookmarkStart w:id="0" w:name="_GoBack"/>
      <w:bookmarkEnd w:id="0"/>
      <w:r>
        <w:rPr>
          <w:rFonts w:ascii="Times New Roman" w:hAnsi="Times New Roman"/>
          <w:b/>
          <w:szCs w:val="28"/>
        </w:rPr>
        <w:t xml:space="preserve"> NĂM 2019-2020</w:t>
      </w:r>
    </w:p>
    <w:p w:rsidR="008F25FE" w:rsidRDefault="008F25FE">
      <w:pPr>
        <w:jc w:val="center"/>
        <w:rPr>
          <w:rFonts w:ascii="Times New Roman" w:hAnsi="Times New Roman"/>
          <w:b/>
          <w:szCs w:val="28"/>
        </w:rPr>
      </w:pPr>
    </w:p>
    <w:p w:rsidR="008F25FE" w:rsidRDefault="0058612A">
      <w:pPr>
        <w:spacing w:before="120"/>
        <w:ind w:firstLine="720"/>
        <w:jc w:val="both"/>
        <w:rPr>
          <w:rFonts w:ascii="Times New Roman" w:hAnsi="Times New Roman"/>
          <w:b/>
          <w:szCs w:val="28"/>
        </w:rPr>
      </w:pPr>
      <w:r>
        <w:rPr>
          <w:rFonts w:ascii="Times New Roman" w:hAnsi="Times New Roman"/>
          <w:b/>
          <w:szCs w:val="28"/>
        </w:rPr>
        <w:t xml:space="preserve">I. Kiến thức </w:t>
      </w:r>
      <w:proofErr w:type="gramStart"/>
      <w:r>
        <w:rPr>
          <w:rFonts w:ascii="Times New Roman" w:hAnsi="Times New Roman"/>
          <w:b/>
          <w:szCs w:val="28"/>
        </w:rPr>
        <w:t>chung</w:t>
      </w:r>
      <w:proofErr w:type="gramEnd"/>
    </w:p>
    <w:p w:rsidR="008F25FE" w:rsidRDefault="0058612A">
      <w:pPr>
        <w:spacing w:before="120"/>
        <w:ind w:firstLine="720"/>
        <w:jc w:val="both"/>
        <w:rPr>
          <w:rFonts w:ascii="Times New Roman" w:hAnsi="Times New Roman"/>
          <w:szCs w:val="28"/>
        </w:rPr>
      </w:pPr>
      <w:r>
        <w:rPr>
          <w:rFonts w:ascii="Times New Roman" w:hAnsi="Times New Roman"/>
          <w:szCs w:val="28"/>
        </w:rPr>
        <w:t>- Hiến pháp Việt Nam n</w:t>
      </w:r>
      <w:r>
        <w:rPr>
          <w:rFonts w:ascii="Times New Roman" w:hAnsi="Times New Roman" w:hint="eastAsia"/>
          <w:szCs w:val="28"/>
        </w:rPr>
        <w:t>ă</w:t>
      </w:r>
      <w:r>
        <w:rPr>
          <w:rFonts w:ascii="Times New Roman" w:hAnsi="Times New Roman"/>
          <w:szCs w:val="28"/>
        </w:rPr>
        <w:t>m 2013;</w:t>
      </w:r>
    </w:p>
    <w:p w:rsidR="008F25FE" w:rsidRDefault="0058612A">
      <w:pPr>
        <w:spacing w:before="120"/>
        <w:ind w:firstLine="720"/>
        <w:jc w:val="both"/>
        <w:rPr>
          <w:rFonts w:ascii="Times New Roman" w:hAnsi="Times New Roman"/>
          <w:szCs w:val="28"/>
        </w:rPr>
      </w:pPr>
      <w:r>
        <w:rPr>
          <w:rFonts w:ascii="Times New Roman" w:hAnsi="Times New Roman"/>
          <w:szCs w:val="28"/>
        </w:rPr>
        <w:t>- Luật tổ chức Chính phủ n</w:t>
      </w:r>
      <w:r>
        <w:rPr>
          <w:rFonts w:ascii="Times New Roman" w:hAnsi="Times New Roman" w:hint="eastAsia"/>
          <w:szCs w:val="28"/>
        </w:rPr>
        <w:t>ă</w:t>
      </w:r>
      <w:r>
        <w:rPr>
          <w:rFonts w:ascii="Times New Roman" w:hAnsi="Times New Roman"/>
          <w:szCs w:val="28"/>
        </w:rPr>
        <w:t>m 2015;</w:t>
      </w:r>
    </w:p>
    <w:p w:rsidR="008F25FE" w:rsidRDefault="0058612A">
      <w:pPr>
        <w:spacing w:before="120"/>
        <w:ind w:firstLine="720"/>
        <w:jc w:val="both"/>
        <w:rPr>
          <w:rFonts w:ascii="Times New Roman" w:hAnsi="Times New Roman"/>
          <w:szCs w:val="28"/>
        </w:rPr>
      </w:pPr>
      <w:r>
        <w:rPr>
          <w:rFonts w:ascii="Times New Roman" w:hAnsi="Times New Roman"/>
          <w:szCs w:val="28"/>
        </w:rPr>
        <w:t xml:space="preserve">- Nghị </w:t>
      </w:r>
      <w:r>
        <w:rPr>
          <w:rFonts w:ascii="Times New Roman" w:hAnsi="Times New Roman" w:hint="eastAsia"/>
          <w:szCs w:val="28"/>
        </w:rPr>
        <w:t>đ</w:t>
      </w:r>
      <w:r>
        <w:rPr>
          <w:rFonts w:ascii="Times New Roman" w:hAnsi="Times New Roman"/>
          <w:szCs w:val="28"/>
        </w:rPr>
        <w:t>ịnh số 123/2016/N</w:t>
      </w:r>
      <w:r>
        <w:rPr>
          <w:rFonts w:ascii="Times New Roman" w:hAnsi="Times New Roman" w:hint="eastAsia"/>
          <w:szCs w:val="28"/>
        </w:rPr>
        <w:t>Đ</w:t>
      </w:r>
      <w:r>
        <w:rPr>
          <w:rFonts w:ascii="Times New Roman" w:hAnsi="Times New Roman"/>
          <w:szCs w:val="28"/>
        </w:rPr>
        <w:t xml:space="preserve">-CP ngày 01/9/2016 của Chính phủ quy </w:t>
      </w:r>
      <w:r>
        <w:rPr>
          <w:rFonts w:ascii="Times New Roman" w:hAnsi="Times New Roman" w:hint="eastAsia"/>
          <w:szCs w:val="28"/>
        </w:rPr>
        <w:t>đ</w:t>
      </w:r>
      <w:r>
        <w:rPr>
          <w:rFonts w:ascii="Times New Roman" w:hAnsi="Times New Roman"/>
          <w:szCs w:val="28"/>
        </w:rPr>
        <w:t>ịnh chức n</w:t>
      </w:r>
      <w:r>
        <w:rPr>
          <w:rFonts w:ascii="Times New Roman" w:hAnsi="Times New Roman" w:hint="eastAsia"/>
          <w:szCs w:val="28"/>
        </w:rPr>
        <w:t>ă</w:t>
      </w:r>
      <w:r>
        <w:rPr>
          <w:rFonts w:ascii="Times New Roman" w:hAnsi="Times New Roman"/>
          <w:szCs w:val="28"/>
        </w:rPr>
        <w:t>ng, nhiệm vụ, quyền hạn và c</w:t>
      </w:r>
      <w:r>
        <w:rPr>
          <w:rFonts w:ascii="Times New Roman" w:hAnsi="Times New Roman" w:hint="eastAsia"/>
          <w:szCs w:val="28"/>
        </w:rPr>
        <w:t>ơ</w:t>
      </w:r>
      <w:r>
        <w:rPr>
          <w:rFonts w:ascii="Times New Roman" w:hAnsi="Times New Roman"/>
          <w:szCs w:val="28"/>
        </w:rPr>
        <w:t xml:space="preserve"> cấu tổ chức của Bộ, c</w:t>
      </w:r>
      <w:r>
        <w:rPr>
          <w:rFonts w:ascii="Times New Roman" w:hAnsi="Times New Roman" w:hint="eastAsia"/>
          <w:szCs w:val="28"/>
        </w:rPr>
        <w:t>ơ</w:t>
      </w:r>
      <w:r>
        <w:rPr>
          <w:rFonts w:ascii="Times New Roman" w:hAnsi="Times New Roman"/>
          <w:szCs w:val="28"/>
        </w:rPr>
        <w:t xml:space="preserve"> quan ngang Bộ;</w:t>
      </w:r>
    </w:p>
    <w:p w:rsidR="008F25FE" w:rsidRDefault="0058612A">
      <w:pPr>
        <w:spacing w:before="120"/>
        <w:ind w:firstLine="720"/>
        <w:jc w:val="both"/>
        <w:rPr>
          <w:rFonts w:ascii="Times New Roman" w:hAnsi="Times New Roman"/>
          <w:szCs w:val="28"/>
        </w:rPr>
      </w:pPr>
      <w:r>
        <w:rPr>
          <w:rFonts w:ascii="Times New Roman" w:hAnsi="Times New Roman"/>
          <w:szCs w:val="28"/>
        </w:rPr>
        <w:t>- Luật cán bộ, công chức;</w:t>
      </w:r>
    </w:p>
    <w:p w:rsidR="008F25FE" w:rsidRDefault="0058612A">
      <w:pPr>
        <w:spacing w:before="120"/>
        <w:ind w:firstLine="720"/>
        <w:jc w:val="both"/>
        <w:rPr>
          <w:rFonts w:ascii="Times New Roman" w:hAnsi="Times New Roman"/>
          <w:spacing w:val="-4"/>
          <w:szCs w:val="28"/>
        </w:rPr>
      </w:pPr>
      <w:r>
        <w:rPr>
          <w:rFonts w:ascii="Times New Roman" w:hAnsi="Times New Roman"/>
          <w:spacing w:val="-4"/>
          <w:szCs w:val="28"/>
        </w:rPr>
        <w:t xml:space="preserve">- Nghị </w:t>
      </w:r>
      <w:r>
        <w:rPr>
          <w:rFonts w:ascii="Times New Roman" w:hAnsi="Times New Roman" w:hint="eastAsia"/>
          <w:spacing w:val="-4"/>
          <w:szCs w:val="28"/>
        </w:rPr>
        <w:t>đ</w:t>
      </w:r>
      <w:r>
        <w:rPr>
          <w:rFonts w:ascii="Times New Roman" w:hAnsi="Times New Roman"/>
          <w:spacing w:val="-4"/>
          <w:szCs w:val="28"/>
        </w:rPr>
        <w:t>ịnh số 24/2010/ND-CP ngày 15/3/2010 về tuyển dụng, sử dụng và quản lý công chức (</w:t>
      </w:r>
      <w:r>
        <w:rPr>
          <w:rFonts w:ascii="Times New Roman" w:hAnsi="Times New Roman" w:hint="eastAsia"/>
          <w:spacing w:val="-4"/>
          <w:szCs w:val="28"/>
        </w:rPr>
        <w:t>đư</w:t>
      </w:r>
      <w:r>
        <w:rPr>
          <w:rFonts w:ascii="Times New Roman" w:hAnsi="Times New Roman"/>
          <w:spacing w:val="-4"/>
          <w:szCs w:val="28"/>
        </w:rPr>
        <w:t xml:space="preserve">ợc sửa </w:t>
      </w:r>
      <w:r>
        <w:rPr>
          <w:rFonts w:ascii="Times New Roman" w:hAnsi="Times New Roman" w:hint="eastAsia"/>
          <w:spacing w:val="-4"/>
          <w:szCs w:val="28"/>
        </w:rPr>
        <w:t>đ</w:t>
      </w:r>
      <w:r>
        <w:rPr>
          <w:rFonts w:ascii="Times New Roman" w:hAnsi="Times New Roman"/>
          <w:spacing w:val="-4"/>
          <w:szCs w:val="28"/>
        </w:rPr>
        <w:t>ổi, bổ sung tại Nghị định số 161/2018/NĐ-CP);</w:t>
      </w:r>
    </w:p>
    <w:p w:rsidR="008F25FE" w:rsidRDefault="0058612A">
      <w:pPr>
        <w:spacing w:before="120"/>
        <w:ind w:firstLine="720"/>
        <w:jc w:val="both"/>
        <w:rPr>
          <w:rFonts w:ascii="Times New Roman" w:hAnsi="Times New Roman"/>
          <w:szCs w:val="28"/>
        </w:rPr>
      </w:pPr>
      <w:r>
        <w:rPr>
          <w:rFonts w:ascii="Times New Roman" w:hAnsi="Times New Roman"/>
          <w:szCs w:val="28"/>
        </w:rPr>
        <w:t>- Luật Ngân hàng Nhà n</w:t>
      </w:r>
      <w:r>
        <w:rPr>
          <w:rFonts w:ascii="Times New Roman" w:hAnsi="Times New Roman" w:hint="eastAsia"/>
          <w:szCs w:val="28"/>
        </w:rPr>
        <w:t>ư</w:t>
      </w:r>
      <w:r>
        <w:rPr>
          <w:rFonts w:ascii="Times New Roman" w:hAnsi="Times New Roman"/>
          <w:szCs w:val="28"/>
        </w:rPr>
        <w:t>ớc Việt Nam n</w:t>
      </w:r>
      <w:r>
        <w:rPr>
          <w:rFonts w:ascii="Times New Roman" w:hAnsi="Times New Roman" w:hint="eastAsia"/>
          <w:szCs w:val="28"/>
        </w:rPr>
        <w:t>ă</w:t>
      </w:r>
      <w:r>
        <w:rPr>
          <w:rFonts w:ascii="Times New Roman" w:hAnsi="Times New Roman"/>
          <w:szCs w:val="28"/>
        </w:rPr>
        <w:t>m 2010;</w:t>
      </w:r>
    </w:p>
    <w:p w:rsidR="008F25FE" w:rsidRDefault="0058612A">
      <w:pPr>
        <w:spacing w:before="120"/>
        <w:ind w:firstLine="720"/>
        <w:jc w:val="both"/>
        <w:rPr>
          <w:rFonts w:ascii="Times New Roman" w:hAnsi="Times New Roman"/>
          <w:szCs w:val="28"/>
        </w:rPr>
      </w:pPr>
      <w:r>
        <w:rPr>
          <w:rFonts w:ascii="Times New Roman" w:hAnsi="Times New Roman"/>
          <w:szCs w:val="28"/>
        </w:rPr>
        <w:t>- Luật các tổ chức tín dụng n</w:t>
      </w:r>
      <w:r>
        <w:rPr>
          <w:rFonts w:ascii="Times New Roman" w:hAnsi="Times New Roman" w:hint="eastAsia"/>
          <w:szCs w:val="28"/>
        </w:rPr>
        <w:t>ă</w:t>
      </w:r>
      <w:r>
        <w:rPr>
          <w:rFonts w:ascii="Times New Roman" w:hAnsi="Times New Roman"/>
          <w:szCs w:val="28"/>
        </w:rPr>
        <w:t>m 2010 (</w:t>
      </w:r>
      <w:r>
        <w:rPr>
          <w:rFonts w:ascii="Times New Roman" w:hAnsi="Times New Roman" w:hint="eastAsia"/>
          <w:szCs w:val="28"/>
        </w:rPr>
        <w:t>đư</w:t>
      </w:r>
      <w:r>
        <w:rPr>
          <w:rFonts w:ascii="Times New Roman" w:hAnsi="Times New Roman"/>
          <w:szCs w:val="28"/>
        </w:rPr>
        <w:t xml:space="preserve">ợc sửa </w:t>
      </w:r>
      <w:r>
        <w:rPr>
          <w:rFonts w:ascii="Times New Roman" w:hAnsi="Times New Roman" w:hint="eastAsia"/>
          <w:szCs w:val="28"/>
        </w:rPr>
        <w:t>đ</w:t>
      </w:r>
      <w:r>
        <w:rPr>
          <w:rFonts w:ascii="Times New Roman" w:hAnsi="Times New Roman"/>
          <w:szCs w:val="28"/>
        </w:rPr>
        <w:t>ổi, bổ sung tại Luật số 17/2017/QH14);</w:t>
      </w:r>
    </w:p>
    <w:p w:rsidR="008F25FE" w:rsidRDefault="0058612A">
      <w:pPr>
        <w:spacing w:before="120"/>
        <w:ind w:firstLine="720"/>
        <w:jc w:val="both"/>
        <w:rPr>
          <w:rFonts w:ascii="Times New Roman" w:hAnsi="Times New Roman"/>
          <w:szCs w:val="28"/>
        </w:rPr>
      </w:pPr>
      <w:r>
        <w:rPr>
          <w:rFonts w:ascii="Times New Roman" w:hAnsi="Times New Roman"/>
          <w:szCs w:val="28"/>
        </w:rPr>
        <w:t xml:space="preserve">- Nghị </w:t>
      </w:r>
      <w:r>
        <w:rPr>
          <w:rFonts w:ascii="Times New Roman" w:hAnsi="Times New Roman" w:hint="eastAsia"/>
          <w:szCs w:val="28"/>
        </w:rPr>
        <w:t>đ</w:t>
      </w:r>
      <w:r>
        <w:rPr>
          <w:rFonts w:ascii="Times New Roman" w:hAnsi="Times New Roman"/>
          <w:szCs w:val="28"/>
        </w:rPr>
        <w:t>ịnh số 16/2017/N</w:t>
      </w:r>
      <w:r>
        <w:rPr>
          <w:rFonts w:ascii="Times New Roman" w:hAnsi="Times New Roman" w:hint="eastAsia"/>
          <w:szCs w:val="28"/>
        </w:rPr>
        <w:t>Đ</w:t>
      </w:r>
      <w:r>
        <w:rPr>
          <w:rFonts w:ascii="Times New Roman" w:hAnsi="Times New Roman"/>
          <w:szCs w:val="28"/>
        </w:rPr>
        <w:t xml:space="preserve">-CP ngày 17/02/2017 của Chính phủ quy </w:t>
      </w:r>
      <w:r>
        <w:rPr>
          <w:rFonts w:ascii="Times New Roman" w:hAnsi="Times New Roman" w:hint="eastAsia"/>
          <w:szCs w:val="28"/>
        </w:rPr>
        <w:t>đ</w:t>
      </w:r>
      <w:r>
        <w:rPr>
          <w:rFonts w:ascii="Times New Roman" w:hAnsi="Times New Roman"/>
          <w:szCs w:val="28"/>
        </w:rPr>
        <w:t xml:space="preserve">ịnh </w:t>
      </w:r>
      <w:proofErr w:type="gramStart"/>
      <w:r>
        <w:rPr>
          <w:rFonts w:ascii="Times New Roman" w:hAnsi="Times New Roman"/>
          <w:szCs w:val="28"/>
        </w:rPr>
        <w:t>chức</w:t>
      </w:r>
      <w:proofErr w:type="gramEnd"/>
      <w:r>
        <w:rPr>
          <w:rFonts w:ascii="Times New Roman" w:hAnsi="Times New Roman"/>
          <w:szCs w:val="28"/>
        </w:rPr>
        <w:t xml:space="preserve"> n</w:t>
      </w:r>
      <w:r>
        <w:rPr>
          <w:rFonts w:ascii="Times New Roman" w:hAnsi="Times New Roman" w:hint="eastAsia"/>
          <w:szCs w:val="28"/>
        </w:rPr>
        <w:t>ă</w:t>
      </w:r>
      <w:r>
        <w:rPr>
          <w:rFonts w:ascii="Times New Roman" w:hAnsi="Times New Roman"/>
          <w:szCs w:val="28"/>
        </w:rPr>
        <w:t>ng, nhiệm vụ, quyền hạn và c</w:t>
      </w:r>
      <w:r>
        <w:rPr>
          <w:rFonts w:ascii="Times New Roman" w:hAnsi="Times New Roman" w:hint="eastAsia"/>
          <w:szCs w:val="28"/>
        </w:rPr>
        <w:t>ơ</w:t>
      </w:r>
      <w:r>
        <w:rPr>
          <w:rFonts w:ascii="Times New Roman" w:hAnsi="Times New Roman"/>
          <w:szCs w:val="28"/>
        </w:rPr>
        <w:t xml:space="preserve"> cấu tổ chức của Ngân hàng Nhà n</w:t>
      </w:r>
      <w:r>
        <w:rPr>
          <w:rFonts w:ascii="Times New Roman" w:hAnsi="Times New Roman" w:hint="eastAsia"/>
          <w:szCs w:val="28"/>
        </w:rPr>
        <w:t>ư</w:t>
      </w:r>
      <w:r>
        <w:rPr>
          <w:rFonts w:ascii="Times New Roman" w:hAnsi="Times New Roman"/>
          <w:szCs w:val="28"/>
        </w:rPr>
        <w:t>ớc Việt Nam;</w:t>
      </w:r>
    </w:p>
    <w:p w:rsidR="008F25FE" w:rsidRDefault="0058612A">
      <w:pPr>
        <w:spacing w:before="120"/>
        <w:ind w:firstLine="720"/>
        <w:jc w:val="both"/>
        <w:rPr>
          <w:rFonts w:ascii="Times New Roman" w:hAnsi="Times New Roman"/>
          <w:szCs w:val="28"/>
        </w:rPr>
      </w:pPr>
      <w:r>
        <w:rPr>
          <w:rFonts w:ascii="Times New Roman" w:hAnsi="Times New Roman"/>
          <w:szCs w:val="28"/>
        </w:rPr>
        <w:t xml:space="preserve">- Quyết </w:t>
      </w:r>
      <w:r>
        <w:rPr>
          <w:rFonts w:ascii="Times New Roman" w:hAnsi="Times New Roman" w:hint="eastAsia"/>
          <w:szCs w:val="28"/>
        </w:rPr>
        <w:t>đ</w:t>
      </w:r>
      <w:r>
        <w:rPr>
          <w:rFonts w:ascii="Times New Roman" w:hAnsi="Times New Roman"/>
          <w:szCs w:val="28"/>
        </w:rPr>
        <w:t>ịnh 986/Q</w:t>
      </w:r>
      <w:r>
        <w:rPr>
          <w:rFonts w:ascii="Times New Roman" w:hAnsi="Times New Roman" w:hint="eastAsia"/>
          <w:szCs w:val="28"/>
        </w:rPr>
        <w:t>Đ</w:t>
      </w:r>
      <w:r>
        <w:rPr>
          <w:rFonts w:ascii="Times New Roman" w:hAnsi="Times New Roman"/>
          <w:szCs w:val="28"/>
        </w:rPr>
        <w:t>-TTg 2018 của Thủ tướng Chính phủ phê duyệt Chiến l</w:t>
      </w:r>
      <w:r>
        <w:rPr>
          <w:rFonts w:ascii="Times New Roman" w:hAnsi="Times New Roman" w:hint="eastAsia"/>
          <w:szCs w:val="28"/>
        </w:rPr>
        <w:t>ư</w:t>
      </w:r>
      <w:r>
        <w:rPr>
          <w:rFonts w:ascii="Times New Roman" w:hAnsi="Times New Roman"/>
          <w:szCs w:val="28"/>
        </w:rPr>
        <w:t xml:space="preserve">ợc phát triển ngành Ngân hàng </w:t>
      </w:r>
      <w:r>
        <w:rPr>
          <w:rFonts w:ascii="Times New Roman" w:hAnsi="Times New Roman" w:hint="eastAsia"/>
          <w:szCs w:val="28"/>
        </w:rPr>
        <w:t>đ</w:t>
      </w:r>
      <w:r>
        <w:rPr>
          <w:rFonts w:ascii="Times New Roman" w:hAnsi="Times New Roman"/>
          <w:szCs w:val="28"/>
        </w:rPr>
        <w:t xml:space="preserve">ến 2025, </w:t>
      </w:r>
      <w:r>
        <w:rPr>
          <w:rFonts w:ascii="Times New Roman" w:hAnsi="Times New Roman" w:hint="eastAsia"/>
          <w:szCs w:val="28"/>
        </w:rPr>
        <w:t>đ</w:t>
      </w:r>
      <w:r>
        <w:rPr>
          <w:rFonts w:ascii="Times New Roman" w:hAnsi="Times New Roman"/>
          <w:szCs w:val="28"/>
        </w:rPr>
        <w:t>ịnh h</w:t>
      </w:r>
      <w:r>
        <w:rPr>
          <w:rFonts w:ascii="Times New Roman" w:hAnsi="Times New Roman" w:hint="eastAsia"/>
          <w:szCs w:val="28"/>
        </w:rPr>
        <w:t>ư</w:t>
      </w:r>
      <w:r>
        <w:rPr>
          <w:rFonts w:ascii="Times New Roman" w:hAnsi="Times New Roman"/>
          <w:szCs w:val="28"/>
        </w:rPr>
        <w:t xml:space="preserve">ớng </w:t>
      </w:r>
      <w:r>
        <w:rPr>
          <w:rFonts w:ascii="Times New Roman" w:hAnsi="Times New Roman" w:hint="eastAsia"/>
          <w:szCs w:val="28"/>
        </w:rPr>
        <w:t>đ</w:t>
      </w:r>
      <w:r>
        <w:rPr>
          <w:rFonts w:ascii="Times New Roman" w:hAnsi="Times New Roman"/>
          <w:szCs w:val="28"/>
        </w:rPr>
        <w:t>ến 2030.</w:t>
      </w:r>
    </w:p>
    <w:p w:rsidR="008F25FE" w:rsidRDefault="0058612A">
      <w:pPr>
        <w:spacing w:before="120"/>
        <w:ind w:firstLine="720"/>
        <w:jc w:val="both"/>
        <w:rPr>
          <w:rFonts w:ascii="Times New Roman" w:hAnsi="Times New Roman"/>
          <w:b/>
          <w:szCs w:val="28"/>
        </w:rPr>
      </w:pPr>
      <w:r>
        <w:rPr>
          <w:rFonts w:ascii="Times New Roman" w:hAnsi="Times New Roman"/>
          <w:b/>
          <w:szCs w:val="28"/>
        </w:rPr>
        <w:t>II. Kiến thức chuyên môn, nghiệp vụ</w:t>
      </w:r>
    </w:p>
    <w:p w:rsidR="008F25FE" w:rsidRDefault="0058612A">
      <w:pPr>
        <w:spacing w:before="80"/>
        <w:ind w:firstLine="720"/>
        <w:jc w:val="both"/>
        <w:rPr>
          <w:rFonts w:ascii="Times New Roman" w:hAnsi="Times New Roman"/>
          <w:b/>
          <w:szCs w:val="28"/>
        </w:rPr>
      </w:pPr>
      <w:r>
        <w:rPr>
          <w:rFonts w:ascii="Times New Roman" w:hAnsi="Times New Roman"/>
          <w:b/>
          <w:szCs w:val="28"/>
        </w:rPr>
        <w:t>1. Nhóm văn bản quy phạm pháp luật</w:t>
      </w:r>
    </w:p>
    <w:p w:rsidR="008F25FE" w:rsidRDefault="0058612A">
      <w:pPr>
        <w:spacing w:before="80"/>
        <w:ind w:firstLine="720"/>
        <w:jc w:val="both"/>
        <w:rPr>
          <w:rFonts w:ascii="Times New Roman" w:hAnsi="Times New Roman"/>
          <w:b/>
          <w:i/>
          <w:szCs w:val="28"/>
        </w:rPr>
      </w:pPr>
      <w:r>
        <w:rPr>
          <w:rFonts w:ascii="Times New Roman" w:hAnsi="Times New Roman"/>
          <w:b/>
          <w:i/>
          <w:szCs w:val="28"/>
        </w:rPr>
        <w:t xml:space="preserve">1.1. Nhóm văn bản </w:t>
      </w:r>
      <w:proofErr w:type="gramStart"/>
      <w:r>
        <w:rPr>
          <w:rFonts w:ascii="Times New Roman" w:hAnsi="Times New Roman"/>
          <w:b/>
          <w:i/>
          <w:szCs w:val="28"/>
        </w:rPr>
        <w:t>chung</w:t>
      </w:r>
      <w:proofErr w:type="gramEnd"/>
      <w:r>
        <w:rPr>
          <w:rFonts w:ascii="Times New Roman" w:hAnsi="Times New Roman"/>
          <w:b/>
          <w:i/>
          <w:szCs w:val="28"/>
        </w:rPr>
        <w:t xml:space="preserve"> liên quan đến hoạt động của NHNN và hoạt động nghiệp vụ Ngân hàng trung ương cơ bản</w:t>
      </w:r>
    </w:p>
    <w:p w:rsidR="008F25FE" w:rsidRDefault="0058612A">
      <w:pPr>
        <w:spacing w:before="80"/>
        <w:ind w:firstLine="720"/>
        <w:jc w:val="both"/>
        <w:rPr>
          <w:rFonts w:ascii="Times New Roman" w:hAnsi="Times New Roman"/>
          <w:szCs w:val="28"/>
        </w:rPr>
      </w:pPr>
      <w:r>
        <w:rPr>
          <w:rFonts w:ascii="Times New Roman" w:hAnsi="Times New Roman"/>
          <w:szCs w:val="28"/>
        </w:rPr>
        <w:t>- Luật Ngân hàng Nhà nước Việt Nam năm 2010;</w:t>
      </w:r>
    </w:p>
    <w:p w:rsidR="008F25FE" w:rsidRDefault="0058612A">
      <w:pPr>
        <w:spacing w:before="80"/>
        <w:ind w:firstLine="720"/>
        <w:jc w:val="both"/>
        <w:rPr>
          <w:rFonts w:ascii="Times New Roman" w:hAnsi="Times New Roman"/>
          <w:szCs w:val="28"/>
        </w:rPr>
      </w:pPr>
      <w:r>
        <w:rPr>
          <w:rFonts w:ascii="Times New Roman" w:hAnsi="Times New Roman"/>
          <w:szCs w:val="28"/>
        </w:rPr>
        <w:t>- Luật các Tổ chức tín dụng số 47/2010/QH12 (được sửa đổi, bổ sung tại Luật số 17/2017/QH14);</w:t>
      </w:r>
    </w:p>
    <w:p w:rsidR="008F25FE" w:rsidRDefault="0058612A">
      <w:pPr>
        <w:spacing w:before="80"/>
        <w:ind w:firstLine="720"/>
        <w:jc w:val="both"/>
        <w:rPr>
          <w:rFonts w:ascii="Times New Roman" w:hAnsi="Times New Roman"/>
          <w:szCs w:val="28"/>
        </w:rPr>
      </w:pPr>
      <w:r>
        <w:rPr>
          <w:rFonts w:ascii="Times New Roman" w:hAnsi="Times New Roman"/>
          <w:szCs w:val="28"/>
        </w:rPr>
        <w:t>- Pháp lệnh ngoại hối số 28/2005/PL-UBTVQH11 (được sửa đổi, bổ sung tại Pháp lệnh số 06/2013/UBTVQH13);</w:t>
      </w:r>
    </w:p>
    <w:p w:rsidR="008F25FE" w:rsidRDefault="0058612A">
      <w:pPr>
        <w:spacing w:before="80"/>
        <w:ind w:firstLine="720"/>
        <w:jc w:val="both"/>
        <w:rPr>
          <w:rFonts w:ascii="Times New Roman" w:hAnsi="Times New Roman"/>
          <w:szCs w:val="28"/>
        </w:rPr>
      </w:pPr>
      <w:r>
        <w:rPr>
          <w:rFonts w:ascii="Times New Roman" w:hAnsi="Times New Roman"/>
          <w:szCs w:val="28"/>
        </w:rPr>
        <w:t>- Nghị định số 101/2012/NĐ-CP ngày 22/11/2012 của Chính phủ về thanh toán không dùng tiền mặt (được sửa đổi, bổ sung tại Nghị định số 80/2016/NĐ-CP ngày 01/7/2017);</w:t>
      </w:r>
    </w:p>
    <w:p w:rsidR="008F25FE" w:rsidRDefault="0058612A">
      <w:pPr>
        <w:spacing w:before="80"/>
        <w:ind w:firstLine="720"/>
        <w:jc w:val="both"/>
        <w:rPr>
          <w:rFonts w:ascii="Times New Roman" w:hAnsi="Times New Roman"/>
          <w:szCs w:val="28"/>
        </w:rPr>
      </w:pPr>
      <w:r>
        <w:rPr>
          <w:rFonts w:ascii="Times New Roman" w:hAnsi="Times New Roman"/>
          <w:szCs w:val="28"/>
        </w:rPr>
        <w:t>- Nghị định số 222/2013/NĐ-CP ngày 31/12/2013 của Chính phủ về thanh toán bằng tiền mặt;</w:t>
      </w:r>
    </w:p>
    <w:p w:rsidR="008F25FE" w:rsidRDefault="0058612A">
      <w:pPr>
        <w:spacing w:before="80"/>
        <w:ind w:firstLine="720"/>
        <w:jc w:val="both"/>
        <w:rPr>
          <w:rFonts w:ascii="Times New Roman" w:hAnsi="Times New Roman"/>
          <w:szCs w:val="28"/>
        </w:rPr>
      </w:pPr>
      <w:r>
        <w:rPr>
          <w:rFonts w:ascii="Times New Roman" w:hAnsi="Times New Roman"/>
          <w:szCs w:val="28"/>
        </w:rPr>
        <w:t>- Nghị định số 50/2014/NĐ-CP ngày 20/5/2014 của Chính phủ về quản lý dự trữ ngoại hối nhà nước;</w:t>
      </w:r>
    </w:p>
    <w:p w:rsidR="008F25FE" w:rsidRDefault="0058612A">
      <w:pPr>
        <w:spacing w:before="80"/>
        <w:ind w:firstLine="720"/>
        <w:jc w:val="both"/>
        <w:rPr>
          <w:rFonts w:ascii="Times New Roman" w:hAnsi="Times New Roman"/>
          <w:szCs w:val="28"/>
        </w:rPr>
      </w:pPr>
      <w:r>
        <w:rPr>
          <w:rFonts w:ascii="Times New Roman" w:hAnsi="Times New Roman"/>
          <w:szCs w:val="28"/>
        </w:rPr>
        <w:t>- Nghị định số 40/2012/NĐ-CP ngày 02/5/2012 của Chính phủ về nghiệp vụ phát hành tiền; bảo quản, vận chuyển tài sản quý và giấy tờ có giá trong hệ thống NHNN, TCTD và chi nhánh Ngân hàng nước ngoài;</w:t>
      </w:r>
    </w:p>
    <w:p w:rsidR="008F25FE" w:rsidRDefault="0058612A">
      <w:pPr>
        <w:spacing w:before="80"/>
        <w:ind w:firstLine="720"/>
        <w:jc w:val="both"/>
        <w:rPr>
          <w:rFonts w:ascii="Times New Roman" w:hAnsi="Times New Roman"/>
          <w:szCs w:val="28"/>
        </w:rPr>
      </w:pPr>
      <w:r>
        <w:rPr>
          <w:rFonts w:ascii="Times New Roman" w:hAnsi="Times New Roman"/>
          <w:szCs w:val="28"/>
        </w:rPr>
        <w:lastRenderedPageBreak/>
        <w:t>- Quyết định số 986/QĐ-TTg ngày 8/8/2018 về việc phê duyệt Chiến lược phát triển ngành ngân hàng Việt Nam đến năm 2025, định hướng đến năm 2030.</w:t>
      </w:r>
    </w:p>
    <w:p w:rsidR="008F25FE" w:rsidRDefault="0058612A">
      <w:pPr>
        <w:spacing w:before="80"/>
        <w:ind w:firstLine="720"/>
        <w:jc w:val="both"/>
        <w:rPr>
          <w:rFonts w:ascii="Times New Roman" w:hAnsi="Times New Roman"/>
          <w:b/>
          <w:i/>
          <w:szCs w:val="28"/>
        </w:rPr>
      </w:pPr>
      <w:r>
        <w:rPr>
          <w:rFonts w:ascii="Times New Roman" w:hAnsi="Times New Roman"/>
          <w:b/>
          <w:i/>
          <w:szCs w:val="28"/>
        </w:rPr>
        <w:t>1.2. Nhóm văn bản liên quan đến hoạt động thanh tra, giám sát, đảm bảo hoạt động ngân hàng an toàn, lành mạnh</w:t>
      </w:r>
    </w:p>
    <w:p w:rsidR="008F25FE" w:rsidRDefault="0058612A">
      <w:pPr>
        <w:spacing w:before="80"/>
        <w:ind w:firstLine="720"/>
        <w:jc w:val="both"/>
        <w:rPr>
          <w:rFonts w:ascii="Times New Roman" w:hAnsi="Times New Roman"/>
          <w:szCs w:val="28"/>
        </w:rPr>
      </w:pPr>
      <w:r>
        <w:rPr>
          <w:rFonts w:ascii="Times New Roman" w:hAnsi="Times New Roman"/>
          <w:szCs w:val="28"/>
        </w:rPr>
        <w:t>- Luật thanh tra năm 2010</w:t>
      </w:r>
    </w:p>
    <w:p w:rsidR="008F25FE" w:rsidRDefault="0058612A">
      <w:pPr>
        <w:spacing w:before="80"/>
        <w:ind w:firstLine="720"/>
        <w:jc w:val="both"/>
        <w:rPr>
          <w:rFonts w:ascii="Times New Roman" w:hAnsi="Times New Roman"/>
          <w:szCs w:val="28"/>
        </w:rPr>
      </w:pPr>
      <w:r>
        <w:rPr>
          <w:rFonts w:ascii="Times New Roman" w:hAnsi="Times New Roman"/>
          <w:szCs w:val="28"/>
        </w:rPr>
        <w:t>- Nghị định số 26/2014/NĐ-CP ngày 7/4/2014 của Chính phủ về tổ chức và hoạt động của Thanh tra, giám sát ngành ngân hàng (được sửa đổi, bổ sung tại Nghị định số 43/2019/NĐ-CP ngày 17/5/2019).</w:t>
      </w:r>
    </w:p>
    <w:p w:rsidR="008F25FE" w:rsidRDefault="0058612A">
      <w:pPr>
        <w:spacing w:before="80"/>
        <w:ind w:firstLine="720"/>
        <w:jc w:val="both"/>
        <w:rPr>
          <w:rFonts w:ascii="Times New Roman" w:hAnsi="Times New Roman"/>
          <w:szCs w:val="28"/>
        </w:rPr>
      </w:pPr>
      <w:r>
        <w:rPr>
          <w:rFonts w:ascii="Times New Roman" w:hAnsi="Times New Roman"/>
          <w:szCs w:val="28"/>
        </w:rPr>
        <w:t>- Quyết định số 20/2019/QĐ-TTg ngày 12/6/2019 của Thủ tướng Chính phủ quy định chức năng, nhiệm vụ, quyền hạn và cơ cấu tổ chức của Cơ quan Thanh tra, giám sát ngân hàng trực thuộc NHNN.</w:t>
      </w:r>
    </w:p>
    <w:p w:rsidR="008F25FE" w:rsidRDefault="0058612A">
      <w:pPr>
        <w:spacing w:before="80"/>
        <w:ind w:firstLine="720"/>
        <w:jc w:val="both"/>
        <w:rPr>
          <w:rFonts w:ascii="Times New Roman" w:hAnsi="Times New Roman"/>
          <w:szCs w:val="28"/>
        </w:rPr>
      </w:pPr>
      <w:r>
        <w:rPr>
          <w:rFonts w:ascii="Times New Roman" w:hAnsi="Times New Roman"/>
          <w:szCs w:val="28"/>
        </w:rPr>
        <w:t xml:space="preserve">- Nghị định số 96/2014/NĐ-CP ngày 17/10/2014 của Chính phủ quy định xử phạt </w:t>
      </w:r>
      <w:proofErr w:type="gramStart"/>
      <w:r>
        <w:rPr>
          <w:rFonts w:ascii="Times New Roman" w:hAnsi="Times New Roman"/>
          <w:szCs w:val="28"/>
        </w:rPr>
        <w:t>vi</w:t>
      </w:r>
      <w:proofErr w:type="gramEnd"/>
      <w:r>
        <w:rPr>
          <w:rFonts w:ascii="Times New Roman" w:hAnsi="Times New Roman"/>
          <w:szCs w:val="28"/>
        </w:rPr>
        <w:t xml:space="preserve"> phạm hành chính trong lĩnh vực tiền tệ và ngân hàng.</w:t>
      </w:r>
    </w:p>
    <w:p w:rsidR="008F25FE" w:rsidRDefault="0058612A">
      <w:pPr>
        <w:spacing w:before="80"/>
        <w:ind w:firstLine="720"/>
        <w:jc w:val="both"/>
        <w:rPr>
          <w:rFonts w:ascii="Times New Roman" w:hAnsi="Times New Roman"/>
          <w:szCs w:val="28"/>
        </w:rPr>
      </w:pPr>
      <w:r>
        <w:rPr>
          <w:rFonts w:ascii="Times New Roman" w:hAnsi="Times New Roman"/>
          <w:szCs w:val="28"/>
        </w:rPr>
        <w:t>- Thông tư số 02/2013/TT-NHNN ngày 21/01/2013 của Thống đốc NHNN quy định về phân loại tài sản có, mức trích, phương pháp trích lập dự phòng rủi ro và việc sử dụng dự phòng để xử lý rủi ro trong hoạt động của tổ chức tín dụng, chi nhánh ngân hàng nước ngoài (được sửa đổi, bổ sung tại Thông tư số 09/2014/TT-NHNN ngày 18/3/2014).</w:t>
      </w:r>
    </w:p>
    <w:p w:rsidR="008F25FE" w:rsidRDefault="0058612A">
      <w:pPr>
        <w:spacing w:before="80"/>
        <w:ind w:firstLine="720"/>
        <w:jc w:val="both"/>
        <w:rPr>
          <w:rFonts w:ascii="Times New Roman" w:hAnsi="Times New Roman"/>
          <w:szCs w:val="28"/>
        </w:rPr>
      </w:pPr>
      <w:r>
        <w:rPr>
          <w:rFonts w:ascii="Times New Roman" w:hAnsi="Times New Roman"/>
          <w:szCs w:val="28"/>
        </w:rPr>
        <w:t xml:space="preserve">- Văn bản hợp nhất số 13/VBHN-NHNN ngày 10/8/2018 về các Thông tư quy định giới hạn, tỷ lệ bảo đảm </w:t>
      </w:r>
      <w:proofErr w:type="gramStart"/>
      <w:r>
        <w:rPr>
          <w:rFonts w:ascii="Times New Roman" w:hAnsi="Times New Roman"/>
          <w:szCs w:val="28"/>
        </w:rPr>
        <w:t>an</w:t>
      </w:r>
      <w:proofErr w:type="gramEnd"/>
      <w:r>
        <w:rPr>
          <w:rFonts w:ascii="Times New Roman" w:hAnsi="Times New Roman"/>
          <w:szCs w:val="28"/>
        </w:rPr>
        <w:t xml:space="preserve"> toàn trong hoạt động của tổ chức tín dụng, chi nhánh ngân hàng nước ngoài.</w:t>
      </w:r>
    </w:p>
    <w:p w:rsidR="008F25FE" w:rsidRDefault="0058612A">
      <w:pPr>
        <w:spacing w:before="80"/>
        <w:ind w:firstLine="720"/>
        <w:jc w:val="both"/>
        <w:rPr>
          <w:rFonts w:ascii="Times New Roman" w:hAnsi="Times New Roman"/>
          <w:szCs w:val="28"/>
        </w:rPr>
      </w:pPr>
      <w:r>
        <w:rPr>
          <w:rFonts w:ascii="Times New Roman" w:hAnsi="Times New Roman"/>
          <w:spacing w:val="-2"/>
          <w:szCs w:val="28"/>
        </w:rPr>
        <w:t xml:space="preserve">- Thông tư số 41/2016/TT-NHNN ngày 30/12/2016 của Thống đốc NHNN quy định tỷ lệ </w:t>
      </w:r>
      <w:proofErr w:type="gramStart"/>
      <w:r>
        <w:rPr>
          <w:rFonts w:ascii="Times New Roman" w:hAnsi="Times New Roman"/>
          <w:spacing w:val="-2"/>
          <w:szCs w:val="28"/>
        </w:rPr>
        <w:t>an</w:t>
      </w:r>
      <w:proofErr w:type="gramEnd"/>
      <w:r>
        <w:rPr>
          <w:rFonts w:ascii="Times New Roman" w:hAnsi="Times New Roman"/>
          <w:spacing w:val="-2"/>
          <w:szCs w:val="28"/>
        </w:rPr>
        <w:t xml:space="preserve"> toàn đối với ngân hàng, chi nhánh ngân hàng nước ng</w:t>
      </w:r>
      <w:r>
        <w:rPr>
          <w:rFonts w:ascii="Times New Roman" w:hAnsi="Times New Roman"/>
          <w:szCs w:val="28"/>
        </w:rPr>
        <w:t>oài</w:t>
      </w:r>
    </w:p>
    <w:p w:rsidR="008F25FE" w:rsidRDefault="0058612A">
      <w:pPr>
        <w:spacing w:before="80"/>
        <w:ind w:firstLine="720"/>
        <w:jc w:val="both"/>
        <w:rPr>
          <w:rFonts w:ascii="Times New Roman" w:hAnsi="Times New Roman"/>
          <w:b/>
          <w:i/>
          <w:szCs w:val="28"/>
        </w:rPr>
      </w:pPr>
      <w:r>
        <w:rPr>
          <w:rFonts w:ascii="Times New Roman" w:hAnsi="Times New Roman"/>
          <w:b/>
          <w:i/>
          <w:szCs w:val="28"/>
        </w:rPr>
        <w:t>1.3. Nhóm văn bản liên quan đến hoạt động ngân hàng cơ bản của các tổ chức tín dụng</w:t>
      </w:r>
    </w:p>
    <w:p w:rsidR="008F25FE" w:rsidRDefault="0058612A">
      <w:pPr>
        <w:spacing w:before="80"/>
        <w:ind w:firstLine="720"/>
        <w:jc w:val="both"/>
        <w:rPr>
          <w:rFonts w:ascii="Times New Roman" w:hAnsi="Times New Roman"/>
          <w:szCs w:val="28"/>
        </w:rPr>
      </w:pPr>
      <w:r>
        <w:rPr>
          <w:rFonts w:ascii="Times New Roman" w:hAnsi="Times New Roman"/>
          <w:szCs w:val="28"/>
        </w:rPr>
        <w:t xml:space="preserve">- Thông tư 48/2018/TT-NHNN ngày 31/12/2018 của Thống đốc NHNN quy định về tiền gửi tiết kiệm; </w:t>
      </w:r>
    </w:p>
    <w:p w:rsidR="008F25FE" w:rsidRDefault="0058612A">
      <w:pPr>
        <w:spacing w:before="80"/>
        <w:ind w:firstLine="720"/>
        <w:jc w:val="both"/>
        <w:rPr>
          <w:rFonts w:ascii="Times New Roman" w:hAnsi="Times New Roman"/>
          <w:szCs w:val="28"/>
        </w:rPr>
      </w:pPr>
      <w:r>
        <w:rPr>
          <w:rFonts w:ascii="Times New Roman" w:hAnsi="Times New Roman"/>
          <w:szCs w:val="28"/>
        </w:rPr>
        <w:t>- Thông tư 49/2018/TT-NHNN ngày 31/12/2018 của Thống đốc NHNN quy định về tiền gửi có kỳ hạn;</w:t>
      </w:r>
    </w:p>
    <w:p w:rsidR="008F25FE" w:rsidRDefault="0058612A">
      <w:pPr>
        <w:spacing w:before="80"/>
        <w:ind w:firstLine="720"/>
        <w:jc w:val="both"/>
        <w:rPr>
          <w:rFonts w:ascii="Times New Roman" w:hAnsi="Times New Roman"/>
          <w:szCs w:val="28"/>
        </w:rPr>
      </w:pPr>
      <w:r>
        <w:rPr>
          <w:rFonts w:ascii="Times New Roman" w:hAnsi="Times New Roman"/>
          <w:szCs w:val="28"/>
        </w:rPr>
        <w:t>- Văn bản hợp nhất số 34/VBHN-NHNN ngày 8/7/2016 của Thống đốc NHNN quy định về phát hành kỳ phiếu, tín phiếu, chứng chỉ tiền gửi, trái phiếu trong nước của tổ chức tín dụng, chi nhánh ngân hàng nước ngoài;</w:t>
      </w:r>
    </w:p>
    <w:p w:rsidR="008F25FE" w:rsidRDefault="0058612A">
      <w:pPr>
        <w:spacing w:before="80"/>
        <w:ind w:firstLine="720"/>
        <w:jc w:val="both"/>
        <w:rPr>
          <w:rFonts w:ascii="Times New Roman" w:hAnsi="Times New Roman"/>
          <w:szCs w:val="28"/>
        </w:rPr>
      </w:pPr>
      <w:r>
        <w:rPr>
          <w:rFonts w:ascii="Times New Roman" w:hAnsi="Times New Roman"/>
          <w:szCs w:val="28"/>
        </w:rPr>
        <w:t>- Thông tư số 39/2016/TT-NHNN ngày 30/12/2016 của Thống đốc NHNN quy định về hoạt động cho vay của các tổ chức tín dụng, chi nhánh ngân hàng nước ngoài đối với khách hàng.</w:t>
      </w:r>
    </w:p>
    <w:p w:rsidR="008F25FE" w:rsidRDefault="0058612A">
      <w:pPr>
        <w:spacing w:before="80"/>
        <w:ind w:firstLine="720"/>
        <w:jc w:val="both"/>
        <w:rPr>
          <w:rFonts w:ascii="Times New Roman" w:hAnsi="Times New Roman"/>
          <w:szCs w:val="28"/>
        </w:rPr>
      </w:pPr>
      <w:r>
        <w:rPr>
          <w:rFonts w:ascii="Times New Roman" w:hAnsi="Times New Roman"/>
          <w:szCs w:val="28"/>
        </w:rPr>
        <w:t>- Thông tư số 42/2011/TT-NHNN ngày 15/12/2011 của Thống đốc NHNN quy định về việc cấp tín dụng hợp vốn của các tổ chức tín dụng đối với khách hàng; được sửa đổi, bổ sung tại Thông tư số 24/2016/TT-NHNN ngày 30/6/2016.</w:t>
      </w:r>
    </w:p>
    <w:p w:rsidR="008F25FE" w:rsidRDefault="008F25FE">
      <w:pPr>
        <w:spacing w:before="80"/>
        <w:ind w:firstLine="720"/>
        <w:jc w:val="both"/>
        <w:rPr>
          <w:rFonts w:ascii="Times New Roman" w:hAnsi="Times New Roman"/>
          <w:b/>
          <w:szCs w:val="28"/>
        </w:rPr>
      </w:pPr>
    </w:p>
    <w:p w:rsidR="008F25FE" w:rsidRDefault="008F25FE">
      <w:pPr>
        <w:spacing w:before="80"/>
        <w:ind w:firstLine="720"/>
        <w:jc w:val="both"/>
        <w:rPr>
          <w:rFonts w:ascii="Times New Roman" w:hAnsi="Times New Roman"/>
          <w:b/>
          <w:szCs w:val="28"/>
        </w:rPr>
      </w:pPr>
    </w:p>
    <w:p w:rsidR="008F25FE" w:rsidRDefault="0058612A">
      <w:pPr>
        <w:spacing w:before="80"/>
        <w:ind w:firstLine="720"/>
        <w:jc w:val="both"/>
        <w:rPr>
          <w:rFonts w:ascii="Times New Roman" w:hAnsi="Times New Roman"/>
          <w:b/>
          <w:szCs w:val="28"/>
        </w:rPr>
      </w:pPr>
      <w:r>
        <w:rPr>
          <w:rFonts w:ascii="Times New Roman" w:hAnsi="Times New Roman"/>
          <w:b/>
          <w:szCs w:val="28"/>
        </w:rPr>
        <w:lastRenderedPageBreak/>
        <w:t>2. Nhóm sách, giáo trình học thuật</w:t>
      </w:r>
    </w:p>
    <w:p w:rsidR="008F25FE" w:rsidRDefault="0058612A">
      <w:pPr>
        <w:spacing w:before="80"/>
        <w:ind w:firstLine="720"/>
        <w:jc w:val="both"/>
        <w:rPr>
          <w:rFonts w:ascii="Times New Roman" w:hAnsi="Times New Roman"/>
          <w:szCs w:val="28"/>
        </w:rPr>
      </w:pPr>
      <w:r>
        <w:rPr>
          <w:rFonts w:ascii="Times New Roman" w:hAnsi="Times New Roman"/>
          <w:b/>
          <w:szCs w:val="28"/>
        </w:rPr>
        <w:t>-</w:t>
      </w:r>
      <w:r>
        <w:rPr>
          <w:rFonts w:ascii="Times New Roman" w:hAnsi="Times New Roman"/>
          <w:szCs w:val="28"/>
        </w:rPr>
        <w:t xml:space="preserve"> Giáo trình: i) Giáo trình Lý thuyết tài chính tiền tệ; ii) Giáo trình Nghiệp vụ Ngân hàng trung ương; iii) Giáo trình Ngân hàng thương mại. </w:t>
      </w:r>
    </w:p>
    <w:p w:rsidR="008F25FE" w:rsidRDefault="0058612A">
      <w:pPr>
        <w:spacing w:before="80"/>
        <w:ind w:firstLine="720"/>
        <w:jc w:val="both"/>
        <w:rPr>
          <w:rFonts w:ascii="Times New Roman" w:hAnsi="Times New Roman"/>
          <w:szCs w:val="28"/>
        </w:rPr>
      </w:pPr>
      <w:r>
        <w:rPr>
          <w:rFonts w:ascii="Times New Roman" w:hAnsi="Times New Roman"/>
          <w:szCs w:val="28"/>
        </w:rPr>
        <w:t>- Sách: i) Sách “Quản trị ngân hàng thương mại”, tác giả Peter Rose; ii) Sách “Tiền tệ, ngân hàng và thị trường tài chính”, tác giả Frederic Mishkin.</w:t>
      </w:r>
    </w:p>
    <w:p w:rsidR="008F25FE" w:rsidRDefault="0058612A">
      <w:pPr>
        <w:spacing w:before="80"/>
        <w:ind w:firstLine="720"/>
        <w:jc w:val="both"/>
        <w:rPr>
          <w:rFonts w:ascii="Times New Roman" w:hAnsi="Times New Roman"/>
          <w:b/>
          <w:szCs w:val="28"/>
        </w:rPr>
      </w:pPr>
      <w:r>
        <w:rPr>
          <w:rFonts w:ascii="Times New Roman" w:hAnsi="Times New Roman"/>
          <w:b/>
          <w:szCs w:val="28"/>
        </w:rPr>
        <w:t>3. Nhóm kiến thức thực tiễn</w:t>
      </w:r>
    </w:p>
    <w:p w:rsidR="008F25FE" w:rsidRDefault="0058612A">
      <w:pPr>
        <w:spacing w:before="80"/>
        <w:ind w:firstLine="720"/>
        <w:jc w:val="both"/>
        <w:rPr>
          <w:rFonts w:ascii="Times New Roman" w:hAnsi="Times New Roman"/>
          <w:szCs w:val="28"/>
        </w:rPr>
      </w:pPr>
      <w:r>
        <w:rPr>
          <w:rFonts w:ascii="Times New Roman" w:hAnsi="Times New Roman"/>
          <w:szCs w:val="28"/>
        </w:rPr>
        <w:t>- Các Báo cáo thường niên của NHNN từ năm 2015 đến nay</w:t>
      </w:r>
    </w:p>
    <w:p w:rsidR="008F25FE" w:rsidRDefault="0058612A">
      <w:pPr>
        <w:spacing w:before="80"/>
        <w:ind w:firstLine="720"/>
        <w:jc w:val="both"/>
        <w:rPr>
          <w:rFonts w:ascii="Times New Roman" w:hAnsi="Times New Roman"/>
          <w:szCs w:val="28"/>
        </w:rPr>
      </w:pPr>
      <w:r>
        <w:rPr>
          <w:rFonts w:ascii="Times New Roman" w:hAnsi="Times New Roman"/>
          <w:szCs w:val="28"/>
        </w:rPr>
        <w:t>- Thông tin, báo cáo được công khai trên website của NHNN</w:t>
      </w:r>
    </w:p>
    <w:p w:rsidR="008F25FE" w:rsidRDefault="0058612A">
      <w:pPr>
        <w:spacing w:before="80"/>
        <w:ind w:firstLine="720"/>
        <w:jc w:val="both"/>
        <w:rPr>
          <w:rFonts w:ascii="Times New Roman" w:hAnsi="Times New Roman"/>
          <w:szCs w:val="28"/>
        </w:rPr>
      </w:pPr>
      <w:r>
        <w:rPr>
          <w:rFonts w:ascii="Times New Roman" w:hAnsi="Times New Roman"/>
          <w:szCs w:val="28"/>
        </w:rPr>
        <w:t>- Kiến thức thực tiễn khác về hoạt động ngân hàng (những thông tin cơ bản, được công bố công khai trên các nguồn thông tin chính thống như Tổng cục Thống kê, các trang thông tin điện tử uy tín như vneconomy.vn; thoibaonganhang.vn…).</w:t>
      </w:r>
    </w:p>
    <w:p w:rsidR="008F25FE" w:rsidRDefault="008F25FE">
      <w:pPr>
        <w:spacing w:before="80"/>
        <w:ind w:firstLine="720"/>
        <w:jc w:val="both"/>
        <w:rPr>
          <w:rFonts w:ascii="Times New Roman" w:hAnsi="Times New Roman"/>
          <w:szCs w:val="28"/>
          <w:lang w:val="vi-VN"/>
        </w:rPr>
      </w:pPr>
    </w:p>
    <w:sectPr w:rsidR="008F25FE">
      <w:footerReference w:type="default" r:id="rId7"/>
      <w:pgSz w:w="11907" w:h="16839" w:code="9"/>
      <w:pgMar w:top="1135" w:right="1008" w:bottom="1008" w:left="2016" w:header="720" w:footer="51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138" w:rsidRDefault="00FD0138">
      <w:r>
        <w:separator/>
      </w:r>
    </w:p>
  </w:endnote>
  <w:endnote w:type="continuationSeparator" w:id="0">
    <w:p w:rsidR="00FD0138" w:rsidRDefault="00FD0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A3"/>
    <w:family w:val="swiss"/>
    <w:pitch w:val="variable"/>
    <w:sig w:usb0="E10022FF" w:usb1="C000E47F" w:usb2="00000029" w:usb3="00000000" w:csb0="000001DF"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9371268"/>
      <w:docPartObj>
        <w:docPartGallery w:val="Page Numbers (Bottom of Page)"/>
        <w:docPartUnique/>
      </w:docPartObj>
    </w:sdtPr>
    <w:sdtEndPr>
      <w:rPr>
        <w:rFonts w:ascii="Times New Roman" w:hAnsi="Times New Roman"/>
        <w:noProof/>
        <w:sz w:val="20"/>
        <w:szCs w:val="24"/>
      </w:rPr>
    </w:sdtEndPr>
    <w:sdtContent>
      <w:p w:rsidR="008F25FE" w:rsidRDefault="0058612A">
        <w:pPr>
          <w:pStyle w:val="Footer"/>
          <w:jc w:val="center"/>
          <w:rPr>
            <w:rFonts w:ascii="Times New Roman" w:hAnsi="Times New Roman"/>
            <w:sz w:val="20"/>
            <w:szCs w:val="24"/>
          </w:rPr>
        </w:pPr>
        <w:r>
          <w:rPr>
            <w:rFonts w:ascii="Times New Roman" w:hAnsi="Times New Roman"/>
            <w:sz w:val="20"/>
            <w:szCs w:val="24"/>
          </w:rPr>
          <w:fldChar w:fldCharType="begin"/>
        </w:r>
        <w:r>
          <w:rPr>
            <w:rFonts w:ascii="Times New Roman" w:hAnsi="Times New Roman"/>
            <w:sz w:val="20"/>
            <w:szCs w:val="24"/>
          </w:rPr>
          <w:instrText xml:space="preserve"> PAGE   \* MERGEFORMAT </w:instrText>
        </w:r>
        <w:r>
          <w:rPr>
            <w:rFonts w:ascii="Times New Roman" w:hAnsi="Times New Roman"/>
            <w:sz w:val="20"/>
            <w:szCs w:val="24"/>
          </w:rPr>
          <w:fldChar w:fldCharType="separate"/>
        </w:r>
        <w:r w:rsidR="00AB3F9E">
          <w:rPr>
            <w:rFonts w:ascii="Times New Roman" w:hAnsi="Times New Roman"/>
            <w:noProof/>
            <w:sz w:val="20"/>
            <w:szCs w:val="24"/>
          </w:rPr>
          <w:t>2</w:t>
        </w:r>
        <w:r>
          <w:rPr>
            <w:rFonts w:ascii="Times New Roman" w:hAnsi="Times New Roman"/>
            <w:noProof/>
            <w:sz w:val="20"/>
            <w:szCs w:val="24"/>
          </w:rPr>
          <w:fldChar w:fldCharType="end"/>
        </w:r>
      </w:p>
    </w:sdtContent>
  </w:sdt>
  <w:p w:rsidR="008F25FE" w:rsidRDefault="008F25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138" w:rsidRDefault="00FD0138">
      <w:r>
        <w:separator/>
      </w:r>
    </w:p>
  </w:footnote>
  <w:footnote w:type="continuationSeparator" w:id="0">
    <w:p w:rsidR="00FD0138" w:rsidRDefault="00FD01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5FE"/>
    <w:rsid w:val="0058612A"/>
    <w:rsid w:val="00853E88"/>
    <w:rsid w:val="008F25FE"/>
    <w:rsid w:val="00AB3F9E"/>
    <w:rsid w:val="00FD0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9D0D24-1BF2-407D-A86C-8BC342380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Pr>
      <w:sz w:val="20"/>
    </w:rPr>
  </w:style>
  <w:style w:type="character" w:customStyle="1" w:styleId="FootnoteTextChar">
    <w:name w:val="Footnote Text Char"/>
    <w:basedOn w:val="DefaultParagraphFont"/>
    <w:link w:val="FootnoteText"/>
    <w:uiPriority w:val="99"/>
    <w:semiHidden/>
    <w:rPr>
      <w:rFonts w:ascii=".VnTime" w:eastAsia="Times New Roman" w:hAnsi=".VnTime" w:cs="Times New Roman"/>
      <w:sz w:val="20"/>
      <w:szCs w:val="20"/>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VnTime" w:eastAsia="Times New Roman" w:hAnsi=".VnTime" w:cs="Times New Roman"/>
      <w:sz w:val="28"/>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VnTime" w:eastAsia="Times New Roman" w:hAnsi=".VnTime" w:cs="Times New Roman"/>
      <w:sz w:val="28"/>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C56C1-72EA-4EFA-A658-A34019170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Nguyen Thi Thu Thoa (TCCB)</cp:lastModifiedBy>
  <cp:revision>3</cp:revision>
  <cp:lastPrinted>2019-11-18T03:51:00Z</cp:lastPrinted>
  <dcterms:created xsi:type="dcterms:W3CDTF">2020-06-01T03:09:00Z</dcterms:created>
  <dcterms:modified xsi:type="dcterms:W3CDTF">2020-06-01T03:13:00Z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SBV411567</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anonymous</vt:lpwstr>
  </property>
  <property fmtid="{D5CDD505-2E9C-101B-9397-08002B2CF9AE}" pid="6" name="DISdID">
    <vt:lpwstr>413808</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http://webcenter-app01:16200/cs/idcplg?IdcService=DESKTOP_DOC_INFO&amp;dDocName=SBV411567&amp;dID=413808&amp;ClientControlled=DocMan,taskpane&amp;coreContentOnly=1</vt:lpwstr>
  </property>
</Properties>
</file>