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EA8A3" w14:textId="77777777" w:rsidR="00684C58" w:rsidRDefault="00684C58" w:rsidP="00CE137B">
      <w:pPr>
        <w:spacing w:line="360" w:lineRule="atLeast"/>
        <w:ind w:left="540"/>
        <w:jc w:val="center"/>
        <w:rPr>
          <w:rFonts w:cs="Times New Roman"/>
          <w:b/>
          <w:sz w:val="32"/>
          <w:szCs w:val="32"/>
          <w:lang w:val="pt-BR"/>
        </w:rPr>
      </w:pPr>
      <w:bookmarkStart w:id="0" w:name="_GoBack"/>
      <w:bookmarkEnd w:id="0"/>
    </w:p>
    <w:p w14:paraId="54FFF157" w14:textId="77777777" w:rsidR="003E414A" w:rsidRPr="00AB5F54" w:rsidRDefault="001E215D" w:rsidP="001612C9">
      <w:pPr>
        <w:ind w:firstLine="720"/>
        <w:jc w:val="center"/>
        <w:rPr>
          <w:b/>
          <w:sz w:val="30"/>
          <w:szCs w:val="36"/>
          <w:lang w:val="pt-BR"/>
        </w:rPr>
      </w:pPr>
      <w:r w:rsidRPr="00AB5F54">
        <w:rPr>
          <w:b/>
          <w:sz w:val="30"/>
          <w:szCs w:val="36"/>
          <w:lang w:val="pt-BR"/>
        </w:rPr>
        <w:t xml:space="preserve">Bản so sánh, thuyết minh dự thảo Thông </w:t>
      </w:r>
      <w:r w:rsidR="00FC1EB5" w:rsidRPr="00AB5F54">
        <w:rPr>
          <w:b/>
          <w:sz w:val="30"/>
          <w:szCs w:val="36"/>
          <w:lang w:val="pt-BR"/>
        </w:rPr>
        <w:t>tư sửa đổi, bổ sung một số điều của Thông tư số 39/2011/TT-NHNN ngày 15/12/2011 của Thống đốc NHNN quy định về kiểm toán</w:t>
      </w:r>
      <w:r w:rsidR="003E414A" w:rsidRPr="00AB5F54">
        <w:rPr>
          <w:b/>
          <w:sz w:val="30"/>
          <w:szCs w:val="36"/>
          <w:lang w:val="pt-BR"/>
        </w:rPr>
        <w:t xml:space="preserve"> </w:t>
      </w:r>
      <w:r w:rsidR="00FC1EB5" w:rsidRPr="00AB5F54">
        <w:rPr>
          <w:b/>
          <w:sz w:val="30"/>
          <w:szCs w:val="36"/>
          <w:lang w:val="pt-BR"/>
        </w:rPr>
        <w:t>độc lậ</w:t>
      </w:r>
      <w:r w:rsidR="003E414A" w:rsidRPr="00AB5F54">
        <w:rPr>
          <w:b/>
          <w:sz w:val="30"/>
          <w:szCs w:val="36"/>
          <w:lang w:val="pt-BR"/>
        </w:rPr>
        <w:t>p</w:t>
      </w:r>
    </w:p>
    <w:p w14:paraId="1522BEA0" w14:textId="79DA72FD" w:rsidR="00684C58" w:rsidRPr="00AB5F54" w:rsidRDefault="00FC1EB5" w:rsidP="001612C9">
      <w:pPr>
        <w:ind w:firstLine="720"/>
        <w:jc w:val="center"/>
        <w:rPr>
          <w:b/>
          <w:sz w:val="30"/>
          <w:szCs w:val="36"/>
          <w:lang w:val="pt-BR"/>
        </w:rPr>
      </w:pPr>
      <w:r w:rsidRPr="00AB5F54">
        <w:rPr>
          <w:b/>
          <w:sz w:val="30"/>
          <w:szCs w:val="36"/>
          <w:lang w:val="pt-BR"/>
        </w:rPr>
        <w:t>đối với tổ chức tín dụng, chi nhánh ngân hàng nước ngoài</w:t>
      </w:r>
    </w:p>
    <w:p w14:paraId="56D8F8D6" w14:textId="77777777" w:rsidR="001E215D" w:rsidRPr="00AB5F54" w:rsidRDefault="001E215D" w:rsidP="001E215D">
      <w:pPr>
        <w:spacing w:before="60"/>
        <w:ind w:firstLine="720"/>
        <w:jc w:val="center"/>
        <w:rPr>
          <w:b/>
          <w:sz w:val="32"/>
          <w:szCs w:val="32"/>
          <w:lang w:val="nl-NL"/>
        </w:rPr>
      </w:pPr>
    </w:p>
    <w:p w14:paraId="260D237C" w14:textId="7DABF490" w:rsidR="00C80A7D" w:rsidRPr="00AB5F54" w:rsidRDefault="00C80A7D" w:rsidP="0029653E">
      <w:pPr>
        <w:spacing w:before="120" w:after="120"/>
        <w:ind w:firstLine="720"/>
        <w:rPr>
          <w:lang w:val="nl-NL"/>
        </w:rPr>
      </w:pPr>
      <w:r w:rsidRPr="00AB5F54">
        <w:rPr>
          <w:b/>
          <w:noProof/>
          <w:szCs w:val="28"/>
          <w:lang w:val="en-AU"/>
        </w:rPr>
        <w:t>1. Cơ sở pháp lý và sự cần thiết xây dựng Dự thảo Thông tư sửa đổi, bổ sung Thông tư số</w:t>
      </w:r>
      <w:r w:rsidR="00AD3448">
        <w:rPr>
          <w:b/>
          <w:noProof/>
          <w:szCs w:val="28"/>
          <w:lang w:val="en-AU"/>
        </w:rPr>
        <w:t xml:space="preserve"> 39</w:t>
      </w:r>
    </w:p>
    <w:p w14:paraId="2AC8471D" w14:textId="41FBEDAA" w:rsidR="00684C58" w:rsidRPr="00AB5F54" w:rsidRDefault="0090693F" w:rsidP="0029653E">
      <w:pPr>
        <w:spacing w:before="120" w:after="120"/>
        <w:ind w:firstLine="720"/>
        <w:rPr>
          <w:i/>
          <w:lang w:val="nl-NL"/>
        </w:rPr>
      </w:pPr>
      <w:r w:rsidRPr="00AB5F54">
        <w:rPr>
          <w:i/>
          <w:lang w:val="nl-NL"/>
        </w:rPr>
        <w:t>1.</w:t>
      </w:r>
      <w:r w:rsidR="00684C58" w:rsidRPr="00AB5F54">
        <w:rPr>
          <w:i/>
          <w:lang w:val="nl-NL"/>
        </w:rPr>
        <w:t>1. Cơ sở pháp lý</w:t>
      </w:r>
    </w:p>
    <w:p w14:paraId="605CEB77" w14:textId="77777777" w:rsidR="00684C58" w:rsidRPr="00AB5F54" w:rsidRDefault="00684C58" w:rsidP="0029653E">
      <w:pPr>
        <w:spacing w:before="120" w:after="120"/>
        <w:ind w:right="-1" w:firstLine="720"/>
        <w:rPr>
          <w:szCs w:val="28"/>
          <w:lang w:val="nl-NL"/>
        </w:rPr>
      </w:pPr>
      <w:r w:rsidRPr="00AB5F54">
        <w:rPr>
          <w:szCs w:val="28"/>
          <w:lang w:val="nl-NL"/>
        </w:rPr>
        <w:t>Luật các TCTD 2010 (đã được sửa đổi, bổ sung năm 2017) quy định:</w:t>
      </w:r>
    </w:p>
    <w:p w14:paraId="67C21C74" w14:textId="77777777" w:rsidR="00684C58" w:rsidRPr="00AB5F54" w:rsidRDefault="00684C58" w:rsidP="0029653E">
      <w:pPr>
        <w:spacing w:before="120" w:after="120"/>
        <w:ind w:right="-1" w:firstLine="720"/>
        <w:rPr>
          <w:szCs w:val="28"/>
        </w:rPr>
      </w:pPr>
      <w:r w:rsidRPr="00AB5F54">
        <w:rPr>
          <w:szCs w:val="28"/>
          <w:lang w:val="nl-NL"/>
        </w:rPr>
        <w:t xml:space="preserve">- </w:t>
      </w:r>
      <w:r w:rsidRPr="00AB5F54">
        <w:rPr>
          <w:szCs w:val="28"/>
        </w:rPr>
        <w:t xml:space="preserve">Hoạt động của hệ thống kiểm soát nội bộ của tổ chức tín dụng, chi nhánh ngân hàng nước ngoài phải được kiểm toán nội bộ, tổ chức kiểm toán độc lập đánh giá định kỳ (khoản 3 Điều 40). </w:t>
      </w:r>
    </w:p>
    <w:p w14:paraId="1CCA8162" w14:textId="77777777" w:rsidR="00684C58" w:rsidRPr="00AB5F54" w:rsidRDefault="00684C58" w:rsidP="0029653E">
      <w:pPr>
        <w:spacing w:before="120" w:after="120"/>
        <w:ind w:right="-1" w:firstLine="720"/>
        <w:rPr>
          <w:szCs w:val="28"/>
        </w:rPr>
      </w:pPr>
      <w:r w:rsidRPr="00AB5F54">
        <w:rPr>
          <w:szCs w:val="28"/>
        </w:rPr>
        <w:t>- Trước khi kết thúc năm tài chính, tổ chức tín dụng, chi nhánh ngân hàng nước ngoài phải lựa chọn một tổ chức kiểm toán độc lập đủ điều kiện theo quy định của Ngân hàng Nhà nước để kiểm toán các hoạt động của mình trong năm tài chính tiếp theo (khoản 1 Điều 42).</w:t>
      </w:r>
    </w:p>
    <w:p w14:paraId="1FD24E04" w14:textId="77777777" w:rsidR="00684C58" w:rsidRPr="00AB5F54" w:rsidRDefault="00684C58" w:rsidP="0029653E">
      <w:pPr>
        <w:widowControl w:val="0"/>
        <w:spacing w:before="120" w:after="120"/>
        <w:ind w:firstLine="567"/>
        <w:rPr>
          <w:szCs w:val="28"/>
        </w:rPr>
      </w:pPr>
      <w:r w:rsidRPr="00AB5F54">
        <w:rPr>
          <w:szCs w:val="28"/>
        </w:rPr>
        <w:t>- Việc kiểm toán độc lập đối với tổ chức tín dụng là hợp tác xã thực hiện theo quy định tại khoản 3 Điều 75 của Luật này (khoản 4 Điều 42).</w:t>
      </w:r>
    </w:p>
    <w:p w14:paraId="6207B8E2" w14:textId="77777777" w:rsidR="00684C58" w:rsidRPr="00AB5F54" w:rsidRDefault="00684C58" w:rsidP="0029653E">
      <w:pPr>
        <w:widowControl w:val="0"/>
        <w:spacing w:before="120" w:after="120"/>
        <w:ind w:firstLine="567"/>
        <w:rPr>
          <w:szCs w:val="28"/>
        </w:rPr>
      </w:pPr>
      <w:r w:rsidRPr="00AB5F54">
        <w:rPr>
          <w:szCs w:val="28"/>
        </w:rPr>
        <w:t xml:space="preserve">- Ngân hàng hợp tác xã, quỹ tín dụng nhân dân phải có kiểm toán nội bộ, hệ thống kiểm soát nội bộ và thực hiện kiểm toán độc lập theo quy định của Ngân hàng Nhà nước (khoản 3 Điều 75). </w:t>
      </w:r>
    </w:p>
    <w:p w14:paraId="5D4C903D" w14:textId="7D4FDCD0" w:rsidR="00684C58" w:rsidRPr="00AB5F54" w:rsidRDefault="00684C58" w:rsidP="0029653E">
      <w:pPr>
        <w:widowControl w:val="0"/>
        <w:spacing w:before="120" w:after="120"/>
        <w:ind w:firstLine="567"/>
        <w:rPr>
          <w:szCs w:val="28"/>
        </w:rPr>
      </w:pPr>
      <w:r w:rsidRPr="00AB5F54">
        <w:rPr>
          <w:szCs w:val="28"/>
        </w:rPr>
        <w:t>Các quy định nêu trên là căn cứ pháp lý để Ngân hàng Nhà nước xây dựng Thông tư số 39 và Thông tư sửa đổi, bổ sung một số điều của Thông tư 39</w:t>
      </w:r>
      <w:r w:rsidR="0065723C" w:rsidRPr="00AB5F54">
        <w:rPr>
          <w:szCs w:val="28"/>
          <w:lang w:val="en-US"/>
        </w:rPr>
        <w:t xml:space="preserve"> </w:t>
      </w:r>
      <w:r w:rsidRPr="00AB5F54">
        <w:rPr>
          <w:szCs w:val="28"/>
        </w:rPr>
        <w:t xml:space="preserve">quy định về kiểm toán độc lập của TCTD, chi nhánh NHNNg. </w:t>
      </w:r>
    </w:p>
    <w:p w14:paraId="5D4661B4" w14:textId="47C3731D" w:rsidR="00684C58" w:rsidRPr="00AB5F54" w:rsidRDefault="0090693F" w:rsidP="0029653E">
      <w:pPr>
        <w:spacing w:before="120" w:after="120"/>
        <w:ind w:right="-1" w:firstLine="720"/>
        <w:rPr>
          <w:i/>
          <w:szCs w:val="28"/>
          <w:lang w:val="nl-NL"/>
        </w:rPr>
      </w:pPr>
      <w:r w:rsidRPr="00AB5F54">
        <w:rPr>
          <w:i/>
          <w:szCs w:val="28"/>
          <w:lang w:val="nl-NL"/>
        </w:rPr>
        <w:t>1.</w:t>
      </w:r>
      <w:r w:rsidR="00684C58" w:rsidRPr="00AB5F54">
        <w:rPr>
          <w:i/>
          <w:szCs w:val="28"/>
          <w:lang w:val="nl-NL"/>
        </w:rPr>
        <w:t>2. Cơ sở thực tiễn</w:t>
      </w:r>
    </w:p>
    <w:p w14:paraId="667E1AF0" w14:textId="3A2AFACF" w:rsidR="0029653E" w:rsidRPr="00AB5F54" w:rsidRDefault="0029653E" w:rsidP="0029653E">
      <w:pPr>
        <w:widowControl w:val="0"/>
        <w:spacing w:before="120" w:after="120"/>
        <w:ind w:firstLine="709"/>
        <w:rPr>
          <w:szCs w:val="28"/>
        </w:rPr>
      </w:pPr>
      <w:r w:rsidRPr="00AB5F54">
        <w:rPr>
          <w:szCs w:val="28"/>
        </w:rPr>
        <w:t>Trong quá trình triển khai thực hiện Thông tư 39, các TCTD, chi nhánh NHNNg và một số đơn vị kiểm toán độc lập gặp một số khó khăn, vướng mắc trong thực tế và đề xuất sửa đổi, bổ sung một số quy định tại Thông tư 39 để hoạt động kiểm toán độc lập của TCTD chi nhánh NHNNg khả thi, hiệu quả</w:t>
      </w:r>
      <w:r w:rsidR="005E5043">
        <w:rPr>
          <w:szCs w:val="28"/>
        </w:rPr>
        <w:t xml:space="preserve"> hơ</w:t>
      </w:r>
      <w:r w:rsidR="005E5043">
        <w:rPr>
          <w:szCs w:val="28"/>
          <w:lang w:val="en-US"/>
        </w:rPr>
        <w:t>n.</w:t>
      </w:r>
      <w:r w:rsidRPr="00AB5F54">
        <w:rPr>
          <w:szCs w:val="28"/>
        </w:rPr>
        <w:t xml:space="preserve"> </w:t>
      </w:r>
    </w:p>
    <w:p w14:paraId="0EDC50BE" w14:textId="4389F4CE" w:rsidR="0029653E" w:rsidRPr="00AB5F54" w:rsidRDefault="0029653E" w:rsidP="0029653E">
      <w:pPr>
        <w:widowControl w:val="0"/>
        <w:spacing w:before="120" w:after="120"/>
        <w:ind w:firstLine="709"/>
        <w:rPr>
          <w:szCs w:val="28"/>
        </w:rPr>
      </w:pPr>
      <w:r w:rsidRPr="00AB5F54">
        <w:rPr>
          <w:szCs w:val="28"/>
        </w:rPr>
        <w:t xml:space="preserve">Ngoài ra, hiện nay có nhiều văn bản quy phạm pháp luật được </w:t>
      </w:r>
      <w:r w:rsidR="00240F40" w:rsidRPr="00AB5F54">
        <w:rPr>
          <w:szCs w:val="28"/>
          <w:lang w:val="en-US"/>
        </w:rPr>
        <w:t xml:space="preserve">ban hành hoặc </w:t>
      </w:r>
      <w:r w:rsidRPr="00AB5F54">
        <w:rPr>
          <w:szCs w:val="28"/>
        </w:rPr>
        <w:t xml:space="preserve">sửa đổi, bổ sung có các quy định mới về việc kiểm toán độc lập của TCTD, chi nhánh NHNNg (như Luật các TCTD năm 2017 sửa đổi, bổ sung một số điều của Luật </w:t>
      </w:r>
      <w:r w:rsidRPr="00AB5F54">
        <w:rPr>
          <w:szCs w:val="28"/>
        </w:rPr>
        <w:lastRenderedPageBreak/>
        <w:t xml:space="preserve">các TCTD năm 2010, </w:t>
      </w:r>
      <w:r w:rsidRPr="00AB5F54">
        <w:rPr>
          <w:szCs w:val="28"/>
          <w:lang w:val="nl-NL"/>
        </w:rPr>
        <w:t>Nghị định 26/2014/NĐ-CP ngày 07/4/2014 của Chính phủ về tổ chức và hoạt động của Thanh tra, giám sát ngân hàng</w:t>
      </w:r>
      <w:r w:rsidR="00B7422C" w:rsidRPr="00AB5F54">
        <w:rPr>
          <w:szCs w:val="28"/>
          <w:lang w:val="nl-NL"/>
        </w:rPr>
        <w:t xml:space="preserve"> được </w:t>
      </w:r>
      <w:r w:rsidR="00B7422C" w:rsidRPr="00AB5F54">
        <w:rPr>
          <w:szCs w:val="28"/>
        </w:rPr>
        <w:t xml:space="preserve">sửa đổi, bổ sung </w:t>
      </w:r>
      <w:r w:rsidR="00B7422C" w:rsidRPr="00AB5F54">
        <w:rPr>
          <w:szCs w:val="28"/>
          <w:lang w:val="en-US"/>
        </w:rPr>
        <w:t xml:space="preserve">bởi </w:t>
      </w:r>
      <w:r w:rsidR="00B7422C" w:rsidRPr="00AB5F54">
        <w:rPr>
          <w:szCs w:val="28"/>
          <w:lang w:val="nl-NL"/>
        </w:rPr>
        <w:t>Nghị định số 43/2019/NĐ-CP ngày 17/5/2019</w:t>
      </w:r>
      <w:r w:rsidRPr="00AB5F54">
        <w:rPr>
          <w:szCs w:val="28"/>
          <w:lang w:val="nl-NL"/>
        </w:rPr>
        <w:t xml:space="preserve">); có các quy định mới về thẩm quyền thanh tra, giám sát an toàn vi mô các </w:t>
      </w:r>
      <w:r w:rsidRPr="00AB5F54">
        <w:rPr>
          <w:bCs/>
          <w:szCs w:val="28"/>
        </w:rPr>
        <w:t>TCTD, chi nhánh NHNNg</w:t>
      </w:r>
      <w:r w:rsidRPr="00AB5F54">
        <w:rPr>
          <w:szCs w:val="28"/>
          <w:lang w:val="nl-NL"/>
        </w:rPr>
        <w:t xml:space="preserve"> của CQTTGSNH và NHNN chi nhánh tỉnh, thành phố (như Thông tư số 08/2019/TT-NHNN ngày 04/7/2019 sửa đổi, bổ sung một số điều của Thông tư số 03/2015/TT-NHNN ngày 20/3/2015 của Thống đốc NHNN về việc hướng dẫn thực hiện một số điều của Nghị định số 26/2014/NĐ-CP, các quy định mới về </w:t>
      </w:r>
      <w:r w:rsidRPr="00AB5F54">
        <w:rPr>
          <w:szCs w:val="28"/>
          <w:lang w:val="en-AU"/>
        </w:rPr>
        <w:t>chức năng, nhiệm vụ, quyền hạn và cơ cấu tổ chức của CQTTGSNH và NHNN chi nhánh tỉnh, thành phố)</w:t>
      </w:r>
      <w:r w:rsidRPr="00AB5F54">
        <w:rPr>
          <w:szCs w:val="28"/>
          <w:lang w:val="nl-NL"/>
        </w:rPr>
        <w:t xml:space="preserve">, dẫn đến </w:t>
      </w:r>
      <w:r w:rsidR="00AD3448">
        <w:rPr>
          <w:szCs w:val="28"/>
          <w:lang w:val="nl-NL"/>
        </w:rPr>
        <w:t>một số</w:t>
      </w:r>
      <w:r w:rsidRPr="00AB5F54">
        <w:rPr>
          <w:szCs w:val="28"/>
          <w:lang w:val="nl-NL"/>
        </w:rPr>
        <w:t xml:space="preserve"> quy định tại Thông tư 39 không còn phù hợ</w:t>
      </w:r>
      <w:r w:rsidR="00BE29A4" w:rsidRPr="00AB5F54">
        <w:rPr>
          <w:szCs w:val="28"/>
          <w:lang w:val="nl-NL"/>
        </w:rPr>
        <w:t>p và cần sửa đổi, bổ sung.</w:t>
      </w:r>
    </w:p>
    <w:p w14:paraId="75F4941E" w14:textId="69351482" w:rsidR="00684C58" w:rsidRPr="00AB5F54" w:rsidRDefault="00684C58" w:rsidP="0029653E">
      <w:pPr>
        <w:spacing w:before="120" w:after="120"/>
        <w:ind w:right="-1" w:firstLine="709"/>
        <w:rPr>
          <w:lang w:val="nl-NL"/>
        </w:rPr>
      </w:pPr>
      <w:r w:rsidRPr="00AB5F54">
        <w:rPr>
          <w:lang w:val="nl-NL"/>
        </w:rPr>
        <w:t>Từ các cơ sở nêu trên</w:t>
      </w:r>
      <w:r w:rsidR="00033D55" w:rsidRPr="00AB5F54">
        <w:rPr>
          <w:lang w:val="nl-NL"/>
        </w:rPr>
        <w:t>,</w:t>
      </w:r>
      <w:r w:rsidRPr="00AB5F54">
        <w:rPr>
          <w:lang w:val="nl-NL"/>
        </w:rPr>
        <w:t xml:space="preserve"> việc nghiên cứu, sửa đổi, bổ sung Thông tư 39 là rất cần thiết.</w:t>
      </w:r>
    </w:p>
    <w:p w14:paraId="51D04DB3" w14:textId="44028861" w:rsidR="00E85C99" w:rsidRPr="00AB5F54" w:rsidRDefault="00E85C99" w:rsidP="0029653E">
      <w:pPr>
        <w:spacing w:before="120" w:after="120"/>
        <w:ind w:firstLine="709"/>
        <w:rPr>
          <w:b/>
          <w:noProof/>
          <w:szCs w:val="28"/>
          <w:lang w:val="en-AU"/>
        </w:rPr>
      </w:pPr>
      <w:r w:rsidRPr="00AB5F54">
        <w:rPr>
          <w:b/>
          <w:noProof/>
          <w:szCs w:val="28"/>
          <w:lang w:val="en-AU"/>
        </w:rPr>
        <w:t>2. Bố cục Thông tư</w:t>
      </w:r>
    </w:p>
    <w:p w14:paraId="3F41BD8B" w14:textId="6553B21F" w:rsidR="00E85C99" w:rsidRPr="00AB5F54" w:rsidRDefault="00E85C99" w:rsidP="0029653E">
      <w:pPr>
        <w:spacing w:before="120" w:after="120"/>
        <w:ind w:firstLine="709"/>
        <w:rPr>
          <w:noProof/>
          <w:szCs w:val="28"/>
          <w:lang w:val="en-AU"/>
        </w:rPr>
      </w:pPr>
      <w:r w:rsidRPr="00AB5F54">
        <w:rPr>
          <w:noProof/>
          <w:szCs w:val="28"/>
          <w:lang w:val="en-AU"/>
        </w:rPr>
        <w:t>Thông tư gồm 04 Điều, cụ thể:</w:t>
      </w:r>
    </w:p>
    <w:p w14:paraId="58115E74" w14:textId="7DCBA16D" w:rsidR="00E85C99" w:rsidRPr="00AB5F54" w:rsidRDefault="00E85C99" w:rsidP="0029653E">
      <w:pPr>
        <w:spacing w:before="120" w:after="120"/>
        <w:ind w:firstLine="709"/>
        <w:rPr>
          <w:noProof/>
          <w:szCs w:val="28"/>
          <w:lang w:val="en-AU"/>
        </w:rPr>
      </w:pPr>
      <w:r w:rsidRPr="00AB5F54">
        <w:rPr>
          <w:noProof/>
          <w:szCs w:val="28"/>
          <w:lang w:val="en-AU"/>
        </w:rPr>
        <w:t>- Điều 1: Sửa đổi, bổ sung một số điều của Thông tư 39.</w:t>
      </w:r>
    </w:p>
    <w:p w14:paraId="0B073F03" w14:textId="7EF4CD43" w:rsidR="00E85C99" w:rsidRPr="00AB5F54" w:rsidRDefault="00E85C99" w:rsidP="0029653E">
      <w:pPr>
        <w:spacing w:before="120" w:after="120"/>
        <w:ind w:firstLine="709"/>
        <w:rPr>
          <w:noProof/>
          <w:szCs w:val="28"/>
          <w:lang w:val="en-AU"/>
        </w:rPr>
      </w:pPr>
      <w:proofErr w:type="gramStart"/>
      <w:r w:rsidRPr="00AB5F54">
        <w:rPr>
          <w:noProof/>
          <w:szCs w:val="28"/>
          <w:lang w:val="en-AU"/>
        </w:rPr>
        <w:t xml:space="preserve">- Điều 2: </w:t>
      </w:r>
      <w:r w:rsidRPr="00AB5F54">
        <w:rPr>
          <w:bCs/>
          <w:szCs w:val="28"/>
          <w:lang w:val="da-DK"/>
        </w:rPr>
        <w:t>Bãi bỏ một số Điều, khoản của Thông tư 39</w:t>
      </w:r>
      <w:r w:rsidR="00F30BA3" w:rsidRPr="00AB5F54">
        <w:rPr>
          <w:bCs/>
          <w:szCs w:val="28"/>
          <w:lang w:val="da-DK"/>
        </w:rPr>
        <w:t>.</w:t>
      </w:r>
      <w:proofErr w:type="gramEnd"/>
    </w:p>
    <w:p w14:paraId="2D6163A1" w14:textId="20008D8C" w:rsidR="00E85C99" w:rsidRPr="00AB5F54" w:rsidRDefault="00E85C99" w:rsidP="0029653E">
      <w:pPr>
        <w:spacing w:before="120" w:after="120"/>
        <w:ind w:firstLine="709"/>
        <w:rPr>
          <w:noProof/>
          <w:szCs w:val="28"/>
          <w:lang w:val="en-AU"/>
        </w:rPr>
      </w:pPr>
      <w:r w:rsidRPr="00AB5F54">
        <w:rPr>
          <w:noProof/>
          <w:szCs w:val="28"/>
          <w:lang w:val="en-AU"/>
        </w:rPr>
        <w:t xml:space="preserve">- Điều 3: </w:t>
      </w:r>
      <w:r w:rsidR="002354A3" w:rsidRPr="00AB5F54">
        <w:rPr>
          <w:noProof/>
          <w:szCs w:val="28"/>
          <w:lang w:val="en-AU"/>
        </w:rPr>
        <w:t>Hiệu lực thi hành.</w:t>
      </w:r>
    </w:p>
    <w:p w14:paraId="0C37E904" w14:textId="5042F3B3" w:rsidR="00E85C99" w:rsidRPr="00AB5F54" w:rsidRDefault="00E85C99" w:rsidP="0029653E">
      <w:pPr>
        <w:spacing w:before="120" w:after="120"/>
        <w:ind w:firstLine="709"/>
        <w:rPr>
          <w:noProof/>
          <w:szCs w:val="28"/>
          <w:lang w:val="en-AU"/>
        </w:rPr>
      </w:pPr>
      <w:r w:rsidRPr="00AB5F54">
        <w:rPr>
          <w:noProof/>
          <w:szCs w:val="28"/>
          <w:lang w:val="en-AU"/>
        </w:rPr>
        <w:t xml:space="preserve">- Điều 4: </w:t>
      </w:r>
      <w:r w:rsidR="002354A3" w:rsidRPr="00AB5F54">
        <w:rPr>
          <w:noProof/>
          <w:szCs w:val="28"/>
          <w:lang w:val="en-AU"/>
        </w:rPr>
        <w:t>Trách nhiệm tổ chức thực hiện.</w:t>
      </w:r>
    </w:p>
    <w:p w14:paraId="69F111B6" w14:textId="77777777" w:rsidR="004E542F" w:rsidRPr="00AB5F54" w:rsidRDefault="004E542F" w:rsidP="0046728B">
      <w:pPr>
        <w:spacing w:before="120" w:after="120"/>
        <w:rPr>
          <w:b/>
          <w:szCs w:val="28"/>
          <w:lang w:val="en-US"/>
        </w:rPr>
      </w:pPr>
    </w:p>
    <w:tbl>
      <w:tblPr>
        <w:tblStyle w:val="TableGrid"/>
        <w:tblW w:w="14885" w:type="dxa"/>
        <w:tblInd w:w="-318" w:type="dxa"/>
        <w:tblLook w:val="04A0" w:firstRow="1" w:lastRow="0" w:firstColumn="1" w:lastColumn="0" w:noHBand="0" w:noVBand="1"/>
      </w:tblPr>
      <w:tblGrid>
        <w:gridCol w:w="746"/>
        <w:gridCol w:w="4811"/>
        <w:gridCol w:w="5075"/>
        <w:gridCol w:w="4253"/>
      </w:tblGrid>
      <w:tr w:rsidR="00C04B82" w:rsidRPr="00AB5F54" w14:paraId="1C7D33EC" w14:textId="77777777" w:rsidTr="00556D0D">
        <w:tc>
          <w:tcPr>
            <w:tcW w:w="746" w:type="dxa"/>
            <w:vAlign w:val="center"/>
          </w:tcPr>
          <w:p w14:paraId="60415007" w14:textId="77777777" w:rsidR="00C04B82" w:rsidRPr="00AB5F54" w:rsidRDefault="00C04B82" w:rsidP="0009751C">
            <w:pPr>
              <w:jc w:val="center"/>
              <w:rPr>
                <w:rFonts w:eastAsia="Calibri" w:cs="Times New Roman"/>
                <w:b/>
                <w:szCs w:val="28"/>
              </w:rPr>
            </w:pPr>
            <w:r w:rsidRPr="00AB5F54">
              <w:rPr>
                <w:rFonts w:eastAsia="Calibri" w:cs="Times New Roman"/>
                <w:b/>
                <w:szCs w:val="28"/>
                <w:lang w:val="pt-BR"/>
              </w:rPr>
              <w:t>STT</w:t>
            </w:r>
          </w:p>
        </w:tc>
        <w:tc>
          <w:tcPr>
            <w:tcW w:w="4811" w:type="dxa"/>
            <w:vAlign w:val="center"/>
          </w:tcPr>
          <w:p w14:paraId="44A7FF60" w14:textId="7972390C" w:rsidR="00C04B82" w:rsidRPr="00AB5F54" w:rsidRDefault="00C04B82" w:rsidP="0009751C">
            <w:pPr>
              <w:jc w:val="center"/>
              <w:rPr>
                <w:rFonts w:eastAsia="Calibri" w:cs="Times New Roman"/>
                <w:b/>
                <w:szCs w:val="28"/>
              </w:rPr>
            </w:pPr>
            <w:r w:rsidRPr="00AB5F54">
              <w:rPr>
                <w:rFonts w:eastAsia="Calibri" w:cs="Times New Roman"/>
                <w:b/>
                <w:szCs w:val="28"/>
              </w:rPr>
              <w:t xml:space="preserve">Thông tư </w:t>
            </w:r>
            <w:r w:rsidR="00B827FC" w:rsidRPr="00AB5F54">
              <w:rPr>
                <w:rFonts w:eastAsia="Calibri" w:cs="Times New Roman"/>
                <w:b/>
                <w:szCs w:val="28"/>
                <w:lang w:val="en-US"/>
              </w:rPr>
              <w:t>39/2011/TT-NHNN</w:t>
            </w:r>
            <w:r w:rsidR="00AA464B" w:rsidRPr="00AB5F54">
              <w:rPr>
                <w:rFonts w:eastAsia="Calibri" w:cs="Times New Roman"/>
                <w:b/>
                <w:szCs w:val="28"/>
                <w:lang w:val="en-US"/>
              </w:rPr>
              <w:t xml:space="preserve"> </w:t>
            </w:r>
          </w:p>
        </w:tc>
        <w:tc>
          <w:tcPr>
            <w:tcW w:w="5075" w:type="dxa"/>
            <w:vAlign w:val="center"/>
          </w:tcPr>
          <w:p w14:paraId="7BFCCFC0" w14:textId="1D739375" w:rsidR="00C04B82" w:rsidRPr="00AB5F54" w:rsidRDefault="00C04B82" w:rsidP="0009751C">
            <w:pPr>
              <w:jc w:val="center"/>
              <w:rPr>
                <w:rFonts w:eastAsia="Calibri" w:cs="Times New Roman"/>
                <w:b/>
                <w:szCs w:val="28"/>
                <w:lang w:val="en-US"/>
              </w:rPr>
            </w:pPr>
            <w:r w:rsidRPr="00AB5F54">
              <w:rPr>
                <w:rFonts w:eastAsia="Calibri" w:cs="Times New Roman"/>
                <w:b/>
                <w:szCs w:val="28"/>
              </w:rPr>
              <w:t>Dự thảo Thông tư</w:t>
            </w:r>
            <w:r w:rsidR="009D6AB4" w:rsidRPr="00AB5F54">
              <w:rPr>
                <w:rFonts w:eastAsia="Calibri" w:cs="Times New Roman"/>
                <w:b/>
                <w:szCs w:val="28"/>
                <w:lang w:val="en-US"/>
              </w:rPr>
              <w:t xml:space="preserve"> </w:t>
            </w:r>
          </w:p>
        </w:tc>
        <w:tc>
          <w:tcPr>
            <w:tcW w:w="4253" w:type="dxa"/>
            <w:vAlign w:val="center"/>
          </w:tcPr>
          <w:p w14:paraId="2CBAFCB3" w14:textId="77777777" w:rsidR="00C04B82" w:rsidRPr="00AB5F54" w:rsidRDefault="00C04B82" w:rsidP="0009751C">
            <w:pPr>
              <w:jc w:val="center"/>
              <w:rPr>
                <w:rFonts w:eastAsia="Calibri" w:cs="Times New Roman"/>
                <w:b/>
                <w:szCs w:val="28"/>
                <w:lang w:val="en-US"/>
              </w:rPr>
            </w:pPr>
            <w:r w:rsidRPr="00AB5F54">
              <w:rPr>
                <w:rFonts w:eastAsia="Calibri" w:cs="Times New Roman"/>
                <w:b/>
                <w:szCs w:val="28"/>
                <w:lang w:val="en-US"/>
              </w:rPr>
              <w:t>Thuyết minh</w:t>
            </w:r>
          </w:p>
        </w:tc>
      </w:tr>
      <w:tr w:rsidR="00DC301A" w:rsidRPr="00AB5F54" w14:paraId="1954935D" w14:textId="77777777" w:rsidTr="00556D0D">
        <w:tc>
          <w:tcPr>
            <w:tcW w:w="746" w:type="dxa"/>
          </w:tcPr>
          <w:p w14:paraId="7C2A8D66" w14:textId="021755A7" w:rsidR="00DC301A" w:rsidRPr="00AB5F54" w:rsidRDefault="0065336D" w:rsidP="00CC1E48">
            <w:pPr>
              <w:jc w:val="center"/>
              <w:rPr>
                <w:rFonts w:cs="Times New Roman"/>
                <w:b/>
                <w:sz w:val="24"/>
                <w:szCs w:val="24"/>
                <w:lang w:val="en-US"/>
              </w:rPr>
            </w:pPr>
            <w:r>
              <w:rPr>
                <w:rFonts w:cs="Times New Roman"/>
                <w:b/>
                <w:sz w:val="24"/>
                <w:szCs w:val="24"/>
                <w:lang w:val="en-US"/>
              </w:rPr>
              <w:t>1</w:t>
            </w:r>
          </w:p>
        </w:tc>
        <w:tc>
          <w:tcPr>
            <w:tcW w:w="4811" w:type="dxa"/>
          </w:tcPr>
          <w:p w14:paraId="4BB28FA4" w14:textId="20834D1D" w:rsidR="00DC301A" w:rsidRPr="00AB5F54" w:rsidRDefault="00DC301A" w:rsidP="00CC1E48">
            <w:pPr>
              <w:rPr>
                <w:rFonts w:cs="Times New Roman"/>
                <w:sz w:val="24"/>
                <w:szCs w:val="24"/>
              </w:rPr>
            </w:pPr>
            <w:r w:rsidRPr="00AB5F54">
              <w:rPr>
                <w:rFonts w:cs="Times New Roman"/>
                <w:b/>
                <w:bCs/>
                <w:sz w:val="24"/>
                <w:szCs w:val="24"/>
                <w:lang w:val="en-US"/>
              </w:rPr>
              <w:t xml:space="preserve">Khoản 2 </w:t>
            </w:r>
            <w:r w:rsidRPr="00AB5F54">
              <w:rPr>
                <w:rFonts w:cs="Times New Roman"/>
                <w:b/>
                <w:bCs/>
                <w:sz w:val="24"/>
                <w:szCs w:val="24"/>
              </w:rPr>
              <w:t>Điề</w:t>
            </w:r>
            <w:r w:rsidR="00F83577" w:rsidRPr="00AB5F54">
              <w:rPr>
                <w:rFonts w:cs="Times New Roman"/>
                <w:b/>
                <w:bCs/>
                <w:sz w:val="24"/>
                <w:szCs w:val="24"/>
              </w:rPr>
              <w:t>u 4</w:t>
            </w:r>
            <w:r w:rsidR="00F83577" w:rsidRPr="00AB5F54">
              <w:rPr>
                <w:rFonts w:cs="Times New Roman"/>
                <w:b/>
                <w:bCs/>
                <w:sz w:val="24"/>
                <w:szCs w:val="24"/>
                <w:lang w:val="en-US"/>
              </w:rPr>
              <w:t xml:space="preserve"> về p</w:t>
            </w:r>
            <w:r w:rsidRPr="00AB5F54">
              <w:rPr>
                <w:rFonts w:cs="Times New Roman"/>
                <w:b/>
                <w:bCs/>
                <w:sz w:val="24"/>
                <w:szCs w:val="24"/>
              </w:rPr>
              <w:t xml:space="preserve">hạm vi kiểm toán </w:t>
            </w:r>
          </w:p>
          <w:p w14:paraId="7BA2BAC8" w14:textId="77777777" w:rsidR="00DC301A" w:rsidRPr="00AB5F54" w:rsidRDefault="00DC301A" w:rsidP="00CC1E48">
            <w:pPr>
              <w:rPr>
                <w:rFonts w:cs="Times New Roman"/>
                <w:sz w:val="24"/>
                <w:szCs w:val="24"/>
              </w:rPr>
            </w:pPr>
            <w:r w:rsidRPr="00AB5F54">
              <w:rPr>
                <w:rFonts w:cs="Times New Roman"/>
                <w:sz w:val="24"/>
                <w:szCs w:val="24"/>
              </w:rPr>
              <w:t>2. Ngân hàng Nhà nước yêu cầu tổ chức tín dụng sử dụng một hoặc một số dịch vụ kiểm toán độc lập khi xét thấy cần thiết trong các trường hợp sau đây:</w:t>
            </w:r>
          </w:p>
          <w:p w14:paraId="2CE484F1" w14:textId="77777777" w:rsidR="00DC301A" w:rsidRPr="00AB5F54" w:rsidRDefault="00DC301A" w:rsidP="00CC1E48">
            <w:pPr>
              <w:rPr>
                <w:rFonts w:cs="Times New Roman"/>
                <w:sz w:val="24"/>
                <w:szCs w:val="24"/>
              </w:rPr>
            </w:pPr>
            <w:r w:rsidRPr="00AB5F54">
              <w:rPr>
                <w:rFonts w:cs="Times New Roman"/>
                <w:sz w:val="24"/>
                <w:szCs w:val="24"/>
              </w:rPr>
              <w:t>a) Tổ chức tín dụng có nguy cơ bị đặt vào tình trạng kiểm soát đặc biệt.</w:t>
            </w:r>
          </w:p>
          <w:p w14:paraId="55CCD5CF" w14:textId="77777777" w:rsidR="00DC301A" w:rsidRPr="00AB5F54" w:rsidRDefault="00DC301A" w:rsidP="00CC1E48">
            <w:pPr>
              <w:rPr>
                <w:rFonts w:cs="Times New Roman"/>
                <w:sz w:val="24"/>
                <w:szCs w:val="24"/>
              </w:rPr>
            </w:pPr>
            <w:r w:rsidRPr="00AB5F54">
              <w:rPr>
                <w:rFonts w:cs="Times New Roman"/>
                <w:sz w:val="24"/>
                <w:szCs w:val="24"/>
              </w:rPr>
              <w:t>b) Tổ chức tín dụng được xem xét để chấm dứt thời hạn kiểm soát đặc biệt.</w:t>
            </w:r>
          </w:p>
          <w:p w14:paraId="2E33523F" w14:textId="77777777" w:rsidR="00DC301A" w:rsidRPr="00AB5F54" w:rsidRDefault="00DC301A" w:rsidP="00CC1E48">
            <w:pPr>
              <w:rPr>
                <w:rFonts w:cs="Times New Roman"/>
                <w:sz w:val="24"/>
                <w:szCs w:val="24"/>
              </w:rPr>
            </w:pPr>
            <w:r w:rsidRPr="00AB5F54">
              <w:rPr>
                <w:rFonts w:cs="Times New Roman"/>
                <w:sz w:val="24"/>
                <w:szCs w:val="24"/>
              </w:rPr>
              <w:t>c) Tổ chức tín dụng được tổ chức lại theo quy định tại Điều 153 Luật các tổ chức tín dụng.</w:t>
            </w:r>
          </w:p>
          <w:p w14:paraId="077F717A" w14:textId="76492260" w:rsidR="00DC301A" w:rsidRPr="00AB5F54" w:rsidRDefault="00DC301A" w:rsidP="00CC1E48">
            <w:pPr>
              <w:rPr>
                <w:rFonts w:cs="Times New Roman"/>
                <w:sz w:val="24"/>
                <w:szCs w:val="24"/>
                <w:lang w:val="en-US"/>
              </w:rPr>
            </w:pPr>
            <w:r w:rsidRPr="00AB5F54">
              <w:rPr>
                <w:rFonts w:cs="Times New Roman"/>
                <w:sz w:val="24"/>
                <w:szCs w:val="24"/>
              </w:rPr>
              <w:lastRenderedPageBreak/>
              <w:t>d) Các trường hợp khác theo quy định của pháp luật.</w:t>
            </w:r>
          </w:p>
        </w:tc>
        <w:tc>
          <w:tcPr>
            <w:tcW w:w="5075" w:type="dxa"/>
          </w:tcPr>
          <w:p w14:paraId="5E3F301A" w14:textId="77777777" w:rsidR="007236EC" w:rsidRDefault="00DC301A" w:rsidP="00CC1E48">
            <w:pPr>
              <w:rPr>
                <w:rFonts w:cs="Times New Roman"/>
                <w:b/>
                <w:sz w:val="24"/>
                <w:szCs w:val="24"/>
                <w:lang w:val="en-US"/>
              </w:rPr>
            </w:pPr>
            <w:r w:rsidRPr="001C411E">
              <w:rPr>
                <w:rFonts w:cs="Times New Roman"/>
                <w:b/>
                <w:sz w:val="24"/>
                <w:szCs w:val="24"/>
              </w:rPr>
              <w:lastRenderedPageBreak/>
              <w:t xml:space="preserve">Khoản </w:t>
            </w:r>
            <w:r w:rsidR="00BB41DF">
              <w:rPr>
                <w:rFonts w:cs="Times New Roman"/>
                <w:b/>
                <w:sz w:val="24"/>
                <w:szCs w:val="24"/>
                <w:lang w:val="en-US"/>
              </w:rPr>
              <w:t>1</w:t>
            </w:r>
            <w:r w:rsidRPr="001C411E">
              <w:rPr>
                <w:rFonts w:cs="Times New Roman"/>
                <w:b/>
                <w:sz w:val="24"/>
                <w:szCs w:val="24"/>
              </w:rPr>
              <w:t xml:space="preserve"> Điề</w:t>
            </w:r>
            <w:r w:rsidR="00374D68" w:rsidRPr="001C411E">
              <w:rPr>
                <w:rFonts w:cs="Times New Roman"/>
                <w:b/>
                <w:sz w:val="24"/>
                <w:szCs w:val="24"/>
              </w:rPr>
              <w:t>u 1</w:t>
            </w:r>
          </w:p>
          <w:p w14:paraId="18EEB040" w14:textId="392532BB" w:rsidR="007236EC" w:rsidRPr="007236EC" w:rsidRDefault="007236EC" w:rsidP="00CC1E48">
            <w:pPr>
              <w:rPr>
                <w:rFonts w:cs="Times New Roman"/>
                <w:sz w:val="24"/>
                <w:szCs w:val="24"/>
              </w:rPr>
            </w:pPr>
            <w:r w:rsidRPr="007236EC">
              <w:rPr>
                <w:rFonts w:cs="Times New Roman"/>
                <w:sz w:val="24"/>
                <w:szCs w:val="24"/>
              </w:rPr>
              <w:t>1. Khoản 2 Điều 4 được sửa đổi, bổ sung như sau:</w:t>
            </w:r>
          </w:p>
          <w:p w14:paraId="3F310CB1" w14:textId="2D0E54F1" w:rsidR="00DC301A" w:rsidRPr="00555F7F" w:rsidRDefault="00555F7F" w:rsidP="00CC1E48">
            <w:pPr>
              <w:rPr>
                <w:rFonts w:cs="Times New Roman"/>
                <w:sz w:val="24"/>
                <w:szCs w:val="24"/>
                <w:lang w:val="en-US"/>
              </w:rPr>
            </w:pPr>
            <w:r w:rsidRPr="00555F7F">
              <w:rPr>
                <w:rFonts w:cs="Times New Roman"/>
                <w:sz w:val="24"/>
                <w:szCs w:val="24"/>
              </w:rPr>
              <w:t xml:space="preserve">“2. Tổ chức tín dụng được kiểm soát đặc biệt thực hiện kiểm toán độc lập theo quy định tại Điều 147 Luật các tổ chức tín dụng (đã được sửa đổi, bổ sung); ngân hàng thương mại được kiểm soát đặc biệt thực hiện kiểm toán độc lập theo quy định tại Điều 151a Luật các tổ chức tín dụng (đã được sửa đổi, bổ sung); tổ chức tín dụng, chi nhánh ngân hàng nước ngoài thực hiện kiểm toán độc lập theo quy định tại Điều 5 Nghị định số 26/2014/NĐ-CP </w:t>
            </w:r>
            <w:r w:rsidRPr="00555F7F">
              <w:rPr>
                <w:rFonts w:cs="Times New Roman"/>
                <w:sz w:val="24"/>
                <w:szCs w:val="24"/>
              </w:rPr>
              <w:lastRenderedPageBreak/>
              <w:t xml:space="preserve">ngày 07/4/2014 của Chính phủ về tổ chức và hoạt động của Thanh tra, giám sát ngành Ngân hàng (đã được sửa đổi, bổ sung).”. </w:t>
            </w:r>
          </w:p>
        </w:tc>
        <w:tc>
          <w:tcPr>
            <w:tcW w:w="4253" w:type="dxa"/>
          </w:tcPr>
          <w:p w14:paraId="57C0C50E" w14:textId="3412B2CE" w:rsidR="009F7719" w:rsidRPr="00AB5F54" w:rsidRDefault="00DC301A" w:rsidP="00CC1E48">
            <w:pPr>
              <w:shd w:val="clear" w:color="auto" w:fill="FFFFFF"/>
              <w:ind w:right="-1"/>
              <w:rPr>
                <w:rFonts w:cs="Times New Roman"/>
                <w:sz w:val="24"/>
                <w:szCs w:val="24"/>
                <w:lang w:val="en-US"/>
              </w:rPr>
            </w:pPr>
            <w:r w:rsidRPr="00AB5F54">
              <w:rPr>
                <w:rFonts w:cs="Times New Roman"/>
                <w:sz w:val="24"/>
                <w:szCs w:val="24"/>
                <w:lang w:val="nl-NL"/>
              </w:rPr>
              <w:lastRenderedPageBreak/>
              <w:t xml:space="preserve">Dự thảo Thông tư sửa đổi, bổ sung quy định </w:t>
            </w:r>
            <w:r w:rsidR="003A78B9">
              <w:rPr>
                <w:rFonts w:cs="Times New Roman"/>
                <w:sz w:val="24"/>
                <w:szCs w:val="24"/>
                <w:lang w:val="nl-NL"/>
              </w:rPr>
              <w:t>về</w:t>
            </w:r>
            <w:r w:rsidR="009F7719" w:rsidRPr="00AB5F54">
              <w:rPr>
                <w:rFonts w:cs="Times New Roman"/>
                <w:sz w:val="24"/>
                <w:szCs w:val="24"/>
                <w:lang w:val="nl-NL"/>
              </w:rPr>
              <w:t xml:space="preserve"> phạm vi kiểm toán độc lập </w:t>
            </w:r>
            <w:r w:rsidR="003A78B9">
              <w:rPr>
                <w:rFonts w:cs="Times New Roman"/>
                <w:sz w:val="24"/>
                <w:szCs w:val="24"/>
                <w:lang w:val="nl-NL"/>
              </w:rPr>
              <w:t xml:space="preserve">để đảm bảo </w:t>
            </w:r>
            <w:r w:rsidRPr="00AB5F54">
              <w:rPr>
                <w:rFonts w:cs="Times New Roman"/>
                <w:sz w:val="24"/>
                <w:szCs w:val="24"/>
                <w:lang w:val="nl-NL"/>
              </w:rPr>
              <w:t xml:space="preserve">phù hợp với </w:t>
            </w:r>
            <w:r w:rsidR="00D761CE" w:rsidRPr="00AB5F54">
              <w:rPr>
                <w:rFonts w:cs="Times New Roman"/>
                <w:sz w:val="24"/>
                <w:szCs w:val="24"/>
                <w:lang w:val="nl-NL"/>
              </w:rPr>
              <w:t xml:space="preserve">một số </w:t>
            </w:r>
            <w:r w:rsidRPr="00AB5F54">
              <w:rPr>
                <w:rFonts w:cs="Times New Roman"/>
                <w:sz w:val="24"/>
                <w:szCs w:val="24"/>
                <w:lang w:val="nl-NL"/>
              </w:rPr>
              <w:t xml:space="preserve">quy định mới </w:t>
            </w:r>
            <w:r w:rsidR="00D761CE" w:rsidRPr="00AB5F54">
              <w:rPr>
                <w:rFonts w:cs="Times New Roman"/>
                <w:sz w:val="24"/>
                <w:szCs w:val="24"/>
                <w:lang w:val="nl-NL"/>
              </w:rPr>
              <w:t>về</w:t>
            </w:r>
            <w:r w:rsidRPr="00AB5F54">
              <w:rPr>
                <w:rFonts w:cs="Times New Roman"/>
                <w:sz w:val="24"/>
                <w:szCs w:val="24"/>
                <w:lang w:val="nl-NL"/>
              </w:rPr>
              <w:t xml:space="preserve"> kiểm toán độc lập tại Luật </w:t>
            </w:r>
            <w:r w:rsidR="00543C49" w:rsidRPr="00AB5F54">
              <w:rPr>
                <w:rFonts w:cs="Times New Roman"/>
                <w:sz w:val="24"/>
                <w:szCs w:val="24"/>
                <w:lang w:val="nl-NL"/>
              </w:rPr>
              <w:t>c</w:t>
            </w:r>
            <w:r w:rsidRPr="00AB5F54">
              <w:rPr>
                <w:rFonts w:cs="Times New Roman"/>
                <w:sz w:val="24"/>
                <w:szCs w:val="24"/>
                <w:lang w:val="nl-NL"/>
              </w:rPr>
              <w:t xml:space="preserve">ác TCTD (đã được sửa đổi, bổ sung) và </w:t>
            </w:r>
            <w:r w:rsidRPr="00AB5F54">
              <w:rPr>
                <w:rFonts w:cs="Times New Roman"/>
                <w:sz w:val="24"/>
                <w:szCs w:val="24"/>
              </w:rPr>
              <w:t>Điều 5 Nghị định số 26/2014/NĐ-CP ngày 07/4/2014 của Chính phủ về tổ chức và hoạt động của Thanh tra, giám sát ngành Ngân hàng (đã được sửa đổi, bổ sung)</w:t>
            </w:r>
            <w:r w:rsidRPr="00AB5F54">
              <w:rPr>
                <w:rFonts w:cs="Times New Roman"/>
                <w:sz w:val="24"/>
                <w:szCs w:val="24"/>
                <w:lang w:val="en-US"/>
              </w:rPr>
              <w:t>.</w:t>
            </w:r>
          </w:p>
        </w:tc>
      </w:tr>
      <w:tr w:rsidR="00B3271D" w:rsidRPr="00AB5F54" w14:paraId="69258252" w14:textId="77777777" w:rsidTr="00556D0D">
        <w:tc>
          <w:tcPr>
            <w:tcW w:w="746" w:type="dxa"/>
          </w:tcPr>
          <w:p w14:paraId="1B35AC13" w14:textId="5B899FB3" w:rsidR="00B3271D" w:rsidRPr="00AB5F54" w:rsidRDefault="0065336D" w:rsidP="00CC1E48">
            <w:pPr>
              <w:jc w:val="center"/>
              <w:rPr>
                <w:rFonts w:cs="Times New Roman"/>
                <w:b/>
                <w:sz w:val="24"/>
                <w:szCs w:val="24"/>
                <w:lang w:val="en-US"/>
              </w:rPr>
            </w:pPr>
            <w:r>
              <w:rPr>
                <w:rFonts w:cs="Times New Roman"/>
                <w:b/>
                <w:sz w:val="24"/>
                <w:szCs w:val="24"/>
                <w:lang w:val="en-US"/>
              </w:rPr>
              <w:lastRenderedPageBreak/>
              <w:t>2</w:t>
            </w:r>
          </w:p>
        </w:tc>
        <w:tc>
          <w:tcPr>
            <w:tcW w:w="4811" w:type="dxa"/>
          </w:tcPr>
          <w:p w14:paraId="096E8A6B" w14:textId="641C1D0F" w:rsidR="009F7719" w:rsidRPr="00AB5F54" w:rsidRDefault="009F7719" w:rsidP="00CC1E48">
            <w:pPr>
              <w:rPr>
                <w:rFonts w:cs="Times New Roman"/>
                <w:sz w:val="24"/>
                <w:szCs w:val="24"/>
              </w:rPr>
            </w:pPr>
            <w:r w:rsidRPr="00AB5F54">
              <w:rPr>
                <w:rFonts w:cs="Times New Roman"/>
                <w:b/>
                <w:sz w:val="24"/>
                <w:szCs w:val="24"/>
              </w:rPr>
              <w:t>Khoản 2 Điều 8</w:t>
            </w:r>
            <w:r w:rsidRPr="00AB5F54">
              <w:rPr>
                <w:rFonts w:cs="Times New Roman"/>
                <w:b/>
                <w:sz w:val="24"/>
                <w:szCs w:val="24"/>
                <w:lang w:val="en-US"/>
              </w:rPr>
              <w:t xml:space="preserve"> về</w:t>
            </w:r>
            <w:r w:rsidRPr="00AB5F54">
              <w:rPr>
                <w:rFonts w:cs="Times New Roman"/>
                <w:sz w:val="24"/>
                <w:szCs w:val="24"/>
                <w:lang w:val="en-US"/>
              </w:rPr>
              <w:t xml:space="preserve"> </w:t>
            </w:r>
            <w:r w:rsidR="00F83577" w:rsidRPr="00AB5F54">
              <w:rPr>
                <w:rFonts w:cs="Times New Roman"/>
                <w:sz w:val="24"/>
                <w:szCs w:val="24"/>
                <w:lang w:val="en-US"/>
              </w:rPr>
              <w:t>n</w:t>
            </w:r>
            <w:r w:rsidRPr="00AB5F54">
              <w:rPr>
                <w:rFonts w:cs="Times New Roman"/>
                <w:b/>
                <w:bCs/>
                <w:sz w:val="24"/>
                <w:szCs w:val="24"/>
              </w:rPr>
              <w:t>ội dung kiểm toán độc lập</w:t>
            </w:r>
          </w:p>
          <w:p w14:paraId="70C0F2F3" w14:textId="77777777" w:rsidR="009F7719" w:rsidRPr="00AB5F54" w:rsidRDefault="009F7719" w:rsidP="00CC1E48">
            <w:pPr>
              <w:rPr>
                <w:rFonts w:cs="Times New Roman"/>
                <w:sz w:val="24"/>
                <w:szCs w:val="24"/>
              </w:rPr>
            </w:pPr>
            <w:r w:rsidRPr="00AB5F54">
              <w:rPr>
                <w:rFonts w:cs="Times New Roman"/>
                <w:sz w:val="24"/>
                <w:szCs w:val="24"/>
              </w:rPr>
              <w:t>2. Kiểm toán độc lập hoạt động của hệ thống kiểm soát nội bộ của tổ chức tín dụng, chi nhánh ngân hàng nước ngoài bao gồm:</w:t>
            </w:r>
          </w:p>
          <w:p w14:paraId="35354A71" w14:textId="77777777" w:rsidR="009F7719" w:rsidRPr="00AB5F54" w:rsidRDefault="009F7719" w:rsidP="00CC1E48">
            <w:pPr>
              <w:rPr>
                <w:rFonts w:cs="Times New Roman"/>
                <w:sz w:val="24"/>
                <w:szCs w:val="24"/>
              </w:rPr>
            </w:pPr>
            <w:r w:rsidRPr="00AB5F54">
              <w:rPr>
                <w:rFonts w:cs="Times New Roman"/>
                <w:sz w:val="24"/>
                <w:szCs w:val="24"/>
              </w:rPr>
              <w:t>a) Kiểm toán tuân thủ quy định của pháp luật hiện hành, quy định của Ngân hàng Nhà nước về hệ thống kiểm soát nội bộ của tổ chức tín dụng, chi nhánh ngân hàng nước ngoài;</w:t>
            </w:r>
          </w:p>
          <w:p w14:paraId="587595C2" w14:textId="77777777" w:rsidR="009F7719" w:rsidRPr="00AB5F54" w:rsidRDefault="009F7719" w:rsidP="00CC1E48">
            <w:pPr>
              <w:rPr>
                <w:rFonts w:cs="Times New Roman"/>
                <w:sz w:val="24"/>
                <w:szCs w:val="24"/>
              </w:rPr>
            </w:pPr>
            <w:r w:rsidRPr="00AB5F54">
              <w:rPr>
                <w:rFonts w:cs="Times New Roman"/>
                <w:sz w:val="24"/>
                <w:szCs w:val="24"/>
              </w:rPr>
              <w:t>b) Kiểm toán hoạt động đối với hệ thống kiểm soát nội bộ nhằm bảo đảm các yêu cầu sau đây:</w:t>
            </w:r>
          </w:p>
          <w:p w14:paraId="31FF22F9" w14:textId="77777777" w:rsidR="009F7719" w:rsidRPr="00AB5F54" w:rsidRDefault="009F7719" w:rsidP="00CC1E48">
            <w:pPr>
              <w:rPr>
                <w:rFonts w:cs="Times New Roman"/>
                <w:sz w:val="24"/>
                <w:szCs w:val="24"/>
              </w:rPr>
            </w:pPr>
            <w:r w:rsidRPr="00AB5F54">
              <w:rPr>
                <w:rFonts w:cs="Times New Roman"/>
                <w:sz w:val="24"/>
                <w:szCs w:val="24"/>
              </w:rPr>
              <w:t>- Hiệu quả và an toàn trong hoạt động; bảo vệ, quản lý, sử dụng an toàn, hiệu quả tài sản và các nguồn lực;</w:t>
            </w:r>
          </w:p>
          <w:p w14:paraId="7517102B" w14:textId="23ED68B9" w:rsidR="009F7719" w:rsidRPr="00AB5F54" w:rsidRDefault="009F7719" w:rsidP="00CC1E48">
            <w:pPr>
              <w:rPr>
                <w:rFonts w:cs="Times New Roman"/>
                <w:b/>
                <w:bCs/>
                <w:sz w:val="24"/>
                <w:szCs w:val="24"/>
                <w:lang w:val="en-US"/>
              </w:rPr>
            </w:pPr>
            <w:r w:rsidRPr="00AB5F54">
              <w:rPr>
                <w:rFonts w:cs="Times New Roman"/>
                <w:sz w:val="24"/>
                <w:szCs w:val="24"/>
              </w:rPr>
              <w:t>- Hệ thống thông tin tài chính và thông tin quản lý trung thực, hợp lý, đầy đủ và kịp thời.</w:t>
            </w:r>
          </w:p>
        </w:tc>
        <w:tc>
          <w:tcPr>
            <w:tcW w:w="5075" w:type="dxa"/>
          </w:tcPr>
          <w:p w14:paraId="463DE3FE" w14:textId="5209765D" w:rsidR="00DC301A" w:rsidRPr="00AB5F54" w:rsidRDefault="00DC301A" w:rsidP="00CC1E48">
            <w:pPr>
              <w:rPr>
                <w:rFonts w:cs="Times New Roman"/>
                <w:b/>
                <w:sz w:val="24"/>
                <w:szCs w:val="24"/>
                <w:lang w:val="en-US"/>
              </w:rPr>
            </w:pPr>
            <w:r w:rsidRPr="00AB5F54">
              <w:rPr>
                <w:rFonts w:cs="Times New Roman"/>
                <w:b/>
                <w:sz w:val="24"/>
                <w:szCs w:val="24"/>
                <w:lang w:val="en-US"/>
              </w:rPr>
              <w:t xml:space="preserve">Khoản </w:t>
            </w:r>
            <w:r w:rsidR="003B6146">
              <w:rPr>
                <w:rFonts w:cs="Times New Roman"/>
                <w:b/>
                <w:sz w:val="24"/>
                <w:szCs w:val="24"/>
                <w:lang w:val="en-US"/>
              </w:rPr>
              <w:t>2</w:t>
            </w:r>
            <w:r w:rsidRPr="00AB5F54">
              <w:rPr>
                <w:rFonts w:cs="Times New Roman"/>
                <w:b/>
                <w:sz w:val="24"/>
                <w:szCs w:val="24"/>
                <w:lang w:val="en-US"/>
              </w:rPr>
              <w:t xml:space="preserve"> Điều </w:t>
            </w:r>
            <w:r w:rsidR="00374D68" w:rsidRPr="00AB5F54">
              <w:rPr>
                <w:rFonts w:cs="Times New Roman"/>
                <w:b/>
                <w:sz w:val="24"/>
                <w:szCs w:val="24"/>
                <w:lang w:val="en-US"/>
              </w:rPr>
              <w:t>1</w:t>
            </w:r>
          </w:p>
          <w:p w14:paraId="4145802D" w14:textId="603B3486" w:rsidR="00DC301A" w:rsidRPr="00AB5F54" w:rsidRDefault="003B6146" w:rsidP="00CC1E48">
            <w:pPr>
              <w:rPr>
                <w:rFonts w:cs="Times New Roman"/>
                <w:sz w:val="24"/>
                <w:szCs w:val="24"/>
              </w:rPr>
            </w:pPr>
            <w:r>
              <w:rPr>
                <w:rFonts w:cs="Times New Roman"/>
                <w:sz w:val="24"/>
                <w:szCs w:val="24"/>
                <w:lang w:val="en-US"/>
              </w:rPr>
              <w:t>2</w:t>
            </w:r>
            <w:r w:rsidR="00DC301A" w:rsidRPr="00AB5F54">
              <w:rPr>
                <w:rFonts w:cs="Times New Roman"/>
                <w:sz w:val="24"/>
                <w:szCs w:val="24"/>
              </w:rPr>
              <w:t>. Khoản 2 Điều 8 được sửa đổi, bổ sung như sau:</w:t>
            </w:r>
          </w:p>
          <w:p w14:paraId="22532441" w14:textId="77777777" w:rsidR="00DC301A" w:rsidRPr="00AB5F54" w:rsidRDefault="00DC301A" w:rsidP="00CC1E48">
            <w:pPr>
              <w:rPr>
                <w:rFonts w:cs="Times New Roman"/>
                <w:sz w:val="24"/>
                <w:szCs w:val="24"/>
              </w:rPr>
            </w:pPr>
            <w:r w:rsidRPr="00AB5F54">
              <w:rPr>
                <w:rFonts w:cs="Times New Roman"/>
                <w:sz w:val="24"/>
                <w:szCs w:val="24"/>
              </w:rPr>
              <w:t>“2. Kiểm toán độc lập hoạt động của hệ thống kiểm soát nội bộ của tổ chức tín dụng, chi nhánh ngân hàng nước ngoài bao gồm:</w:t>
            </w:r>
          </w:p>
          <w:p w14:paraId="6AA28649" w14:textId="77777777" w:rsidR="00DC301A" w:rsidRPr="00AB5F54" w:rsidRDefault="00DC301A" w:rsidP="00CC1E48">
            <w:pPr>
              <w:rPr>
                <w:rFonts w:cs="Times New Roman"/>
                <w:sz w:val="24"/>
                <w:szCs w:val="24"/>
              </w:rPr>
            </w:pPr>
            <w:r w:rsidRPr="00AB5F54">
              <w:rPr>
                <w:rFonts w:cs="Times New Roman"/>
                <w:sz w:val="24"/>
                <w:szCs w:val="24"/>
              </w:rPr>
              <w:t>a) Kiểm toán tuân thủ quy định của pháp luật hiện hành, quy định của Ngân hàng Nhà nước về hệ thống kiểm soát nội bộ của tổ chức tín dụng, chi nhánh ngân hàng nước ngoài;</w:t>
            </w:r>
          </w:p>
          <w:p w14:paraId="780692F4" w14:textId="77777777" w:rsidR="00DC301A" w:rsidRPr="00AB5F54" w:rsidRDefault="00DC301A" w:rsidP="00CC1E48">
            <w:pPr>
              <w:rPr>
                <w:rFonts w:cs="Times New Roman"/>
                <w:sz w:val="24"/>
                <w:szCs w:val="24"/>
              </w:rPr>
            </w:pPr>
            <w:r w:rsidRPr="00AB5F54">
              <w:rPr>
                <w:rFonts w:cs="Times New Roman"/>
                <w:sz w:val="24"/>
                <w:szCs w:val="24"/>
              </w:rPr>
              <w:t xml:space="preserve">b) Kiểm toán hoạt động hệ thống kiểm soát nội bộ đối với việc lập và trình bày báo cáo tài chính. </w:t>
            </w:r>
          </w:p>
          <w:p w14:paraId="2F40A52F" w14:textId="77777777" w:rsidR="00DC301A" w:rsidRPr="00AB5F54" w:rsidRDefault="00DC301A" w:rsidP="00CC1E48">
            <w:pPr>
              <w:rPr>
                <w:rFonts w:cs="Times New Roman"/>
                <w:sz w:val="24"/>
                <w:szCs w:val="24"/>
              </w:rPr>
            </w:pPr>
            <w:r w:rsidRPr="00AB5F54">
              <w:rPr>
                <w:rFonts w:cs="Times New Roman"/>
                <w:sz w:val="24"/>
                <w:szCs w:val="24"/>
              </w:rPr>
              <w:t>c) Ngoài nội dung kiểm toán quy định tại điểm a và điểm b khoản này, ngân hàng thương mại, chi nhánh ngân hàng nước ngoài phải thực hiện kiểm toán hoạt động hệ thống kiểm soát nội bộ đối với nội dung đánh giá nội bộ về mức đủ vốn (ICAAP) của ngân hàng thương mại, chi nhánh ngân hàng nước ngoài theo quy định của Ngân hàng Nhà nước về hệ thống kiểm soát nội bộ.</w:t>
            </w:r>
          </w:p>
          <w:p w14:paraId="5E0DD05E" w14:textId="77777777" w:rsidR="00DC301A" w:rsidRPr="00AB5F54" w:rsidRDefault="00DC301A" w:rsidP="00CC1E48">
            <w:pPr>
              <w:rPr>
                <w:rFonts w:cs="Times New Roman"/>
                <w:sz w:val="24"/>
                <w:szCs w:val="24"/>
              </w:rPr>
            </w:pPr>
            <w:r w:rsidRPr="00AB5F54">
              <w:rPr>
                <w:rFonts w:cs="Times New Roman"/>
                <w:sz w:val="24"/>
                <w:szCs w:val="24"/>
              </w:rPr>
              <w:t>d) Nội dung kiểm toán hoạt động của hệ thống kiểm soát nội bộ của tổ chức tín dụng, chi nhánh ngân hàng nước quy định tại điểm b và điểm c khoản này phải đảm bảo các yêu cầu sau đây:</w:t>
            </w:r>
          </w:p>
          <w:p w14:paraId="52FF8D40" w14:textId="77777777" w:rsidR="00DC301A" w:rsidRPr="00AB5F54" w:rsidRDefault="00DC301A" w:rsidP="00CC1E48">
            <w:pPr>
              <w:rPr>
                <w:rFonts w:cs="Times New Roman"/>
                <w:sz w:val="24"/>
                <w:szCs w:val="24"/>
              </w:rPr>
            </w:pPr>
            <w:r w:rsidRPr="00AB5F54">
              <w:rPr>
                <w:rFonts w:cs="Times New Roman"/>
                <w:sz w:val="24"/>
                <w:szCs w:val="24"/>
              </w:rPr>
              <w:t>- Hiệu quả và an toàn trong hoạt động; bảo vệ, quản lý, sử dụng an toàn, hiệu quả tài sản và các nguồn lực;</w:t>
            </w:r>
          </w:p>
          <w:p w14:paraId="10D43577" w14:textId="4F600A2A" w:rsidR="00B3271D" w:rsidRPr="00AB5F54" w:rsidRDefault="00DC301A" w:rsidP="00CC1E48">
            <w:pPr>
              <w:rPr>
                <w:color w:val="FFFFFF"/>
                <w:lang w:val="en-US"/>
              </w:rPr>
            </w:pPr>
            <w:r w:rsidRPr="00AB5F54">
              <w:rPr>
                <w:rFonts w:cs="Times New Roman"/>
                <w:sz w:val="24"/>
                <w:szCs w:val="24"/>
              </w:rPr>
              <w:t>- Hệ thống thông tin tài chính và thông tin quản lý trung thực, hợp lý, đầy đủ và kịp thời.</w:t>
            </w:r>
          </w:p>
        </w:tc>
        <w:tc>
          <w:tcPr>
            <w:tcW w:w="4253" w:type="dxa"/>
          </w:tcPr>
          <w:p w14:paraId="01E89510" w14:textId="1C95F03B" w:rsidR="00D761CE" w:rsidRPr="00AB5F54" w:rsidRDefault="00D761CE" w:rsidP="00CC1E48">
            <w:pPr>
              <w:rPr>
                <w:rFonts w:cs="Times New Roman"/>
                <w:sz w:val="24"/>
                <w:szCs w:val="24"/>
                <w:lang w:val="en-US"/>
              </w:rPr>
            </w:pPr>
            <w:r w:rsidRPr="00AB5F54">
              <w:rPr>
                <w:rFonts w:cs="Times New Roman"/>
                <w:sz w:val="24"/>
                <w:szCs w:val="24"/>
                <w:lang w:val="en-US"/>
              </w:rPr>
              <w:t>Hiện nay, các TCTD, chi nhánh NHNNg cũng như các tổ chức kiểm toán độc lập đều gặp khó khăn và vướng mắc trong việc kiểm toán hệ thống kiểm soát nội bộ do nội dung và phạm vi hoạt động của hệ thống kiểm soát nội bộ rất rộng</w:t>
            </w:r>
            <w:r w:rsidR="0046160E" w:rsidRPr="00AB5F54">
              <w:rPr>
                <w:rFonts w:cs="Times New Roman"/>
                <w:sz w:val="24"/>
                <w:szCs w:val="24"/>
                <w:lang w:val="en-US"/>
              </w:rPr>
              <w:t>.</w:t>
            </w:r>
          </w:p>
          <w:p w14:paraId="3B32B1F5" w14:textId="59FFD220" w:rsidR="0058671A" w:rsidRPr="00AB5F54" w:rsidRDefault="0046160E" w:rsidP="00CC1E48">
            <w:pPr>
              <w:rPr>
                <w:sz w:val="24"/>
                <w:szCs w:val="28"/>
                <w:lang w:val="en-US"/>
              </w:rPr>
            </w:pPr>
            <w:r w:rsidRPr="00AB5F54">
              <w:rPr>
                <w:rFonts w:cs="Times New Roman"/>
                <w:sz w:val="24"/>
                <w:szCs w:val="24"/>
                <w:lang w:val="en-US"/>
              </w:rPr>
              <w:t>Do đó, để đảm bảo các đơn vị có thể triển khai trên thực tế</w:t>
            </w:r>
            <w:r w:rsidR="00062869" w:rsidRPr="00AB5F54">
              <w:rPr>
                <w:rFonts w:cs="Times New Roman"/>
                <w:sz w:val="24"/>
                <w:szCs w:val="24"/>
                <w:lang w:val="en-US"/>
              </w:rPr>
              <w:t xml:space="preserve">, </w:t>
            </w:r>
            <w:r w:rsidRPr="00AB5F54">
              <w:rPr>
                <w:rFonts w:cs="Times New Roman"/>
                <w:sz w:val="24"/>
                <w:szCs w:val="24"/>
                <w:lang w:val="en-US"/>
              </w:rPr>
              <w:t>d</w:t>
            </w:r>
            <w:r w:rsidR="005B7405" w:rsidRPr="00AB5F54">
              <w:rPr>
                <w:rFonts w:cs="Times New Roman"/>
                <w:sz w:val="24"/>
                <w:szCs w:val="24"/>
              </w:rPr>
              <w:t>ự thảo Thông tư sửa đổi, bổ sung theo hướng</w:t>
            </w:r>
            <w:r w:rsidR="0058671A" w:rsidRPr="00AB5F54">
              <w:rPr>
                <w:rFonts w:cs="Times New Roman"/>
                <w:sz w:val="24"/>
                <w:szCs w:val="24"/>
                <w:lang w:val="en-US"/>
              </w:rPr>
              <w:t xml:space="preserve"> trước mắt </w:t>
            </w:r>
            <w:r w:rsidR="0058671A" w:rsidRPr="00AB5F54">
              <w:rPr>
                <w:sz w:val="24"/>
                <w:szCs w:val="28"/>
              </w:rPr>
              <w:t>NHNN sẽ hướng dẫn thực hiện kiểm toán hoạt động hệ thống kiểm soát nội bộ theo từng cấu phần quy định tại Thông tư 44</w:t>
            </w:r>
            <w:r w:rsidR="00474EA4" w:rsidRPr="00AB5F54">
              <w:rPr>
                <w:sz w:val="24"/>
                <w:szCs w:val="28"/>
                <w:lang w:val="en-US"/>
              </w:rPr>
              <w:t>/2011/TT-NHNN</w:t>
            </w:r>
            <w:r w:rsidR="0058671A" w:rsidRPr="00AB5F54">
              <w:rPr>
                <w:sz w:val="24"/>
                <w:szCs w:val="28"/>
              </w:rPr>
              <w:t xml:space="preserve"> và Thông tư 13</w:t>
            </w:r>
            <w:r w:rsidR="00474EA4" w:rsidRPr="00AB5F54">
              <w:rPr>
                <w:sz w:val="24"/>
                <w:szCs w:val="28"/>
                <w:lang w:val="en-US"/>
              </w:rPr>
              <w:t>/2018/TT-NHNN</w:t>
            </w:r>
            <w:r w:rsidR="0058671A" w:rsidRPr="00AB5F54">
              <w:rPr>
                <w:sz w:val="24"/>
                <w:szCs w:val="28"/>
              </w:rPr>
              <w:t xml:space="preserve"> và về lâu dài sẽ hướng dẫn tiếp các cấu phần khác để đảm bảo thực hiện kiểm toán </w:t>
            </w:r>
            <w:r w:rsidR="00CE1D17" w:rsidRPr="00AB5F54">
              <w:rPr>
                <w:sz w:val="24"/>
                <w:szCs w:val="28"/>
                <w:lang w:val="en-US"/>
              </w:rPr>
              <w:t xml:space="preserve">độc lập tất cả </w:t>
            </w:r>
            <w:r w:rsidR="00CC38D7" w:rsidRPr="00AB5F54">
              <w:rPr>
                <w:sz w:val="24"/>
                <w:szCs w:val="28"/>
                <w:lang w:val="en-US"/>
              </w:rPr>
              <w:t xml:space="preserve">hoạt động </w:t>
            </w:r>
            <w:r w:rsidR="009D000C" w:rsidRPr="00AB5F54">
              <w:rPr>
                <w:rFonts w:cs="Times New Roman"/>
                <w:sz w:val="24"/>
                <w:szCs w:val="24"/>
                <w:lang w:val="en-US"/>
              </w:rPr>
              <w:t>hệ thống kiểm soát nội bộ</w:t>
            </w:r>
            <w:r w:rsidR="009D000C" w:rsidRPr="00AB5F54">
              <w:rPr>
                <w:sz w:val="24"/>
                <w:szCs w:val="28"/>
              </w:rPr>
              <w:t xml:space="preserve"> </w:t>
            </w:r>
            <w:r w:rsidR="00CE1D17" w:rsidRPr="00AB5F54">
              <w:rPr>
                <w:sz w:val="24"/>
                <w:szCs w:val="28"/>
                <w:lang w:val="en-US"/>
              </w:rPr>
              <w:t>theo quy định.</w:t>
            </w:r>
          </w:p>
          <w:p w14:paraId="2F1DD079" w14:textId="42B334EC" w:rsidR="005B7405" w:rsidRPr="00AB5F54" w:rsidRDefault="0058671A" w:rsidP="00CC1E48">
            <w:pPr>
              <w:rPr>
                <w:rFonts w:cs="Times New Roman"/>
                <w:sz w:val="24"/>
                <w:szCs w:val="24"/>
              </w:rPr>
            </w:pPr>
            <w:r w:rsidRPr="00AB5F54">
              <w:rPr>
                <w:sz w:val="24"/>
                <w:szCs w:val="28"/>
                <w:lang w:val="en-US"/>
              </w:rPr>
              <w:t xml:space="preserve">Theo đó, </w:t>
            </w:r>
            <w:r w:rsidR="00CE1D17" w:rsidRPr="00AB5F54">
              <w:rPr>
                <w:sz w:val="24"/>
                <w:szCs w:val="28"/>
                <w:lang w:val="en-US"/>
              </w:rPr>
              <w:t>d</w:t>
            </w:r>
            <w:r w:rsidRPr="00AB5F54">
              <w:rPr>
                <w:sz w:val="24"/>
                <w:szCs w:val="28"/>
                <w:lang w:val="en-US"/>
              </w:rPr>
              <w:t>ự thảo Thông tư sửa đổi, bổ sung quy định tại điểm b khoản 2 Điều 8 theo hướng g</w:t>
            </w:r>
            <w:r w:rsidR="005B7405" w:rsidRPr="00AB5F54">
              <w:rPr>
                <w:rFonts w:cs="Times New Roman"/>
                <w:sz w:val="24"/>
                <w:szCs w:val="24"/>
              </w:rPr>
              <w:t>iới hạn phạm vi kiểm toán hoạt động hệ thống kiểm soát nội bộ của TCTD,</w:t>
            </w:r>
            <w:r w:rsidR="00853659" w:rsidRPr="00AB5F54">
              <w:rPr>
                <w:rFonts w:cs="Times New Roman"/>
                <w:sz w:val="24"/>
                <w:szCs w:val="24"/>
              </w:rPr>
              <w:t xml:space="preserve"> chi nhánh NHNNg</w:t>
            </w:r>
            <w:r w:rsidR="0009751C" w:rsidRPr="00AB5F54">
              <w:rPr>
                <w:rFonts w:cs="Times New Roman"/>
                <w:sz w:val="24"/>
                <w:szCs w:val="24"/>
                <w:lang w:val="en-US"/>
              </w:rPr>
              <w:t xml:space="preserve"> đối với các </w:t>
            </w:r>
            <w:r w:rsidR="005B7405" w:rsidRPr="00AB5F54">
              <w:rPr>
                <w:rFonts w:cs="Times New Roman"/>
                <w:sz w:val="24"/>
                <w:szCs w:val="24"/>
              </w:rPr>
              <w:t>nội dung sau:</w:t>
            </w:r>
          </w:p>
          <w:p w14:paraId="25D38E7F" w14:textId="77777777" w:rsidR="005B7405" w:rsidRPr="00AB5F54" w:rsidRDefault="005B7405" w:rsidP="00CC1E48">
            <w:pPr>
              <w:rPr>
                <w:rFonts w:cs="Times New Roman"/>
                <w:sz w:val="24"/>
                <w:szCs w:val="24"/>
              </w:rPr>
            </w:pPr>
            <w:r w:rsidRPr="00AB5F54">
              <w:rPr>
                <w:rFonts w:cs="Times New Roman"/>
                <w:sz w:val="24"/>
                <w:szCs w:val="24"/>
              </w:rPr>
              <w:t>(i) Kiểm toán độc lập hệ thống kiểm soát nội bộ liên quan đến việc lập và trình bày báo cáo tài chính.</w:t>
            </w:r>
          </w:p>
          <w:p w14:paraId="400E5E20" w14:textId="5870E4D5" w:rsidR="005B7405" w:rsidRPr="00AB5F54" w:rsidRDefault="005B7405" w:rsidP="00CC1E48">
            <w:pPr>
              <w:rPr>
                <w:rFonts w:cs="Times New Roman"/>
                <w:sz w:val="24"/>
                <w:szCs w:val="24"/>
                <w:lang w:val="en-US"/>
              </w:rPr>
            </w:pPr>
            <w:r w:rsidRPr="00AB5F54">
              <w:rPr>
                <w:rFonts w:cs="Times New Roman"/>
                <w:sz w:val="24"/>
                <w:szCs w:val="24"/>
              </w:rPr>
              <w:t xml:space="preserve">(ii) Đối với ngân hàng thương mại và chi nhánh NHNNg, ngoài việc thực hiện quy định tại điểm (i) thì phải thực hiện kiểm </w:t>
            </w:r>
            <w:r w:rsidRPr="00AB5F54">
              <w:rPr>
                <w:rFonts w:cs="Times New Roman"/>
                <w:sz w:val="24"/>
                <w:szCs w:val="24"/>
              </w:rPr>
              <w:lastRenderedPageBreak/>
              <w:t>toán hoạt động hệ thống kiểm soát nội bộ đối với nội dung “Đánh giá nội bộ về mức đủ vốn” (ICAAP) theo quy định tại Thông tư 13</w:t>
            </w:r>
            <w:r w:rsidRPr="00AB5F54">
              <w:rPr>
                <w:rFonts w:cs="Times New Roman"/>
                <w:sz w:val="24"/>
                <w:szCs w:val="24"/>
                <w:lang w:val="en-US"/>
              </w:rPr>
              <w:t>/2018/TT-NHNN.</w:t>
            </w:r>
          </w:p>
          <w:p w14:paraId="3813C2D0" w14:textId="768BCC02" w:rsidR="005B7405" w:rsidRPr="00AB5F54" w:rsidRDefault="00E3581F" w:rsidP="00CC1E48">
            <w:pPr>
              <w:rPr>
                <w:rFonts w:cs="Times New Roman"/>
                <w:sz w:val="24"/>
                <w:szCs w:val="24"/>
                <w:lang w:val="nl-NL"/>
              </w:rPr>
            </w:pPr>
            <w:r w:rsidRPr="00AB5F54">
              <w:rPr>
                <w:rFonts w:cs="Times New Roman"/>
                <w:sz w:val="24"/>
                <w:szCs w:val="24"/>
                <w:lang w:val="en-US"/>
              </w:rPr>
              <w:t xml:space="preserve">Trong </w:t>
            </w:r>
            <w:r w:rsidR="009D000C" w:rsidRPr="00AB5F54">
              <w:rPr>
                <w:rFonts w:cs="Times New Roman"/>
                <w:sz w:val="24"/>
                <w:szCs w:val="24"/>
                <w:lang w:val="en-US"/>
              </w:rPr>
              <w:t>các nội dung</w:t>
            </w:r>
            <w:r w:rsidR="00582349" w:rsidRPr="00AB5F54">
              <w:rPr>
                <w:rFonts w:cs="Times New Roman"/>
                <w:sz w:val="24"/>
                <w:szCs w:val="24"/>
                <w:lang w:val="en-US"/>
              </w:rPr>
              <w:t xml:space="preserve"> hoạt động </w:t>
            </w:r>
            <w:r w:rsidRPr="00AB5F54">
              <w:rPr>
                <w:rFonts w:cs="Times New Roman"/>
                <w:sz w:val="24"/>
                <w:szCs w:val="24"/>
                <w:lang w:val="en-US"/>
              </w:rPr>
              <w:t>của hệ thống kiểm soát nội bộ thì n</w:t>
            </w:r>
            <w:r w:rsidR="00062869" w:rsidRPr="00AB5F54">
              <w:rPr>
                <w:rFonts w:cs="Times New Roman"/>
                <w:sz w:val="24"/>
                <w:szCs w:val="24"/>
                <w:lang w:val="en-US"/>
              </w:rPr>
              <w:t xml:space="preserve">ội dung </w:t>
            </w:r>
            <w:r w:rsidR="00062869" w:rsidRPr="00AB5F54">
              <w:rPr>
                <w:rFonts w:cs="Times New Roman"/>
                <w:sz w:val="24"/>
                <w:szCs w:val="24"/>
              </w:rPr>
              <w:t>ICAAP là nội dung mới và quan trọng, áp dụng nhiều kỹ thuật phức tạp nhằm thực hiện quy định về an toàn theo hướng dẫn của Ủy ban Basel (trụ cột 2 Basel II)</w:t>
            </w:r>
            <w:r w:rsidR="00062869" w:rsidRPr="00AB5F54">
              <w:rPr>
                <w:rFonts w:cs="Times New Roman"/>
                <w:sz w:val="24"/>
                <w:szCs w:val="24"/>
                <w:lang w:val="en-US"/>
              </w:rPr>
              <w:t xml:space="preserve"> cho các ngân hàng thương mại, chi nhánh NHNNg nên việc yêu cầu kiểm toán độc lập hệ thống kiểm soát nội bội đối </w:t>
            </w:r>
            <w:proofErr w:type="gramStart"/>
            <w:r w:rsidR="00062869" w:rsidRPr="00AB5F54">
              <w:rPr>
                <w:rFonts w:cs="Times New Roman"/>
                <w:sz w:val="24"/>
                <w:szCs w:val="24"/>
                <w:lang w:val="en-US"/>
              </w:rPr>
              <w:t>với  nội</w:t>
            </w:r>
            <w:proofErr w:type="gramEnd"/>
            <w:r w:rsidR="00062869" w:rsidRPr="00AB5F54">
              <w:rPr>
                <w:rFonts w:cs="Times New Roman"/>
                <w:sz w:val="24"/>
                <w:szCs w:val="24"/>
                <w:lang w:val="en-US"/>
              </w:rPr>
              <w:t xml:space="preserve"> dung này là cần thiết</w:t>
            </w:r>
            <w:r w:rsidRPr="00AB5F54">
              <w:rPr>
                <w:rFonts w:cs="Times New Roman"/>
                <w:sz w:val="24"/>
                <w:szCs w:val="24"/>
                <w:lang w:val="en-US"/>
              </w:rPr>
              <w:t>.</w:t>
            </w:r>
          </w:p>
        </w:tc>
      </w:tr>
      <w:tr w:rsidR="00231AB9" w:rsidRPr="00AB5F54" w14:paraId="57607A9B" w14:textId="77777777" w:rsidTr="00556D0D">
        <w:tc>
          <w:tcPr>
            <w:tcW w:w="746" w:type="dxa"/>
          </w:tcPr>
          <w:p w14:paraId="0F0B104D" w14:textId="7825B715" w:rsidR="00231AB9" w:rsidRDefault="0065336D" w:rsidP="00CC1E48">
            <w:pPr>
              <w:jc w:val="center"/>
              <w:rPr>
                <w:rFonts w:cs="Times New Roman"/>
                <w:b/>
                <w:sz w:val="24"/>
                <w:szCs w:val="24"/>
                <w:lang w:val="en-US"/>
              </w:rPr>
            </w:pPr>
            <w:r>
              <w:rPr>
                <w:rFonts w:cs="Times New Roman"/>
                <w:b/>
                <w:sz w:val="24"/>
                <w:szCs w:val="24"/>
                <w:lang w:val="en-US"/>
              </w:rPr>
              <w:lastRenderedPageBreak/>
              <w:t>3</w:t>
            </w:r>
          </w:p>
        </w:tc>
        <w:tc>
          <w:tcPr>
            <w:tcW w:w="4811" w:type="dxa"/>
          </w:tcPr>
          <w:p w14:paraId="0950137D" w14:textId="09AFE837" w:rsidR="00231AB9" w:rsidRPr="000A70B2" w:rsidRDefault="00231AB9" w:rsidP="00CC1E48">
            <w:pPr>
              <w:rPr>
                <w:rFonts w:cs="Times New Roman"/>
                <w:b/>
                <w:sz w:val="24"/>
                <w:szCs w:val="24"/>
                <w:lang w:val="en-US"/>
              </w:rPr>
            </w:pPr>
            <w:r w:rsidRPr="000A70B2">
              <w:rPr>
                <w:rFonts w:cs="Times New Roman"/>
                <w:b/>
                <w:sz w:val="24"/>
                <w:szCs w:val="24"/>
              </w:rPr>
              <w:t>Điều 8</w:t>
            </w:r>
            <w:r w:rsidR="000A70B2" w:rsidRPr="000A70B2">
              <w:rPr>
                <w:rFonts w:cs="Times New Roman"/>
                <w:b/>
                <w:sz w:val="24"/>
                <w:szCs w:val="24"/>
                <w:lang w:val="en-US"/>
              </w:rPr>
              <w:t xml:space="preserve"> về nội dung kiểm toán</w:t>
            </w:r>
          </w:p>
          <w:p w14:paraId="60084AA5" w14:textId="77777777" w:rsidR="00231AB9" w:rsidRPr="00231AB9" w:rsidRDefault="00231AB9" w:rsidP="00CC1E48">
            <w:pPr>
              <w:rPr>
                <w:rFonts w:cs="Times New Roman"/>
                <w:sz w:val="24"/>
                <w:szCs w:val="24"/>
              </w:rPr>
            </w:pPr>
            <w:r w:rsidRPr="00231AB9">
              <w:rPr>
                <w:rFonts w:cs="Times New Roman"/>
                <w:sz w:val="24"/>
                <w:szCs w:val="24"/>
              </w:rPr>
              <w:t>1. Kiểm toán độc lập báo cáo tài chính của tổ chức tín dụng, chi nhánh ngân hàng nước ngoài bao gồm kiểm toán:</w:t>
            </w:r>
          </w:p>
          <w:p w14:paraId="39248A89" w14:textId="77777777" w:rsidR="00231AB9" w:rsidRPr="00231AB9" w:rsidRDefault="00231AB9" w:rsidP="00CC1E48">
            <w:pPr>
              <w:rPr>
                <w:rFonts w:cs="Times New Roman"/>
                <w:sz w:val="24"/>
                <w:szCs w:val="24"/>
              </w:rPr>
            </w:pPr>
            <w:r w:rsidRPr="00231AB9">
              <w:rPr>
                <w:rFonts w:cs="Times New Roman"/>
                <w:sz w:val="24"/>
                <w:szCs w:val="24"/>
              </w:rPr>
              <w:t>a) Bảng cân đối kế toán;</w:t>
            </w:r>
          </w:p>
          <w:p w14:paraId="49E38781" w14:textId="77777777" w:rsidR="00231AB9" w:rsidRPr="00231AB9" w:rsidRDefault="00231AB9" w:rsidP="00CC1E48">
            <w:pPr>
              <w:rPr>
                <w:rFonts w:cs="Times New Roman"/>
                <w:sz w:val="24"/>
                <w:szCs w:val="24"/>
              </w:rPr>
            </w:pPr>
            <w:r w:rsidRPr="00231AB9">
              <w:rPr>
                <w:rFonts w:cs="Times New Roman"/>
                <w:sz w:val="24"/>
                <w:szCs w:val="24"/>
              </w:rPr>
              <w:t>b) Báo cáo kết quả hoạt động kinh doanh;</w:t>
            </w:r>
          </w:p>
          <w:p w14:paraId="38D2429F" w14:textId="77777777" w:rsidR="00231AB9" w:rsidRPr="00231AB9" w:rsidRDefault="00231AB9" w:rsidP="00CC1E48">
            <w:pPr>
              <w:rPr>
                <w:rFonts w:cs="Times New Roman"/>
                <w:sz w:val="24"/>
                <w:szCs w:val="24"/>
              </w:rPr>
            </w:pPr>
            <w:r w:rsidRPr="00231AB9">
              <w:rPr>
                <w:rFonts w:cs="Times New Roman"/>
                <w:sz w:val="24"/>
                <w:szCs w:val="24"/>
              </w:rPr>
              <w:t>c) Báo cáo lưu chuyển tiền tệ;</w:t>
            </w:r>
          </w:p>
          <w:p w14:paraId="755290AB" w14:textId="77777777" w:rsidR="00231AB9" w:rsidRPr="00231AB9" w:rsidRDefault="00231AB9" w:rsidP="00CC1E48">
            <w:pPr>
              <w:rPr>
                <w:rFonts w:cs="Times New Roman"/>
                <w:sz w:val="24"/>
                <w:szCs w:val="24"/>
              </w:rPr>
            </w:pPr>
            <w:r w:rsidRPr="00231AB9">
              <w:rPr>
                <w:rFonts w:cs="Times New Roman"/>
                <w:sz w:val="24"/>
                <w:szCs w:val="24"/>
              </w:rPr>
              <w:t>d) Thuyết minh báo cáo tài chính.</w:t>
            </w:r>
          </w:p>
          <w:p w14:paraId="7B84F830" w14:textId="77777777" w:rsidR="00231AB9" w:rsidRPr="00231AB9" w:rsidRDefault="00231AB9" w:rsidP="00CC1E48">
            <w:pPr>
              <w:rPr>
                <w:rFonts w:cs="Times New Roman"/>
                <w:sz w:val="24"/>
                <w:szCs w:val="24"/>
              </w:rPr>
            </w:pPr>
            <w:r w:rsidRPr="00231AB9">
              <w:rPr>
                <w:rFonts w:cs="Times New Roman"/>
                <w:sz w:val="24"/>
                <w:szCs w:val="24"/>
              </w:rPr>
              <w:t>2. Kiểm toán độc lập hoạt động của hệ thống kiểm soát nội bộ của tổ chức tín dụng, chi nhánh ngân hàng nước ngoài bao gồm:</w:t>
            </w:r>
          </w:p>
          <w:p w14:paraId="3732443F" w14:textId="77777777" w:rsidR="00231AB9" w:rsidRPr="00231AB9" w:rsidRDefault="00231AB9" w:rsidP="00CC1E48">
            <w:pPr>
              <w:rPr>
                <w:rFonts w:cs="Times New Roman"/>
                <w:sz w:val="24"/>
                <w:szCs w:val="24"/>
              </w:rPr>
            </w:pPr>
            <w:r w:rsidRPr="00231AB9">
              <w:rPr>
                <w:rFonts w:cs="Times New Roman"/>
                <w:sz w:val="24"/>
                <w:szCs w:val="24"/>
              </w:rPr>
              <w:t>a) Kiểm toán tuân thủ quy định của pháp luật hiện hành, quy định của Ngân hàng Nhà nước về hệ thống kiểm soát nội bộ của tổ chức tín dụng, chi nhánh ngân hàng nước ngoài;</w:t>
            </w:r>
          </w:p>
          <w:p w14:paraId="1E70F3A4" w14:textId="77777777" w:rsidR="00231AB9" w:rsidRPr="00231AB9" w:rsidRDefault="00231AB9" w:rsidP="00CC1E48">
            <w:pPr>
              <w:rPr>
                <w:rFonts w:cs="Times New Roman"/>
                <w:sz w:val="24"/>
                <w:szCs w:val="24"/>
              </w:rPr>
            </w:pPr>
            <w:r w:rsidRPr="00231AB9">
              <w:rPr>
                <w:rFonts w:cs="Times New Roman"/>
                <w:sz w:val="24"/>
                <w:szCs w:val="24"/>
              </w:rPr>
              <w:t>b) Kiểm toán hoạt động đối với hệ thống kiểm soát nội bộ nhằm bảo đảm các yêu cầu sau đây:</w:t>
            </w:r>
          </w:p>
          <w:p w14:paraId="6E3F8A61" w14:textId="77777777" w:rsidR="00231AB9" w:rsidRPr="00231AB9" w:rsidRDefault="00231AB9" w:rsidP="00CC1E48">
            <w:pPr>
              <w:rPr>
                <w:rFonts w:cs="Times New Roman"/>
                <w:sz w:val="24"/>
                <w:szCs w:val="24"/>
              </w:rPr>
            </w:pPr>
            <w:r w:rsidRPr="00231AB9">
              <w:rPr>
                <w:rFonts w:cs="Times New Roman"/>
                <w:sz w:val="24"/>
                <w:szCs w:val="24"/>
              </w:rPr>
              <w:t xml:space="preserve">- Hiệu quả và an toàn trong hoạt động; bảo vệ, quản lý, sử dụng an toàn, hiệu quả tài sản và </w:t>
            </w:r>
            <w:r w:rsidRPr="00231AB9">
              <w:rPr>
                <w:rFonts w:cs="Times New Roman"/>
                <w:sz w:val="24"/>
                <w:szCs w:val="24"/>
              </w:rPr>
              <w:lastRenderedPageBreak/>
              <w:t>các nguồn lực;</w:t>
            </w:r>
          </w:p>
          <w:p w14:paraId="367D1AA3" w14:textId="405777CF" w:rsidR="00231AB9" w:rsidRPr="00231AB9" w:rsidRDefault="00231AB9" w:rsidP="00CC1E48">
            <w:pPr>
              <w:rPr>
                <w:rFonts w:cs="Times New Roman"/>
                <w:sz w:val="24"/>
                <w:szCs w:val="24"/>
              </w:rPr>
            </w:pPr>
            <w:r w:rsidRPr="00231AB9">
              <w:rPr>
                <w:rFonts w:cs="Times New Roman"/>
                <w:sz w:val="24"/>
                <w:szCs w:val="24"/>
              </w:rPr>
              <w:t>- Hệ thống thông tin tài chính và thông tin quản lý trung thực, hợp lý, đầy đủ và kịp thời.</w:t>
            </w:r>
          </w:p>
        </w:tc>
        <w:tc>
          <w:tcPr>
            <w:tcW w:w="5075" w:type="dxa"/>
          </w:tcPr>
          <w:p w14:paraId="40A763BD" w14:textId="3EA1E656" w:rsidR="003A3EE3" w:rsidRPr="00884BC3" w:rsidRDefault="003A3EE3" w:rsidP="00CC1E48">
            <w:pPr>
              <w:rPr>
                <w:rFonts w:cs="Times New Roman"/>
                <w:b/>
                <w:sz w:val="24"/>
                <w:szCs w:val="24"/>
              </w:rPr>
            </w:pPr>
            <w:r w:rsidRPr="00884BC3">
              <w:rPr>
                <w:rFonts w:cs="Times New Roman"/>
                <w:b/>
                <w:sz w:val="24"/>
                <w:szCs w:val="24"/>
              </w:rPr>
              <w:lastRenderedPageBreak/>
              <w:t xml:space="preserve">Khoản </w:t>
            </w:r>
            <w:r w:rsidR="003B6146">
              <w:rPr>
                <w:rFonts w:cs="Times New Roman"/>
                <w:b/>
                <w:sz w:val="24"/>
                <w:szCs w:val="24"/>
                <w:lang w:val="en-US"/>
              </w:rPr>
              <w:t>3</w:t>
            </w:r>
            <w:r w:rsidRPr="00884BC3">
              <w:rPr>
                <w:rFonts w:cs="Times New Roman"/>
                <w:b/>
                <w:sz w:val="24"/>
                <w:szCs w:val="24"/>
              </w:rPr>
              <w:t xml:space="preserve"> Điều 1</w:t>
            </w:r>
          </w:p>
          <w:p w14:paraId="40840EB7" w14:textId="6C4A8775" w:rsidR="00884BC3" w:rsidRPr="00884BC3" w:rsidRDefault="003B6146" w:rsidP="00CC1E48">
            <w:pPr>
              <w:rPr>
                <w:rFonts w:cs="Times New Roman"/>
                <w:sz w:val="24"/>
                <w:szCs w:val="24"/>
              </w:rPr>
            </w:pPr>
            <w:r>
              <w:rPr>
                <w:rFonts w:cs="Times New Roman"/>
                <w:sz w:val="24"/>
                <w:szCs w:val="24"/>
                <w:lang w:val="en-US"/>
              </w:rPr>
              <w:t>3</w:t>
            </w:r>
            <w:r w:rsidR="00884BC3" w:rsidRPr="00884BC3">
              <w:rPr>
                <w:rFonts w:cs="Times New Roman"/>
                <w:sz w:val="24"/>
                <w:szCs w:val="24"/>
              </w:rPr>
              <w:t>. Bổ sung khoản 3 vào sau khoản 2 Điều 8 như sau:</w:t>
            </w:r>
          </w:p>
          <w:p w14:paraId="25356610" w14:textId="22F385FF" w:rsidR="00884BC3" w:rsidRPr="00884BC3" w:rsidRDefault="00884BC3" w:rsidP="00CC1E48">
            <w:pPr>
              <w:rPr>
                <w:rFonts w:cs="Times New Roman"/>
                <w:sz w:val="24"/>
                <w:szCs w:val="24"/>
              </w:rPr>
            </w:pPr>
            <w:r>
              <w:rPr>
                <w:rFonts w:cs="Times New Roman"/>
                <w:sz w:val="24"/>
                <w:szCs w:val="24"/>
                <w:lang w:val="en-US"/>
              </w:rPr>
              <w:t>“</w:t>
            </w:r>
            <w:r w:rsidRPr="00884BC3">
              <w:rPr>
                <w:rFonts w:cs="Times New Roman"/>
                <w:sz w:val="24"/>
                <w:szCs w:val="24"/>
              </w:rPr>
              <w:t>3. Kiểm toán độc lập các nội dung quy định tại khoản 2 Điề</w:t>
            </w:r>
            <w:r w:rsidR="00163B77">
              <w:rPr>
                <w:rFonts w:cs="Times New Roman"/>
                <w:sz w:val="24"/>
                <w:szCs w:val="24"/>
              </w:rPr>
              <w:t xml:space="preserve">u </w:t>
            </w:r>
            <w:r w:rsidR="00163B77">
              <w:rPr>
                <w:rFonts w:cs="Times New Roman"/>
                <w:sz w:val="24"/>
                <w:szCs w:val="24"/>
                <w:lang w:val="en-US"/>
              </w:rPr>
              <w:t>4</w:t>
            </w:r>
            <w:r>
              <w:rPr>
                <w:rFonts w:cs="Times New Roman"/>
                <w:sz w:val="24"/>
                <w:szCs w:val="24"/>
              </w:rPr>
              <w:t xml:space="preserve"> Thông tư này”</w:t>
            </w:r>
            <w:r w:rsidRPr="00884BC3">
              <w:rPr>
                <w:rFonts w:cs="Times New Roman"/>
                <w:sz w:val="24"/>
                <w:szCs w:val="24"/>
              </w:rPr>
              <w:t xml:space="preserve">. </w:t>
            </w:r>
          </w:p>
          <w:p w14:paraId="7873AFAF" w14:textId="77777777" w:rsidR="00231AB9" w:rsidRPr="00231AB9" w:rsidRDefault="00231AB9" w:rsidP="00CC1E48">
            <w:pPr>
              <w:rPr>
                <w:rFonts w:cs="Times New Roman"/>
                <w:sz w:val="24"/>
                <w:szCs w:val="24"/>
              </w:rPr>
            </w:pPr>
          </w:p>
        </w:tc>
        <w:tc>
          <w:tcPr>
            <w:tcW w:w="4253" w:type="dxa"/>
          </w:tcPr>
          <w:p w14:paraId="0927CFED" w14:textId="0B108F38" w:rsidR="00231AB9" w:rsidRPr="00AB5F54" w:rsidRDefault="00884BC3" w:rsidP="00CC1E48">
            <w:pPr>
              <w:rPr>
                <w:sz w:val="24"/>
                <w:szCs w:val="28"/>
                <w:lang w:val="en-US"/>
              </w:rPr>
            </w:pPr>
            <w:r w:rsidRPr="00396DD5">
              <w:rPr>
                <w:rFonts w:cs="Times New Roman"/>
                <w:sz w:val="24"/>
                <w:szCs w:val="24"/>
              </w:rPr>
              <w:t>Để đảm bảo phù hợp giữa quy định về phạm vi kiểm toán tại Điều 4 Thông tư 39 (đã được bổ sung nêu trên) và quy định về nội dung kiểm toán tại Điều 8 Thông tư 39, CQTTGSNH sửa đổi, bổ sung Điều 8 Thông tư 39 theo hướng bổ sung khoản 3 vào sau khoản 2 Điều 8 Thông tư 39 tại khoản 4 Điều 1 dự thảo Thông tư</w:t>
            </w:r>
          </w:p>
        </w:tc>
      </w:tr>
      <w:tr w:rsidR="00AC4780" w:rsidRPr="00AB5F54" w14:paraId="7DA21B6A" w14:textId="77777777" w:rsidTr="00556D0D">
        <w:tc>
          <w:tcPr>
            <w:tcW w:w="746" w:type="dxa"/>
          </w:tcPr>
          <w:p w14:paraId="053B9C96" w14:textId="0B5707AE" w:rsidR="00AC4780" w:rsidRPr="00AB5F54" w:rsidRDefault="0065336D" w:rsidP="00CC1E48">
            <w:pPr>
              <w:jc w:val="center"/>
              <w:rPr>
                <w:rFonts w:cs="Times New Roman"/>
                <w:b/>
                <w:sz w:val="24"/>
                <w:szCs w:val="24"/>
                <w:lang w:val="en-US"/>
              </w:rPr>
            </w:pPr>
            <w:r>
              <w:rPr>
                <w:rFonts w:cs="Times New Roman"/>
                <w:b/>
                <w:sz w:val="24"/>
                <w:szCs w:val="24"/>
                <w:lang w:val="en-US"/>
              </w:rPr>
              <w:lastRenderedPageBreak/>
              <w:t>4</w:t>
            </w:r>
          </w:p>
        </w:tc>
        <w:tc>
          <w:tcPr>
            <w:tcW w:w="4811" w:type="dxa"/>
          </w:tcPr>
          <w:p w14:paraId="2E4D4890" w14:textId="2D0F4AA0" w:rsidR="00AC4780" w:rsidRPr="000A70B2" w:rsidRDefault="00AC4780" w:rsidP="00CC1E48">
            <w:pPr>
              <w:rPr>
                <w:rFonts w:cs="Times New Roman"/>
                <w:b/>
                <w:sz w:val="24"/>
                <w:szCs w:val="24"/>
              </w:rPr>
            </w:pPr>
            <w:r w:rsidRPr="000A70B2">
              <w:rPr>
                <w:rFonts w:cs="Times New Roman"/>
                <w:b/>
                <w:sz w:val="24"/>
                <w:szCs w:val="24"/>
              </w:rPr>
              <w:t>Khoản 11 Điều 11</w:t>
            </w:r>
            <w:r w:rsidR="00F83577" w:rsidRPr="000A70B2">
              <w:rPr>
                <w:rFonts w:cs="Times New Roman"/>
                <w:b/>
                <w:sz w:val="24"/>
                <w:szCs w:val="24"/>
              </w:rPr>
              <w:t xml:space="preserve"> về đ</w:t>
            </w:r>
            <w:r w:rsidRPr="000A70B2">
              <w:rPr>
                <w:rFonts w:cs="Times New Roman"/>
                <w:b/>
                <w:sz w:val="24"/>
                <w:szCs w:val="24"/>
              </w:rPr>
              <w:t>iều kiện đối với tổ chức kiểm toán độc lập thực hiện kiểm toán ngân hàng, tổ chức tín dụng phi ngân hàng, chi nhánh ngân hàng nước ngoài</w:t>
            </w:r>
          </w:p>
          <w:p w14:paraId="5AF2D938" w14:textId="2F8DF814" w:rsidR="00AC4780" w:rsidRPr="00231AB9" w:rsidRDefault="00AC4780" w:rsidP="00CC1E48">
            <w:pPr>
              <w:rPr>
                <w:rFonts w:cs="Times New Roman"/>
                <w:sz w:val="24"/>
                <w:szCs w:val="24"/>
              </w:rPr>
            </w:pPr>
            <w:r w:rsidRPr="00AB5F54">
              <w:rPr>
                <w:rFonts w:cs="Times New Roman"/>
                <w:sz w:val="24"/>
                <w:szCs w:val="24"/>
              </w:rPr>
              <w:t>11. Không thuộc Danh sách không được kiểm toán do Ngân hàng Nhà nước công bố;</w:t>
            </w:r>
          </w:p>
        </w:tc>
        <w:tc>
          <w:tcPr>
            <w:tcW w:w="5075" w:type="dxa"/>
          </w:tcPr>
          <w:p w14:paraId="4F6061DC" w14:textId="14186529" w:rsidR="00AC4780" w:rsidRPr="00AB5F54" w:rsidRDefault="00AC4780" w:rsidP="00CC1E48">
            <w:pPr>
              <w:rPr>
                <w:rFonts w:cs="Times New Roman"/>
                <w:b/>
                <w:sz w:val="24"/>
                <w:szCs w:val="24"/>
                <w:lang w:val="en-US"/>
              </w:rPr>
            </w:pPr>
            <w:r w:rsidRPr="00AB5F54">
              <w:rPr>
                <w:rFonts w:cs="Times New Roman"/>
                <w:b/>
                <w:sz w:val="24"/>
                <w:szCs w:val="24"/>
                <w:lang w:val="en-US"/>
              </w:rPr>
              <w:t xml:space="preserve">Khoản </w:t>
            </w:r>
            <w:r w:rsidR="003B6146">
              <w:rPr>
                <w:rFonts w:cs="Times New Roman"/>
                <w:b/>
                <w:sz w:val="24"/>
                <w:szCs w:val="24"/>
                <w:lang w:val="en-US"/>
              </w:rPr>
              <w:t>4</w:t>
            </w:r>
            <w:r w:rsidRPr="00AB5F54">
              <w:rPr>
                <w:rFonts w:cs="Times New Roman"/>
                <w:b/>
                <w:sz w:val="24"/>
                <w:szCs w:val="24"/>
                <w:lang w:val="en-US"/>
              </w:rPr>
              <w:t xml:space="preserve"> Điều 1</w:t>
            </w:r>
          </w:p>
          <w:p w14:paraId="73FC4BC1" w14:textId="61A4D437" w:rsidR="00AC4780" w:rsidRPr="00AB5F54" w:rsidRDefault="003B6146" w:rsidP="00CC1E48">
            <w:pPr>
              <w:rPr>
                <w:rFonts w:cs="Times New Roman"/>
                <w:sz w:val="24"/>
                <w:szCs w:val="24"/>
              </w:rPr>
            </w:pPr>
            <w:r>
              <w:rPr>
                <w:rFonts w:cs="Times New Roman"/>
                <w:sz w:val="24"/>
                <w:szCs w:val="24"/>
                <w:lang w:val="en-US"/>
              </w:rPr>
              <w:t>4</w:t>
            </w:r>
            <w:r w:rsidR="00AC4780" w:rsidRPr="00AB5F54">
              <w:rPr>
                <w:rFonts w:cs="Times New Roman"/>
                <w:sz w:val="24"/>
                <w:szCs w:val="24"/>
              </w:rPr>
              <w:t>. Khoản 11 Điều 11 được sửa đổi, bổ sung như sau:</w:t>
            </w:r>
          </w:p>
          <w:p w14:paraId="30F31464" w14:textId="77777777" w:rsidR="00AC4780" w:rsidRPr="00AB5F54" w:rsidRDefault="00AC4780" w:rsidP="00CC1E48">
            <w:pPr>
              <w:rPr>
                <w:rFonts w:cs="Times New Roman"/>
                <w:sz w:val="24"/>
                <w:szCs w:val="24"/>
              </w:rPr>
            </w:pPr>
            <w:r w:rsidRPr="00AB5F54">
              <w:rPr>
                <w:rFonts w:cs="Times New Roman"/>
                <w:sz w:val="24"/>
                <w:szCs w:val="24"/>
              </w:rPr>
              <w:t>“11. Thuộc danh sách tổ chức kiểm toán và kiểm toán viên hành nghề được chấp thuận thực hiện kiểm toán cho đơn vị có lợi ích công chúng do Bộ Tài chính công bố hằng năm.</w:t>
            </w:r>
          </w:p>
          <w:p w14:paraId="3184120F" w14:textId="6203A9CC" w:rsidR="00AC4780" w:rsidRPr="00AB5F54" w:rsidRDefault="00AC4780" w:rsidP="00CC1E48">
            <w:pPr>
              <w:rPr>
                <w:szCs w:val="28"/>
                <w:lang w:val="en-US"/>
              </w:rPr>
            </w:pPr>
            <w:r w:rsidRPr="00AB5F54">
              <w:rPr>
                <w:rFonts w:cs="Times New Roman"/>
                <w:sz w:val="24"/>
                <w:szCs w:val="24"/>
              </w:rPr>
              <w:t>Trường hợp ngân hàng, tổ chức tín dụng phi ngân hàng, chi nhánh ngân hàng nước ngoài là đơn vị có lợi ích công chúng thuộc lĩnh vực chứng khoán thì tổ chức kiểm toán và kiểm toán viên hành nghề thực hiện kiểm toán cho ngân hàng, tổ chức tín dụng phi ngân hàng, chi nhánh ngân hàng nước ngoài phải thuộc danh sách tổ chức kiểm toán và kiểm toán viên hành nghề được chấp thuận thực hiện kiểm toán cho đơn vị có lợi ích công chúng thuộc lĩnh vực chứng khoán do Ủy ban Chứng khoán Nhà nước công bố hằng năm.”.</w:t>
            </w:r>
          </w:p>
        </w:tc>
        <w:tc>
          <w:tcPr>
            <w:tcW w:w="4253" w:type="dxa"/>
            <w:vMerge w:val="restart"/>
          </w:tcPr>
          <w:p w14:paraId="32B5A5B0" w14:textId="455148DC" w:rsidR="00AC4780" w:rsidRPr="00AB5F54" w:rsidRDefault="00AC4780" w:rsidP="00CC1E48">
            <w:pPr>
              <w:shd w:val="clear" w:color="auto" w:fill="FFFFFF"/>
              <w:ind w:right="-1"/>
              <w:rPr>
                <w:rFonts w:cs="Times New Roman"/>
                <w:sz w:val="24"/>
                <w:szCs w:val="24"/>
                <w:lang w:val="en-US"/>
              </w:rPr>
            </w:pPr>
            <w:r w:rsidRPr="00AB5F54">
              <w:rPr>
                <w:sz w:val="24"/>
                <w:szCs w:val="28"/>
                <w:lang w:val="en-US"/>
              </w:rPr>
              <w:t xml:space="preserve">Dự thảo Thông tư sửa đổi, bổ sung quy định để đảm bảo phù hợp với thẩm quyền công bố Danh sách </w:t>
            </w:r>
            <w:r w:rsidRPr="00AB5F54">
              <w:rPr>
                <w:rFonts w:cs="Times New Roman"/>
                <w:sz w:val="24"/>
                <w:szCs w:val="24"/>
              </w:rPr>
              <w:t xml:space="preserve">tổ chức kiểm toán và kiểm toán viên hành nghề được chấp thuận thực hiện kiểm toán cho đơn vị có lợi ích công chúng </w:t>
            </w:r>
            <w:r w:rsidR="009E1365" w:rsidRPr="00AB5F54">
              <w:rPr>
                <w:rFonts w:cs="Times New Roman"/>
                <w:sz w:val="24"/>
                <w:szCs w:val="24"/>
                <w:lang w:val="en-US"/>
              </w:rPr>
              <w:t xml:space="preserve">thuộc chức năng </w:t>
            </w:r>
            <w:r w:rsidRPr="00AB5F54">
              <w:rPr>
                <w:rFonts w:cs="Times New Roman"/>
                <w:sz w:val="24"/>
                <w:szCs w:val="24"/>
                <w:lang w:val="en-US"/>
              </w:rPr>
              <w:t>của Bộ Tài chính và Ủy ban Chứng khoán Nhà nước quy định tại Nghị định 84/2016/NĐ-CP ngày 1/7/2016 của Chính phủ về tiêu chuẩn, Điều kiện đối với kiểm toán viên hành nghề, tổ chức kiểm toán được chấp thuận kiểm toán cho đơn vị có lợi ích công chúng (khoản 3 Điều 10) và Thông tư 183/2013/TT-BTC ngày 4/12/2013 của Bộ Tài chính về kiểm toán độc lập đối với đơn vị có lợi ích công chúng (khoản 3 Điều 11).</w:t>
            </w:r>
          </w:p>
        </w:tc>
      </w:tr>
      <w:tr w:rsidR="00AC4780" w:rsidRPr="00AB5F54" w14:paraId="2880369F" w14:textId="77777777" w:rsidTr="00556D0D">
        <w:tc>
          <w:tcPr>
            <w:tcW w:w="746" w:type="dxa"/>
          </w:tcPr>
          <w:p w14:paraId="67926FB1" w14:textId="1A6E3B1F" w:rsidR="00AC4780" w:rsidRPr="00AB5F54" w:rsidRDefault="0065336D" w:rsidP="00CC1E48">
            <w:pPr>
              <w:jc w:val="center"/>
              <w:rPr>
                <w:rFonts w:cs="Times New Roman"/>
                <w:b/>
                <w:sz w:val="24"/>
                <w:szCs w:val="24"/>
                <w:lang w:val="en-US"/>
              </w:rPr>
            </w:pPr>
            <w:r>
              <w:rPr>
                <w:rFonts w:cs="Times New Roman"/>
                <w:b/>
                <w:sz w:val="24"/>
                <w:szCs w:val="24"/>
                <w:lang w:val="en-US"/>
              </w:rPr>
              <w:t>5</w:t>
            </w:r>
          </w:p>
        </w:tc>
        <w:tc>
          <w:tcPr>
            <w:tcW w:w="4811" w:type="dxa"/>
          </w:tcPr>
          <w:p w14:paraId="21D58D69" w14:textId="5DC4881F" w:rsidR="00AC4780" w:rsidRPr="000A70B2" w:rsidRDefault="00AC4780" w:rsidP="00CC1E48">
            <w:pPr>
              <w:rPr>
                <w:rFonts w:cs="Times New Roman"/>
                <w:b/>
                <w:sz w:val="24"/>
                <w:szCs w:val="24"/>
              </w:rPr>
            </w:pPr>
            <w:r w:rsidRPr="000A70B2">
              <w:rPr>
                <w:rFonts w:cs="Times New Roman"/>
                <w:b/>
                <w:sz w:val="24"/>
                <w:szCs w:val="24"/>
              </w:rPr>
              <w:t>Khoản 2 Điều 12</w:t>
            </w:r>
            <w:r w:rsidR="00D263B7" w:rsidRPr="000A70B2">
              <w:rPr>
                <w:rFonts w:cs="Times New Roman"/>
                <w:b/>
                <w:sz w:val="24"/>
                <w:szCs w:val="24"/>
              </w:rPr>
              <w:t xml:space="preserve"> về đ</w:t>
            </w:r>
            <w:r w:rsidRPr="000A70B2">
              <w:rPr>
                <w:rFonts w:cs="Times New Roman"/>
                <w:b/>
                <w:sz w:val="24"/>
                <w:szCs w:val="24"/>
              </w:rPr>
              <w:t>iều kiện đối với tổ chức kiểm toán độc lập thực hiện kiểm toán tổ chức tài chính vi mô, quỹ tín dụng nhân dân</w:t>
            </w:r>
          </w:p>
          <w:p w14:paraId="189EBAFB" w14:textId="77777777" w:rsidR="00AC4780" w:rsidRPr="00AB5F54" w:rsidRDefault="00AC4780" w:rsidP="00CC1E48">
            <w:pPr>
              <w:rPr>
                <w:rFonts w:cs="Times New Roman"/>
                <w:sz w:val="24"/>
                <w:szCs w:val="24"/>
              </w:rPr>
            </w:pPr>
            <w:r w:rsidRPr="00AB5F54">
              <w:rPr>
                <w:rFonts w:cs="Times New Roman"/>
                <w:sz w:val="24"/>
                <w:szCs w:val="24"/>
              </w:rPr>
              <w:t>2. Không thuộc Danh sách không được kiểm toán do Ngân hàng Nhà nước công bố;</w:t>
            </w:r>
          </w:p>
          <w:p w14:paraId="77D3BD54" w14:textId="77777777" w:rsidR="00AC4780" w:rsidRPr="00AB5F54" w:rsidRDefault="00AC4780" w:rsidP="00CC1E48">
            <w:pPr>
              <w:rPr>
                <w:rFonts w:cs="Times New Roman"/>
                <w:sz w:val="24"/>
                <w:szCs w:val="24"/>
              </w:rPr>
            </w:pPr>
          </w:p>
        </w:tc>
        <w:tc>
          <w:tcPr>
            <w:tcW w:w="5075" w:type="dxa"/>
          </w:tcPr>
          <w:p w14:paraId="3F9725EA" w14:textId="1F0DA0D6" w:rsidR="00AC4780" w:rsidRPr="00AB5F54" w:rsidRDefault="00AC4780" w:rsidP="00CC1E48">
            <w:pPr>
              <w:rPr>
                <w:rFonts w:cs="Times New Roman"/>
                <w:b/>
                <w:sz w:val="24"/>
                <w:szCs w:val="24"/>
                <w:lang w:val="en-US"/>
              </w:rPr>
            </w:pPr>
            <w:r w:rsidRPr="00AB5F54">
              <w:rPr>
                <w:rFonts w:cs="Times New Roman"/>
                <w:b/>
                <w:sz w:val="24"/>
                <w:szCs w:val="24"/>
                <w:lang w:val="en-US"/>
              </w:rPr>
              <w:t xml:space="preserve">Khoản </w:t>
            </w:r>
            <w:r w:rsidR="003B6146">
              <w:rPr>
                <w:rFonts w:cs="Times New Roman"/>
                <w:b/>
                <w:sz w:val="24"/>
                <w:szCs w:val="24"/>
                <w:lang w:val="en-US"/>
              </w:rPr>
              <w:t>5</w:t>
            </w:r>
            <w:r w:rsidRPr="00AB5F54">
              <w:rPr>
                <w:rFonts w:cs="Times New Roman"/>
                <w:b/>
                <w:sz w:val="24"/>
                <w:szCs w:val="24"/>
                <w:lang w:val="en-US"/>
              </w:rPr>
              <w:t xml:space="preserve"> Điều 1</w:t>
            </w:r>
          </w:p>
          <w:p w14:paraId="6D5DDB91" w14:textId="7285CEB3" w:rsidR="00AC4780" w:rsidRPr="00AB5F54" w:rsidRDefault="003B6146" w:rsidP="00CC1E48">
            <w:pPr>
              <w:rPr>
                <w:rFonts w:cs="Times New Roman"/>
                <w:sz w:val="24"/>
                <w:szCs w:val="24"/>
              </w:rPr>
            </w:pPr>
            <w:r>
              <w:rPr>
                <w:rFonts w:cs="Times New Roman"/>
                <w:sz w:val="24"/>
                <w:szCs w:val="24"/>
                <w:lang w:val="en-US"/>
              </w:rPr>
              <w:t>5</w:t>
            </w:r>
            <w:r w:rsidR="00AC4780" w:rsidRPr="00AB5F54">
              <w:rPr>
                <w:rFonts w:cs="Times New Roman"/>
                <w:sz w:val="24"/>
                <w:szCs w:val="24"/>
              </w:rPr>
              <w:t>. Khoản 2 Điều 12 được sửa đổi, bổ sung như sau:</w:t>
            </w:r>
          </w:p>
          <w:p w14:paraId="11132C2A" w14:textId="2472C3FF" w:rsidR="00AC4780" w:rsidRPr="00AB5F54" w:rsidRDefault="00AC4780" w:rsidP="00CC1E48">
            <w:pPr>
              <w:rPr>
                <w:szCs w:val="28"/>
                <w:lang w:val="en-US"/>
              </w:rPr>
            </w:pPr>
            <w:r w:rsidRPr="00AB5F54">
              <w:rPr>
                <w:rFonts w:cs="Times New Roman"/>
                <w:sz w:val="24"/>
                <w:szCs w:val="24"/>
              </w:rPr>
              <w:t>“2. Thuộc danh sách tổ chức kiểm toán và kiểm toán viên hành nghề được chấp thuận thực hiện kiểm toán cho đơn vị có lợi ích công chúng do Bộ Tài chính công bố hằng năm.”.</w:t>
            </w:r>
          </w:p>
        </w:tc>
        <w:tc>
          <w:tcPr>
            <w:tcW w:w="4253" w:type="dxa"/>
            <w:vMerge/>
          </w:tcPr>
          <w:p w14:paraId="2792096C" w14:textId="77777777" w:rsidR="00AC4780" w:rsidRPr="00AB5F54" w:rsidRDefault="00AC4780" w:rsidP="00CC1E48">
            <w:pPr>
              <w:shd w:val="clear" w:color="auto" w:fill="FFFFFF"/>
              <w:ind w:right="-1"/>
              <w:rPr>
                <w:rFonts w:cs="Times New Roman"/>
                <w:sz w:val="24"/>
                <w:szCs w:val="24"/>
                <w:lang w:val="nl-NL"/>
              </w:rPr>
            </w:pPr>
          </w:p>
        </w:tc>
      </w:tr>
      <w:tr w:rsidR="003A3EE3" w:rsidRPr="00AB5F54" w14:paraId="7A1362AE" w14:textId="77777777" w:rsidTr="00556D0D">
        <w:tc>
          <w:tcPr>
            <w:tcW w:w="746" w:type="dxa"/>
          </w:tcPr>
          <w:p w14:paraId="17DE9FD2" w14:textId="2B22C984" w:rsidR="003A3EE3" w:rsidRDefault="0065336D" w:rsidP="00CC1E48">
            <w:pPr>
              <w:jc w:val="center"/>
              <w:rPr>
                <w:rFonts w:cs="Times New Roman"/>
                <w:b/>
                <w:sz w:val="24"/>
                <w:szCs w:val="24"/>
                <w:lang w:val="en-US"/>
              </w:rPr>
            </w:pPr>
            <w:r>
              <w:rPr>
                <w:rFonts w:cs="Times New Roman"/>
                <w:b/>
                <w:sz w:val="24"/>
                <w:szCs w:val="24"/>
                <w:lang w:val="en-US"/>
              </w:rPr>
              <w:t>6</w:t>
            </w:r>
          </w:p>
        </w:tc>
        <w:tc>
          <w:tcPr>
            <w:tcW w:w="4811" w:type="dxa"/>
          </w:tcPr>
          <w:p w14:paraId="52A60B50" w14:textId="0DAFA5B1" w:rsidR="003A3EE3" w:rsidRPr="000A70B2" w:rsidRDefault="005A384E" w:rsidP="00CC1E48">
            <w:pPr>
              <w:rPr>
                <w:rFonts w:cs="Times New Roman"/>
                <w:b/>
                <w:sz w:val="24"/>
                <w:szCs w:val="24"/>
                <w:lang w:val="en-US"/>
              </w:rPr>
            </w:pPr>
            <w:r w:rsidRPr="000A70B2">
              <w:rPr>
                <w:rFonts w:cs="Times New Roman"/>
                <w:b/>
                <w:sz w:val="24"/>
                <w:szCs w:val="24"/>
                <w:lang w:val="en-US"/>
              </w:rPr>
              <w:t>Điều 12</w:t>
            </w:r>
            <w:r w:rsidR="000A70B2">
              <w:rPr>
                <w:rFonts w:cs="Times New Roman"/>
                <w:b/>
                <w:sz w:val="24"/>
                <w:szCs w:val="24"/>
                <w:lang w:val="en-US"/>
              </w:rPr>
              <w:t xml:space="preserve"> </w:t>
            </w:r>
            <w:r w:rsidR="000A70B2" w:rsidRPr="000A70B2">
              <w:rPr>
                <w:rFonts w:cs="Times New Roman"/>
                <w:b/>
                <w:sz w:val="24"/>
                <w:szCs w:val="24"/>
              </w:rPr>
              <w:t>về điều kiện đối với tổ chức kiểm toán độc lập thực hiện kiểm toán tổ chức tài chính vi mô, quỹ tín dụng nhân dân</w:t>
            </w:r>
          </w:p>
        </w:tc>
        <w:tc>
          <w:tcPr>
            <w:tcW w:w="5075" w:type="dxa"/>
          </w:tcPr>
          <w:p w14:paraId="09BB83D1" w14:textId="46D35BE4" w:rsidR="003A3EE3" w:rsidRDefault="003A3EE3" w:rsidP="00CC1E48">
            <w:pPr>
              <w:rPr>
                <w:rFonts w:cs="Times New Roman"/>
                <w:b/>
                <w:sz w:val="24"/>
                <w:szCs w:val="24"/>
                <w:lang w:val="en-US"/>
              </w:rPr>
            </w:pPr>
            <w:r w:rsidRPr="00AB5F54">
              <w:rPr>
                <w:rFonts w:cs="Times New Roman"/>
                <w:b/>
                <w:sz w:val="24"/>
                <w:szCs w:val="24"/>
                <w:lang w:val="en-US"/>
              </w:rPr>
              <w:t xml:space="preserve">Khoản </w:t>
            </w:r>
            <w:r w:rsidR="003B6146">
              <w:rPr>
                <w:rFonts w:cs="Times New Roman"/>
                <w:b/>
                <w:sz w:val="24"/>
                <w:szCs w:val="24"/>
                <w:lang w:val="en-US"/>
              </w:rPr>
              <w:t>6</w:t>
            </w:r>
            <w:r w:rsidRPr="00AB5F54">
              <w:rPr>
                <w:rFonts w:cs="Times New Roman"/>
                <w:b/>
                <w:sz w:val="24"/>
                <w:szCs w:val="24"/>
                <w:lang w:val="en-US"/>
              </w:rPr>
              <w:t xml:space="preserve"> Điều 1</w:t>
            </w:r>
          </w:p>
          <w:p w14:paraId="42A004D6" w14:textId="7E67D625" w:rsidR="003A3EE3" w:rsidRPr="003A3EE3" w:rsidRDefault="003B6146" w:rsidP="00CC1E48">
            <w:pPr>
              <w:rPr>
                <w:rFonts w:cs="Times New Roman"/>
                <w:sz w:val="24"/>
                <w:szCs w:val="24"/>
              </w:rPr>
            </w:pPr>
            <w:r>
              <w:rPr>
                <w:sz w:val="24"/>
                <w:szCs w:val="24"/>
                <w:lang w:val="en-US"/>
              </w:rPr>
              <w:t>6</w:t>
            </w:r>
            <w:r w:rsidR="003A3EE3" w:rsidRPr="003A3EE3">
              <w:rPr>
                <w:rFonts w:cs="Times New Roman"/>
                <w:sz w:val="24"/>
                <w:szCs w:val="24"/>
              </w:rPr>
              <w:t>. Bổ sung khoản 2a vào sau khoản 2 Điều 12 như sau:</w:t>
            </w:r>
          </w:p>
          <w:p w14:paraId="470CD59A" w14:textId="0FE66D26" w:rsidR="003A3EE3" w:rsidRPr="003A3EE3" w:rsidRDefault="003A3EE3" w:rsidP="00CC1E48">
            <w:pPr>
              <w:rPr>
                <w:szCs w:val="28"/>
                <w:u w:val="single"/>
                <w:lang w:val="en-US"/>
              </w:rPr>
            </w:pPr>
            <w:r w:rsidRPr="003A3EE3">
              <w:rPr>
                <w:rFonts w:cs="Times New Roman"/>
                <w:sz w:val="24"/>
                <w:szCs w:val="24"/>
              </w:rPr>
              <w:t xml:space="preserve"> “2a. Không kiểm toán độc lập chính tổ chức tài chính vi mô, quỹ tín dụng nhân dân đó trong thời </w:t>
            </w:r>
            <w:r w:rsidRPr="003A3EE3">
              <w:rPr>
                <w:rFonts w:cs="Times New Roman"/>
                <w:sz w:val="24"/>
                <w:szCs w:val="24"/>
              </w:rPr>
              <w:lastRenderedPageBreak/>
              <w:t>gian 05 năm liên tiếp liền kề trước năm kiểm toán;”</w:t>
            </w:r>
          </w:p>
        </w:tc>
        <w:tc>
          <w:tcPr>
            <w:tcW w:w="4253" w:type="dxa"/>
          </w:tcPr>
          <w:p w14:paraId="018E9955" w14:textId="77777777" w:rsidR="00A431D1" w:rsidRPr="00A431D1" w:rsidRDefault="00A431D1" w:rsidP="00CC1E48">
            <w:pPr>
              <w:rPr>
                <w:rFonts w:cs="Times New Roman"/>
                <w:sz w:val="24"/>
                <w:szCs w:val="24"/>
              </w:rPr>
            </w:pPr>
            <w:r w:rsidRPr="00A431D1">
              <w:rPr>
                <w:rFonts w:cs="Times New Roman"/>
                <w:sz w:val="24"/>
                <w:szCs w:val="24"/>
              </w:rPr>
              <w:lastRenderedPageBreak/>
              <w:t xml:space="preserve">Tương tự như đối với ngân hàng, Hội đồng thế giới về HTX tín dụng (tương đương như quỹ TDND tại Việt Nam) là tổ chức đại diện cho cộng đồng hợp tác xã tín dụng thế giới với trên 60 quốc gia </w:t>
            </w:r>
            <w:r w:rsidRPr="00A431D1">
              <w:rPr>
                <w:rFonts w:cs="Times New Roman"/>
                <w:sz w:val="24"/>
                <w:szCs w:val="24"/>
              </w:rPr>
              <w:lastRenderedPageBreak/>
              <w:t>thành viên đã ban hành hướng dẫn về quản trị HTX tín dụng trong đó có nội dung về thay đổi đơn vị kiểm toán sau 3-5 năm để tránh mối quan hệ gần gũi quá mức dẫn đến việc kiểm toán mang nhiều tính hình thức và không đi sâu, thiếu khách quan. Bằng việc thay đổi đơn vị kiểm toán thường xuyên, Hội đồng quản trị có thể duy trì tính độc lập của kiểm toán và đảm bảo việc tuân thủ các chuẩn mực không lệ thuộc kiểm toán.</w:t>
            </w:r>
          </w:p>
          <w:p w14:paraId="526B511B" w14:textId="159E8E63" w:rsidR="003A3EE3" w:rsidRPr="00A431D1" w:rsidRDefault="00A431D1" w:rsidP="00CC1E48">
            <w:pPr>
              <w:rPr>
                <w:rFonts w:cs="Times New Roman"/>
                <w:sz w:val="24"/>
                <w:szCs w:val="24"/>
              </w:rPr>
            </w:pPr>
            <w:r w:rsidRPr="00A431D1">
              <w:rPr>
                <w:rFonts w:cs="Times New Roman"/>
                <w:sz w:val="24"/>
                <w:szCs w:val="24"/>
              </w:rPr>
              <w:t>Trong thời gian qua, nhiều quỹ TDND hoạt động yếu kém dẫn đến phải đặt vào kiểm soát đặc biệt. Do đó, để đảm bảo minh bạch trong hoạt động của tổ chức tài chính vi mô và quỹ TDND cũng như nâng cao chất lượng kiểm toán độc lập của các tổ chức kiểm toán, CQTTGSNH thấy rằng cần bổ sung điều kiện đối với tổ chức kiểm toán độc lập thực hiện kiểm toán tổ chức tài chính vi mô và quỹ TDND tại Điều 12 Thông tư 39. Theo đó, CQTTGSNH bổ sung khoản 2a vào sau khoản 2 Điều 12 Thông tư 39 tại khoản 7 Điều 1 Dự thảo Thông tư</w:t>
            </w:r>
          </w:p>
        </w:tc>
      </w:tr>
      <w:tr w:rsidR="00741331" w:rsidRPr="00AB5F54" w14:paraId="45709188" w14:textId="77777777" w:rsidTr="00556D0D">
        <w:tc>
          <w:tcPr>
            <w:tcW w:w="746" w:type="dxa"/>
          </w:tcPr>
          <w:p w14:paraId="559B002B" w14:textId="4CC3E36A" w:rsidR="00741331" w:rsidRPr="00AB5F54" w:rsidRDefault="0065336D" w:rsidP="00CC1E48">
            <w:pPr>
              <w:jc w:val="center"/>
              <w:rPr>
                <w:rFonts w:cs="Times New Roman"/>
                <w:b/>
                <w:sz w:val="24"/>
                <w:szCs w:val="24"/>
                <w:lang w:val="en-US"/>
              </w:rPr>
            </w:pPr>
            <w:r>
              <w:rPr>
                <w:rFonts w:cs="Times New Roman"/>
                <w:b/>
                <w:sz w:val="24"/>
                <w:szCs w:val="24"/>
                <w:lang w:val="en-US"/>
              </w:rPr>
              <w:lastRenderedPageBreak/>
              <w:t>7</w:t>
            </w:r>
          </w:p>
        </w:tc>
        <w:tc>
          <w:tcPr>
            <w:tcW w:w="4811" w:type="dxa"/>
          </w:tcPr>
          <w:p w14:paraId="366261DD" w14:textId="0A6A8316" w:rsidR="00741331" w:rsidRPr="005A384E" w:rsidRDefault="005A384E" w:rsidP="00CC1E48">
            <w:pPr>
              <w:rPr>
                <w:rFonts w:cs="Times New Roman"/>
                <w:sz w:val="24"/>
                <w:szCs w:val="24"/>
                <w:lang w:val="en-US"/>
              </w:rPr>
            </w:pPr>
            <w:r w:rsidRPr="000A70B2">
              <w:rPr>
                <w:rFonts w:cs="Times New Roman"/>
                <w:b/>
                <w:sz w:val="24"/>
                <w:szCs w:val="24"/>
                <w:lang w:val="en-US"/>
              </w:rPr>
              <w:t>Điều 13</w:t>
            </w:r>
            <w:r w:rsidR="000A70B2" w:rsidRPr="000A70B2">
              <w:rPr>
                <w:rFonts w:cs="Times New Roman"/>
                <w:b/>
                <w:sz w:val="24"/>
                <w:szCs w:val="24"/>
                <w:lang w:val="en-US"/>
              </w:rPr>
              <w:t xml:space="preserve"> về</w:t>
            </w:r>
            <w:r w:rsidR="000A70B2" w:rsidRPr="000A70B2">
              <w:rPr>
                <w:rFonts w:cs="Times New Roman"/>
                <w:sz w:val="24"/>
                <w:szCs w:val="24"/>
                <w:lang w:val="en-US"/>
              </w:rPr>
              <w:t xml:space="preserve"> </w:t>
            </w:r>
            <w:r w:rsidR="000A70B2" w:rsidRPr="000A70B2">
              <w:rPr>
                <w:b/>
                <w:bCs/>
                <w:sz w:val="24"/>
                <w:szCs w:val="24"/>
                <w:lang w:val="en-US"/>
              </w:rPr>
              <w:t>t</w:t>
            </w:r>
            <w:r w:rsidR="000A70B2" w:rsidRPr="000A70B2">
              <w:rPr>
                <w:b/>
                <w:bCs/>
                <w:sz w:val="24"/>
                <w:szCs w:val="24"/>
              </w:rPr>
              <w:t>iêu chuẩn đối với kiểm toán viên hành nghề và người đại diện của tổ chức kiểm toán độc lập tham gia kiểm toán tổ chức tín dụng, chi nhánh ngân hàng nước ngoài</w:t>
            </w:r>
          </w:p>
        </w:tc>
        <w:tc>
          <w:tcPr>
            <w:tcW w:w="5075" w:type="dxa"/>
          </w:tcPr>
          <w:p w14:paraId="59B92D3F" w14:textId="462E1810" w:rsidR="00741331" w:rsidRDefault="00741331" w:rsidP="00CC1E48">
            <w:pPr>
              <w:rPr>
                <w:rFonts w:cs="Times New Roman"/>
                <w:b/>
                <w:sz w:val="24"/>
                <w:szCs w:val="24"/>
                <w:lang w:val="en-US"/>
              </w:rPr>
            </w:pPr>
            <w:r w:rsidRPr="00AB5F54">
              <w:rPr>
                <w:rFonts w:cs="Times New Roman"/>
                <w:b/>
                <w:sz w:val="24"/>
                <w:szCs w:val="24"/>
                <w:lang w:val="en-US"/>
              </w:rPr>
              <w:t xml:space="preserve">Khoản </w:t>
            </w:r>
            <w:r w:rsidR="003B6146">
              <w:rPr>
                <w:rFonts w:cs="Times New Roman"/>
                <w:b/>
                <w:sz w:val="24"/>
                <w:szCs w:val="24"/>
                <w:lang w:val="en-US"/>
              </w:rPr>
              <w:t>7</w:t>
            </w:r>
            <w:r w:rsidR="003A3EE3">
              <w:rPr>
                <w:rFonts w:cs="Times New Roman"/>
                <w:b/>
                <w:sz w:val="24"/>
                <w:szCs w:val="24"/>
                <w:lang w:val="en-US"/>
              </w:rPr>
              <w:t xml:space="preserve"> </w:t>
            </w:r>
            <w:r w:rsidRPr="00AB5F54">
              <w:rPr>
                <w:rFonts w:cs="Times New Roman"/>
                <w:b/>
                <w:sz w:val="24"/>
                <w:szCs w:val="24"/>
                <w:lang w:val="en-US"/>
              </w:rPr>
              <w:t>Điều 1</w:t>
            </w:r>
          </w:p>
          <w:p w14:paraId="772B932F" w14:textId="3C011E34" w:rsidR="00741331" w:rsidRPr="00741331" w:rsidRDefault="003B6146" w:rsidP="00CC1E48">
            <w:pPr>
              <w:rPr>
                <w:rFonts w:cs="Times New Roman"/>
                <w:sz w:val="24"/>
                <w:szCs w:val="24"/>
              </w:rPr>
            </w:pPr>
            <w:r>
              <w:rPr>
                <w:rFonts w:cs="Times New Roman"/>
                <w:sz w:val="24"/>
                <w:szCs w:val="24"/>
                <w:lang w:val="en-US"/>
              </w:rPr>
              <w:t>7</w:t>
            </w:r>
            <w:r w:rsidR="00741331" w:rsidRPr="00741331">
              <w:rPr>
                <w:rFonts w:cs="Times New Roman"/>
                <w:sz w:val="24"/>
                <w:szCs w:val="24"/>
              </w:rPr>
              <w:t xml:space="preserve">. Bổ sung khoản 3a vào sau khoản 3 Điều 13 như sau: </w:t>
            </w:r>
          </w:p>
          <w:p w14:paraId="5DBA6024" w14:textId="77777777" w:rsidR="00741331" w:rsidRPr="00741331" w:rsidRDefault="00741331" w:rsidP="00CC1E48">
            <w:pPr>
              <w:rPr>
                <w:rFonts w:cs="Times New Roman"/>
                <w:sz w:val="24"/>
                <w:szCs w:val="24"/>
              </w:rPr>
            </w:pPr>
            <w:r w:rsidRPr="00741331">
              <w:rPr>
                <w:rFonts w:cs="Times New Roman"/>
                <w:sz w:val="24"/>
                <w:szCs w:val="24"/>
              </w:rPr>
              <w:t xml:space="preserve">“3a. Kiểm toán viên hành nghề thực hiện kiểm toán tổ chức tín dụng, chi nhánh ngân hàng nước ngoài phải thuộc danh sách tổ chức kiểm toán và kiểm toán viên hành nghề được chấp thuận thực hiện kiểm toán cho đơn vị có lợi ích công chúng </w:t>
            </w:r>
            <w:r w:rsidRPr="00741331">
              <w:rPr>
                <w:rFonts w:cs="Times New Roman"/>
                <w:sz w:val="24"/>
                <w:szCs w:val="24"/>
              </w:rPr>
              <w:lastRenderedPageBreak/>
              <w:t>do Bộ Tài chính công bố hằng năm.</w:t>
            </w:r>
          </w:p>
          <w:p w14:paraId="2CD80B05" w14:textId="28C087CF" w:rsidR="00741331" w:rsidRPr="00741331" w:rsidRDefault="00741331" w:rsidP="00CC1E48">
            <w:pPr>
              <w:rPr>
                <w:rFonts w:cs="Times New Roman"/>
                <w:sz w:val="24"/>
                <w:szCs w:val="24"/>
              </w:rPr>
            </w:pPr>
            <w:r w:rsidRPr="00741331">
              <w:rPr>
                <w:rFonts w:cs="Times New Roman"/>
                <w:sz w:val="24"/>
                <w:szCs w:val="24"/>
              </w:rPr>
              <w:t>Trường hợp ngân hàng, tổ chức tín dụng phi ngân hàng, chi nhánh ngân hàng nước ngoài là đơn vị có lợi ích công chúng thuộc lĩnh vực chứng khoán thì kiểm toán viên hành nghề thực hiện kiểm toán cho ngân hàng, tổ chức tín dụng phi ngân hàng, chi nhánh ngân hàng nước ngoài phải thuộc danh sách tổ chức kiểm toán và kiểm toán viên hành nghề được chấp thuận thực hiện kiểm toán cho đơn vị có lợi ích công chúng thuộc lĩnh vực chứng khoán do Ủy ban Chứng khoán Nhà nước công bố hằng năm.”.</w:t>
            </w:r>
          </w:p>
          <w:p w14:paraId="775138DE" w14:textId="77777777" w:rsidR="00741331" w:rsidRPr="00AB5F54" w:rsidRDefault="00741331" w:rsidP="00CC1E48">
            <w:pPr>
              <w:rPr>
                <w:rFonts w:cs="Times New Roman"/>
                <w:b/>
                <w:sz w:val="24"/>
                <w:szCs w:val="24"/>
                <w:lang w:val="en-US"/>
              </w:rPr>
            </w:pPr>
          </w:p>
        </w:tc>
        <w:tc>
          <w:tcPr>
            <w:tcW w:w="4253" w:type="dxa"/>
          </w:tcPr>
          <w:p w14:paraId="01FF97D6" w14:textId="511E9B4C" w:rsidR="00741331" w:rsidRPr="00AB5F54" w:rsidRDefault="00D32D86" w:rsidP="00CC1E48">
            <w:pPr>
              <w:rPr>
                <w:sz w:val="24"/>
                <w:szCs w:val="28"/>
                <w:lang w:val="en-US"/>
              </w:rPr>
            </w:pPr>
            <w:r w:rsidRPr="006E0498">
              <w:rPr>
                <w:rFonts w:cs="Times New Roman"/>
                <w:sz w:val="24"/>
                <w:szCs w:val="24"/>
              </w:rPr>
              <w:lastRenderedPageBreak/>
              <w:t xml:space="preserve">Tương tự với việc sửa đổi, bổ sung điều kiện đối với tổ chức kiểm toán độc lập nêu trên, để đảm bảo phù hợp với quy định tại Nghị định 84, dự thảo Thông tư sửa đổi, bổ sung Điều 13 Thông tư 39 theo hướng bổ sung điều kiện đối với kiểm toán viên hành nghề khi thực hiện kiểm toán cho TCTD, chi nhánh NHNNg </w:t>
            </w:r>
            <w:r w:rsidRPr="006E0498">
              <w:rPr>
                <w:rFonts w:cs="Times New Roman"/>
                <w:sz w:val="24"/>
                <w:szCs w:val="24"/>
              </w:rPr>
              <w:lastRenderedPageBreak/>
              <w:t>phải thuộc danh sách tổ chức kiểm toán và kiểm toán viên hành do Bộ Tài chính và Ủy ban Chứng khoán công bố hằng năm.</w:t>
            </w:r>
          </w:p>
        </w:tc>
      </w:tr>
      <w:tr w:rsidR="00B3271D" w:rsidRPr="00AB5F54" w14:paraId="6F73BB26" w14:textId="77777777" w:rsidTr="00556D0D">
        <w:tc>
          <w:tcPr>
            <w:tcW w:w="746" w:type="dxa"/>
          </w:tcPr>
          <w:p w14:paraId="745C62E0" w14:textId="7CBC4DA2" w:rsidR="00B3271D" w:rsidRPr="00AB5F54" w:rsidRDefault="0065336D" w:rsidP="00CC1E48">
            <w:pPr>
              <w:jc w:val="center"/>
              <w:rPr>
                <w:rFonts w:cs="Times New Roman"/>
                <w:b/>
                <w:sz w:val="24"/>
                <w:szCs w:val="24"/>
                <w:lang w:val="en-US"/>
              </w:rPr>
            </w:pPr>
            <w:r>
              <w:rPr>
                <w:rFonts w:cs="Times New Roman"/>
                <w:b/>
                <w:sz w:val="24"/>
                <w:szCs w:val="24"/>
                <w:lang w:val="en-US"/>
              </w:rPr>
              <w:lastRenderedPageBreak/>
              <w:t>8</w:t>
            </w:r>
          </w:p>
        </w:tc>
        <w:tc>
          <w:tcPr>
            <w:tcW w:w="4811" w:type="dxa"/>
          </w:tcPr>
          <w:p w14:paraId="2EE97E44" w14:textId="63669A83" w:rsidR="00AC4780" w:rsidRPr="00AB5F54" w:rsidRDefault="00AC4780" w:rsidP="00CC1E48">
            <w:pPr>
              <w:rPr>
                <w:rFonts w:cs="Times New Roman"/>
                <w:b/>
                <w:sz w:val="24"/>
                <w:szCs w:val="24"/>
              </w:rPr>
            </w:pPr>
            <w:r w:rsidRPr="00AB5F54">
              <w:rPr>
                <w:rFonts w:cs="Times New Roman"/>
                <w:b/>
                <w:sz w:val="24"/>
                <w:szCs w:val="24"/>
              </w:rPr>
              <w:t>Khoản 2 Điều 15</w:t>
            </w:r>
            <w:r w:rsidR="00D263B7" w:rsidRPr="00AB5F54">
              <w:rPr>
                <w:rFonts w:cs="Times New Roman"/>
                <w:b/>
                <w:sz w:val="24"/>
                <w:szCs w:val="24"/>
                <w:lang w:val="en-US"/>
              </w:rPr>
              <w:t xml:space="preserve"> về t</w:t>
            </w:r>
            <w:r w:rsidRPr="00AB5F54">
              <w:rPr>
                <w:rFonts w:cs="Times New Roman"/>
                <w:b/>
                <w:sz w:val="24"/>
                <w:szCs w:val="24"/>
              </w:rPr>
              <w:t>rách nhiệm của tổ chức tín dụng, chi nhánh ngân hàng nước ngoài</w:t>
            </w:r>
          </w:p>
          <w:p w14:paraId="155C4CEF" w14:textId="77777777" w:rsidR="00AC4780" w:rsidRPr="00AB5F54" w:rsidRDefault="00AC4780" w:rsidP="00CC1E48">
            <w:pPr>
              <w:rPr>
                <w:rFonts w:cs="Times New Roman"/>
                <w:sz w:val="24"/>
                <w:szCs w:val="24"/>
              </w:rPr>
            </w:pPr>
            <w:r w:rsidRPr="00AB5F54">
              <w:rPr>
                <w:rFonts w:cs="Times New Roman"/>
                <w:sz w:val="24"/>
                <w:szCs w:val="24"/>
              </w:rPr>
              <w:t>2. Trong thời hạn 30 ngày, kể từ ngày quyết định lựa chọn tổ chức kiểm toán độc lập, phải nộp trực tiếp hoặc gửi qua đường bưu điện văn bản thông báo về tổ chức kiểm toán độc lập được lựa chọn cho Ngân hàng Nhà nước theo quy định sau đây:</w:t>
            </w:r>
          </w:p>
          <w:p w14:paraId="11001C42" w14:textId="77777777" w:rsidR="00AC4780" w:rsidRPr="00AB5F54" w:rsidRDefault="00AC4780" w:rsidP="00CC1E48">
            <w:pPr>
              <w:rPr>
                <w:rFonts w:cs="Times New Roman"/>
                <w:sz w:val="24"/>
                <w:szCs w:val="24"/>
              </w:rPr>
            </w:pPr>
            <w:r w:rsidRPr="00AB5F54">
              <w:rPr>
                <w:rFonts w:cs="Times New Roman"/>
                <w:sz w:val="24"/>
                <w:szCs w:val="24"/>
              </w:rPr>
              <w:t>a) Tổ chức tín dụng (trừ quỹ tín dụng nhân dân), chi nhánh ngân hàng nước ngoài gửi 01 bản cho Ngân hàng Nhà nước (Cơ quan Thanh tra, giám sát ngân hàng) và 01 bản cho Ngân hàng Nhà nước chi nhánh tỉnh, thành phố trực thuộc Trung ương (sau đây gọi là Ngân hàng Nhà nước tỉnh, thành phố) nơi tổ chức tín dụng đặt trụ sở chính.</w:t>
            </w:r>
          </w:p>
          <w:p w14:paraId="174A27C2" w14:textId="10A03AA3" w:rsidR="00AC4780" w:rsidRPr="00AB5F54" w:rsidRDefault="00AC4780" w:rsidP="00CC1E48">
            <w:pPr>
              <w:rPr>
                <w:lang w:val="en-US"/>
              </w:rPr>
            </w:pPr>
            <w:r w:rsidRPr="00AB5F54">
              <w:rPr>
                <w:rFonts w:cs="Times New Roman"/>
                <w:sz w:val="24"/>
                <w:szCs w:val="24"/>
              </w:rPr>
              <w:t>b) Quỹ tín dụng nhân dân gửi 01 bản cho Ngân hàng Nhà nước chi nhánh tỉnh, thành phố nơi quỹ tín dụng nhân dân đặt trụ sở chính.</w:t>
            </w:r>
          </w:p>
        </w:tc>
        <w:tc>
          <w:tcPr>
            <w:tcW w:w="5075" w:type="dxa"/>
          </w:tcPr>
          <w:p w14:paraId="2496588D" w14:textId="541DF892" w:rsidR="00DC301A" w:rsidRPr="00AB5F54" w:rsidRDefault="00DC301A" w:rsidP="00CC1E48">
            <w:pPr>
              <w:rPr>
                <w:rFonts w:cs="Times New Roman"/>
                <w:b/>
                <w:sz w:val="24"/>
                <w:szCs w:val="24"/>
                <w:lang w:val="en-US"/>
              </w:rPr>
            </w:pPr>
            <w:r w:rsidRPr="00AB5F54">
              <w:rPr>
                <w:rFonts w:cs="Times New Roman"/>
                <w:b/>
                <w:sz w:val="24"/>
                <w:szCs w:val="24"/>
                <w:lang w:val="en-US"/>
              </w:rPr>
              <w:t xml:space="preserve">Khoản </w:t>
            </w:r>
            <w:r w:rsidR="003B6146">
              <w:rPr>
                <w:rFonts w:cs="Times New Roman"/>
                <w:b/>
                <w:sz w:val="24"/>
                <w:szCs w:val="24"/>
                <w:lang w:val="en-US"/>
              </w:rPr>
              <w:t>8</w:t>
            </w:r>
            <w:r w:rsidRPr="00AB5F54">
              <w:rPr>
                <w:rFonts w:cs="Times New Roman"/>
                <w:b/>
                <w:sz w:val="24"/>
                <w:szCs w:val="24"/>
                <w:lang w:val="en-US"/>
              </w:rPr>
              <w:t xml:space="preserve"> Điều </w:t>
            </w:r>
            <w:r w:rsidR="00374D68" w:rsidRPr="00AB5F54">
              <w:rPr>
                <w:rFonts w:cs="Times New Roman"/>
                <w:b/>
                <w:sz w:val="24"/>
                <w:szCs w:val="24"/>
                <w:lang w:val="en-US"/>
              </w:rPr>
              <w:t>1</w:t>
            </w:r>
          </w:p>
          <w:p w14:paraId="031E4111" w14:textId="52C58AE0" w:rsidR="00F02E04" w:rsidRPr="00AB5F54" w:rsidRDefault="003B6146" w:rsidP="00CC1E48">
            <w:pPr>
              <w:rPr>
                <w:rFonts w:cs="Times New Roman"/>
                <w:sz w:val="24"/>
                <w:szCs w:val="24"/>
              </w:rPr>
            </w:pPr>
            <w:r>
              <w:rPr>
                <w:rFonts w:cs="Times New Roman"/>
                <w:sz w:val="24"/>
                <w:szCs w:val="24"/>
                <w:lang w:val="en-US"/>
              </w:rPr>
              <w:t>8</w:t>
            </w:r>
            <w:r w:rsidR="00F02E04" w:rsidRPr="00AB5F54">
              <w:rPr>
                <w:rFonts w:cs="Times New Roman"/>
                <w:sz w:val="24"/>
                <w:szCs w:val="24"/>
              </w:rPr>
              <w:t>. Khoản 2 Điều 15 được sửa đổi, bổ sung như sau:</w:t>
            </w:r>
          </w:p>
          <w:p w14:paraId="3AB2EC63" w14:textId="77777777" w:rsidR="00F02E04" w:rsidRPr="00AB5F54" w:rsidRDefault="00F02E04" w:rsidP="00CC1E48">
            <w:pPr>
              <w:rPr>
                <w:rFonts w:cs="Times New Roman"/>
                <w:sz w:val="24"/>
                <w:szCs w:val="24"/>
              </w:rPr>
            </w:pPr>
            <w:r w:rsidRPr="00AB5F54">
              <w:rPr>
                <w:rFonts w:cs="Times New Roman"/>
                <w:sz w:val="24"/>
                <w:szCs w:val="24"/>
              </w:rPr>
              <w:t>“2. Trong thời hạn 30 ngày, kể từ ngày quyết định lựa chọn tổ chức kiểm toán độc lập, phải nộp trực tiếp hoặc gửi qua dịch vụ bưu chính văn bản thông báo về tổ chức kiểm toán độc lập được lựa chọn cho Ngân hàng Nhà nước theo quy định sau đây:</w:t>
            </w:r>
          </w:p>
          <w:p w14:paraId="7D23692E" w14:textId="77777777" w:rsidR="00F02E04" w:rsidRPr="00AB5F54" w:rsidRDefault="00F02E04" w:rsidP="00CC1E48">
            <w:pPr>
              <w:rPr>
                <w:rFonts w:cs="Times New Roman"/>
                <w:sz w:val="24"/>
                <w:szCs w:val="24"/>
              </w:rPr>
            </w:pPr>
            <w:r w:rsidRPr="00AB5F54">
              <w:rPr>
                <w:rFonts w:cs="Times New Roman"/>
                <w:sz w:val="24"/>
                <w:szCs w:val="24"/>
              </w:rPr>
              <w:t xml:space="preserve">a) Tổ chức tín dụng, chi nhánh ngân hàng nước ngoài gửi 01 bản cho Ngân hàng Nhà nước (qua Cơ quan Thanh tra, giám sát ngân hàng), trừ trường hợp quy định tại điểm b khoản này; </w:t>
            </w:r>
          </w:p>
          <w:p w14:paraId="7242755E" w14:textId="77777777" w:rsidR="00B3271D" w:rsidRPr="00AB5F54" w:rsidRDefault="00F02E04" w:rsidP="00CC1E48">
            <w:pPr>
              <w:rPr>
                <w:rFonts w:cs="Times New Roman"/>
                <w:sz w:val="24"/>
                <w:szCs w:val="24"/>
                <w:lang w:val="en-US"/>
              </w:rPr>
            </w:pPr>
            <w:r w:rsidRPr="00AB5F54">
              <w:rPr>
                <w:rFonts w:cs="Times New Roman"/>
                <w:sz w:val="24"/>
                <w:szCs w:val="24"/>
              </w:rPr>
              <w:t xml:space="preserve">b) Quỹ tín dụng nhân dân, chi nhánh ngân hàng nước ngoài thuộc đối tượng thanh tra, giám sát an toàn vi mô của Ngân hàng Nhà nước chi nhánh tỉnh, thành phố trực thuộc Trung ương (sau đây gọi là Ngân hàng Nhà nước chi nhánh) gửi 01 bản cho Ngân hàng Nhà nước chi nhánh nơi quỹ tín dụng nhân dân, chi nhánh ngân hàng nước ngoài </w:t>
            </w:r>
            <w:r w:rsidRPr="00AB5F54">
              <w:rPr>
                <w:rFonts w:cs="Times New Roman"/>
                <w:sz w:val="24"/>
                <w:szCs w:val="24"/>
              </w:rPr>
              <w:lastRenderedPageBreak/>
              <w:t>đặt trụ sở chính.”.</w:t>
            </w:r>
          </w:p>
          <w:p w14:paraId="12E40509" w14:textId="21BF45E4" w:rsidR="00D263B7" w:rsidRPr="00AB5F54" w:rsidRDefault="00D263B7" w:rsidP="00CC1E48">
            <w:pPr>
              <w:rPr>
                <w:rFonts w:cs="Times New Roman"/>
                <w:b/>
                <w:sz w:val="24"/>
                <w:szCs w:val="24"/>
                <w:lang w:val="en-US"/>
              </w:rPr>
            </w:pPr>
          </w:p>
        </w:tc>
        <w:tc>
          <w:tcPr>
            <w:tcW w:w="4253" w:type="dxa"/>
          </w:tcPr>
          <w:p w14:paraId="50A1EFA7" w14:textId="7CCA89F2" w:rsidR="000D3BA6" w:rsidRPr="00AB5F54" w:rsidRDefault="0035192E" w:rsidP="00CC1E48">
            <w:pPr>
              <w:shd w:val="clear" w:color="auto" w:fill="FFFFFF"/>
              <w:ind w:right="-1"/>
              <w:rPr>
                <w:rFonts w:cs="Times New Roman"/>
                <w:sz w:val="24"/>
                <w:szCs w:val="24"/>
                <w:lang w:val="nl-NL"/>
              </w:rPr>
            </w:pPr>
            <w:r w:rsidRPr="00AB5F54">
              <w:rPr>
                <w:sz w:val="24"/>
                <w:szCs w:val="28"/>
                <w:lang w:val="en-US"/>
              </w:rPr>
              <w:lastRenderedPageBreak/>
              <w:t xml:space="preserve">Dự thảo Thông tư sửa đổi, bổ sung quy định </w:t>
            </w:r>
            <w:r w:rsidRPr="00AB5F54">
              <w:rPr>
                <w:rFonts w:cs="Times New Roman"/>
                <w:sz w:val="24"/>
                <w:szCs w:val="24"/>
              </w:rPr>
              <w:t xml:space="preserve">để đảm bảo phù hợp với quy định mới về </w:t>
            </w:r>
            <w:r w:rsidR="000D3BA6" w:rsidRPr="00AB5F54">
              <w:rPr>
                <w:rFonts w:cs="Times New Roman"/>
                <w:sz w:val="24"/>
                <w:szCs w:val="24"/>
              </w:rPr>
              <w:t>thẩm quyền thanh tra, giám sát an toàn vi mô các TCTD, chi nhánh NHNNg của CQTTGSNH và NHNN chi nhánh tỉnh, thành phố tại Thông tư số 08/2019/TT-NHNN ngày 04/7/2019 sửa đổi, bổ sung một số điều của Thông tư số 03/2015/TT-NHNN ngày 20/3/2015 của Thống đốc NHNN về việc hướng dẫn thực hiện một số điều của Nghị định số 26/2014/NĐ-CP và các Quyết định quy định về chức năng, nhiệm vụ, quyền hạn và cơ cấu tổ chức của CQTTGSNH và NHNN chi nhánh tỉnh, thành phố.</w:t>
            </w:r>
          </w:p>
        </w:tc>
      </w:tr>
      <w:tr w:rsidR="00B3271D" w:rsidRPr="00AB5F54" w14:paraId="5FE16362" w14:textId="77777777" w:rsidTr="00556D0D">
        <w:tc>
          <w:tcPr>
            <w:tcW w:w="746" w:type="dxa"/>
          </w:tcPr>
          <w:p w14:paraId="606744D0" w14:textId="2AACB227" w:rsidR="00B3271D" w:rsidRPr="00AB5F54" w:rsidRDefault="0065336D" w:rsidP="00CC1E48">
            <w:pPr>
              <w:jc w:val="center"/>
              <w:rPr>
                <w:rFonts w:cs="Times New Roman"/>
                <w:b/>
                <w:sz w:val="24"/>
                <w:szCs w:val="24"/>
                <w:lang w:val="en-US"/>
              </w:rPr>
            </w:pPr>
            <w:r>
              <w:rPr>
                <w:rFonts w:cs="Times New Roman"/>
                <w:b/>
                <w:sz w:val="24"/>
                <w:szCs w:val="24"/>
                <w:lang w:val="en-US"/>
              </w:rPr>
              <w:lastRenderedPageBreak/>
              <w:t>9</w:t>
            </w:r>
          </w:p>
        </w:tc>
        <w:tc>
          <w:tcPr>
            <w:tcW w:w="4811" w:type="dxa"/>
          </w:tcPr>
          <w:p w14:paraId="3A1B8014" w14:textId="15F2F47D" w:rsidR="000D4717" w:rsidRPr="00AB5F54" w:rsidRDefault="000D4717" w:rsidP="00CC1E48">
            <w:pPr>
              <w:rPr>
                <w:rFonts w:cs="Times New Roman"/>
                <w:sz w:val="24"/>
                <w:szCs w:val="24"/>
              </w:rPr>
            </w:pPr>
            <w:r w:rsidRPr="00AB5F54">
              <w:rPr>
                <w:rFonts w:cs="Times New Roman"/>
                <w:b/>
                <w:sz w:val="24"/>
                <w:szCs w:val="24"/>
              </w:rPr>
              <w:t>Khoản 2 Điều 16</w:t>
            </w:r>
            <w:r w:rsidR="00D263B7" w:rsidRPr="00AB5F54">
              <w:rPr>
                <w:rFonts w:cs="Times New Roman"/>
                <w:b/>
                <w:sz w:val="24"/>
                <w:szCs w:val="24"/>
                <w:lang w:val="en-US"/>
              </w:rPr>
              <w:t xml:space="preserve"> về t</w:t>
            </w:r>
            <w:r w:rsidRPr="00AB5F54">
              <w:rPr>
                <w:rFonts w:cs="Times New Roman"/>
                <w:b/>
                <w:sz w:val="24"/>
                <w:szCs w:val="24"/>
              </w:rPr>
              <w:t>rách nhiệm của Ngân hàng Nhà nước tỉnh, thành phố nơi tổ chức tín dụng đặt trụ sở chính</w:t>
            </w:r>
          </w:p>
          <w:p w14:paraId="05712E12" w14:textId="77777777" w:rsidR="000D4717" w:rsidRPr="00AB5F54" w:rsidRDefault="000D4717" w:rsidP="00CC1E48">
            <w:pPr>
              <w:rPr>
                <w:rFonts w:cs="Times New Roman"/>
                <w:sz w:val="24"/>
                <w:szCs w:val="24"/>
              </w:rPr>
            </w:pPr>
            <w:r w:rsidRPr="00AB5F54">
              <w:rPr>
                <w:rFonts w:cs="Times New Roman"/>
                <w:sz w:val="24"/>
                <w:szCs w:val="24"/>
              </w:rPr>
              <w:t>2. Phân tích, đánh giá và xử lý kết quả kiểm toán độc lập, kết quả kiểm toán độc lập lại của quỹ tín dụng nhân dân trên địa bàn.</w:t>
            </w:r>
          </w:p>
          <w:p w14:paraId="74C7BFB1" w14:textId="77777777" w:rsidR="00B3271D" w:rsidRPr="00AB5F54" w:rsidRDefault="00B3271D" w:rsidP="00CC1E48">
            <w:pPr>
              <w:rPr>
                <w:rFonts w:cs="Times New Roman"/>
                <w:b/>
                <w:bCs/>
                <w:sz w:val="24"/>
                <w:szCs w:val="24"/>
                <w:lang w:val="en-US"/>
              </w:rPr>
            </w:pPr>
          </w:p>
        </w:tc>
        <w:tc>
          <w:tcPr>
            <w:tcW w:w="5075" w:type="dxa"/>
          </w:tcPr>
          <w:p w14:paraId="7E16CD46" w14:textId="2839CF61" w:rsidR="00F02E04" w:rsidRPr="00AB5F54" w:rsidRDefault="00F02E04" w:rsidP="00CC1E48">
            <w:pPr>
              <w:rPr>
                <w:rFonts w:cs="Times New Roman"/>
                <w:b/>
                <w:sz w:val="24"/>
                <w:szCs w:val="24"/>
                <w:lang w:val="en-US"/>
              </w:rPr>
            </w:pPr>
            <w:r w:rsidRPr="00AB5F54">
              <w:rPr>
                <w:rFonts w:cs="Times New Roman"/>
                <w:b/>
                <w:sz w:val="24"/>
                <w:szCs w:val="24"/>
                <w:lang w:val="en-US"/>
              </w:rPr>
              <w:t xml:space="preserve">Khoản </w:t>
            </w:r>
            <w:r w:rsidR="003B6146">
              <w:rPr>
                <w:rFonts w:cs="Times New Roman"/>
                <w:b/>
                <w:sz w:val="24"/>
                <w:szCs w:val="24"/>
                <w:lang w:val="en-US"/>
              </w:rPr>
              <w:t>9</w:t>
            </w:r>
            <w:r w:rsidRPr="00AB5F54">
              <w:rPr>
                <w:rFonts w:cs="Times New Roman"/>
                <w:b/>
                <w:sz w:val="24"/>
                <w:szCs w:val="24"/>
                <w:lang w:val="en-US"/>
              </w:rPr>
              <w:t xml:space="preserve"> Điều 1</w:t>
            </w:r>
          </w:p>
          <w:p w14:paraId="2E4DFC0F" w14:textId="367E6ADF" w:rsidR="00F02E04" w:rsidRPr="00AB5F54" w:rsidRDefault="003B6146" w:rsidP="00CC1E48">
            <w:pPr>
              <w:rPr>
                <w:rFonts w:cs="Times New Roman"/>
                <w:sz w:val="24"/>
                <w:szCs w:val="24"/>
              </w:rPr>
            </w:pPr>
            <w:r>
              <w:rPr>
                <w:rFonts w:cs="Times New Roman"/>
                <w:sz w:val="24"/>
                <w:szCs w:val="24"/>
                <w:lang w:val="en-US"/>
              </w:rPr>
              <w:t>9</w:t>
            </w:r>
            <w:r w:rsidR="00F02E04" w:rsidRPr="00AB5F54">
              <w:rPr>
                <w:rFonts w:cs="Times New Roman"/>
                <w:sz w:val="24"/>
                <w:szCs w:val="24"/>
              </w:rPr>
              <w:t>. Khoản 2 Điều 16 được sửa đổi, bổ sung như sau:</w:t>
            </w:r>
          </w:p>
          <w:p w14:paraId="00CBA9F0" w14:textId="77777777" w:rsidR="00F02E04" w:rsidRPr="00AB5F54" w:rsidRDefault="00F02E04" w:rsidP="00CC1E48">
            <w:pPr>
              <w:rPr>
                <w:rFonts w:cs="Times New Roman"/>
                <w:sz w:val="24"/>
                <w:szCs w:val="24"/>
              </w:rPr>
            </w:pPr>
            <w:r w:rsidRPr="00AB5F54">
              <w:rPr>
                <w:rFonts w:cs="Times New Roman"/>
                <w:sz w:val="24"/>
                <w:szCs w:val="24"/>
              </w:rPr>
              <w:t xml:space="preserve">“2. Phân tích, đánh giá và xử lý kết quả kiểm toán độc lập, kết quả kiểm toán độc lập lại của tổ chức tín dụng, chi nhánh ngân hàng nước ngoài gửi Ngân hàng Nhà nước chi nhánh theo quy định tại khoản 4 và khoản 5 Điều 15 Thông tư này.  </w:t>
            </w:r>
          </w:p>
          <w:p w14:paraId="2E11EB3A" w14:textId="2043118A" w:rsidR="00B3271D" w:rsidRPr="00AB5F54" w:rsidRDefault="00F02E04" w:rsidP="00CC1E48">
            <w:pPr>
              <w:rPr>
                <w:rFonts w:cs="Times New Roman"/>
                <w:b/>
                <w:sz w:val="24"/>
                <w:szCs w:val="24"/>
              </w:rPr>
            </w:pPr>
            <w:r w:rsidRPr="00AB5F54">
              <w:rPr>
                <w:rFonts w:cs="Times New Roman"/>
                <w:sz w:val="24"/>
                <w:szCs w:val="24"/>
              </w:rPr>
              <w:t>Trường hợp phát hiện các tổ chức kiểm toán độc lập vi phạm quy định pháp luật trong quá trình thực hiện kiểm toán độc lập tổ chức tín dụng, chi nhánh ngân hàng nước ngoài, Ngân hàng Nhà nước chi nhánh báo cáo kịp thời Thống đốc Ngân hàng Nhà nước (qua Cơ quan Thanh tra, giám sát ngân hàng).”.</w:t>
            </w:r>
          </w:p>
        </w:tc>
        <w:tc>
          <w:tcPr>
            <w:tcW w:w="4253" w:type="dxa"/>
          </w:tcPr>
          <w:p w14:paraId="0079E8B7" w14:textId="2FC97D96" w:rsidR="00B3271D" w:rsidRPr="00AB5F54" w:rsidRDefault="008967F4" w:rsidP="00CC1E48">
            <w:pPr>
              <w:shd w:val="clear" w:color="auto" w:fill="FFFFFF"/>
              <w:ind w:right="-1"/>
              <w:rPr>
                <w:rFonts w:cs="Times New Roman"/>
                <w:sz w:val="24"/>
                <w:szCs w:val="24"/>
                <w:lang w:val="en-US"/>
              </w:rPr>
            </w:pPr>
            <w:r w:rsidRPr="00AB5F54">
              <w:rPr>
                <w:rFonts w:cs="Times New Roman"/>
                <w:sz w:val="24"/>
                <w:szCs w:val="24"/>
                <w:lang w:val="nl-NL"/>
              </w:rPr>
              <w:t xml:space="preserve">Dự thảo Thông tư sửa đổi, bổ sung quy định để phù hợp với </w:t>
            </w:r>
            <w:r w:rsidRPr="00AB5F54">
              <w:rPr>
                <w:rFonts w:cs="Times New Roman"/>
                <w:sz w:val="24"/>
                <w:szCs w:val="24"/>
              </w:rPr>
              <w:t>quy định mới về thẩm quyền thanh tra, giám sát an toàn vi mô</w:t>
            </w:r>
            <w:r w:rsidRPr="00AB5F54">
              <w:rPr>
                <w:rFonts w:cs="Times New Roman"/>
                <w:sz w:val="24"/>
                <w:szCs w:val="24"/>
                <w:lang w:val="en-US"/>
              </w:rPr>
              <w:t xml:space="preserve"> </w:t>
            </w:r>
            <w:r w:rsidRPr="00AB5F54">
              <w:rPr>
                <w:rFonts w:cs="Times New Roman"/>
                <w:sz w:val="24"/>
                <w:szCs w:val="24"/>
              </w:rPr>
              <w:t>các TCTD, chi nhánh NHNNg của CQTTGSNH và NHNN chi nhánh tỉnh, thành phố</w:t>
            </w:r>
            <w:r w:rsidRPr="00AB5F54">
              <w:rPr>
                <w:rFonts w:cs="Times New Roman"/>
                <w:sz w:val="24"/>
                <w:szCs w:val="24"/>
                <w:lang w:val="en-US"/>
              </w:rPr>
              <w:t xml:space="preserve"> nêu trên và bổ sung quy định trong trường hợp </w:t>
            </w:r>
            <w:r w:rsidRPr="00AB5F54">
              <w:rPr>
                <w:rFonts w:cs="Times New Roman"/>
                <w:sz w:val="24"/>
                <w:szCs w:val="24"/>
              </w:rPr>
              <w:t>NHNN chi nhánh</w:t>
            </w:r>
            <w:r w:rsidRPr="00AB5F54">
              <w:rPr>
                <w:rFonts w:cs="Times New Roman"/>
                <w:sz w:val="24"/>
                <w:szCs w:val="24"/>
                <w:lang w:val="en-US"/>
              </w:rPr>
              <w:t xml:space="preserve"> </w:t>
            </w:r>
            <w:r w:rsidRPr="00AB5F54">
              <w:rPr>
                <w:rFonts w:cs="Times New Roman"/>
                <w:sz w:val="24"/>
                <w:szCs w:val="24"/>
              </w:rPr>
              <w:t>phát hiện các tổ chức kiểm toán độc lập vi phạm quy định pháp luật trong quá trình thực hiện kiểm toán độc lập tổ chức tín dụng, chi nhánh ngân hàng nước ngoài</w:t>
            </w:r>
            <w:r w:rsidRPr="00AB5F54">
              <w:rPr>
                <w:rFonts w:cs="Times New Roman"/>
                <w:sz w:val="24"/>
                <w:szCs w:val="24"/>
                <w:lang w:val="en-US"/>
              </w:rPr>
              <w:t xml:space="preserve">. </w:t>
            </w:r>
          </w:p>
        </w:tc>
      </w:tr>
      <w:tr w:rsidR="00F02E04" w:rsidRPr="00AB5F54" w14:paraId="77AB20C6" w14:textId="77777777" w:rsidTr="00556D0D">
        <w:tc>
          <w:tcPr>
            <w:tcW w:w="746" w:type="dxa"/>
          </w:tcPr>
          <w:p w14:paraId="334071BD" w14:textId="79F811F1" w:rsidR="00F02E04" w:rsidRPr="00AB5F54" w:rsidRDefault="0065336D" w:rsidP="00CC1E48">
            <w:pPr>
              <w:jc w:val="center"/>
              <w:rPr>
                <w:rFonts w:cs="Times New Roman"/>
                <w:b/>
                <w:sz w:val="24"/>
                <w:szCs w:val="24"/>
                <w:lang w:val="en-US"/>
              </w:rPr>
            </w:pPr>
            <w:r>
              <w:rPr>
                <w:rFonts w:cs="Times New Roman"/>
                <w:b/>
                <w:sz w:val="24"/>
                <w:szCs w:val="24"/>
                <w:lang w:val="en-US"/>
              </w:rPr>
              <w:t>10</w:t>
            </w:r>
          </w:p>
        </w:tc>
        <w:tc>
          <w:tcPr>
            <w:tcW w:w="4811" w:type="dxa"/>
          </w:tcPr>
          <w:p w14:paraId="7E088918" w14:textId="29468AA6" w:rsidR="008967F4" w:rsidRPr="00AB5F54" w:rsidRDefault="000D4717" w:rsidP="00CC1E48">
            <w:pPr>
              <w:rPr>
                <w:rFonts w:cs="Times New Roman"/>
                <w:sz w:val="24"/>
                <w:szCs w:val="24"/>
              </w:rPr>
            </w:pPr>
            <w:r w:rsidRPr="00AB5F54">
              <w:rPr>
                <w:rFonts w:cs="Times New Roman"/>
                <w:b/>
                <w:sz w:val="24"/>
                <w:szCs w:val="24"/>
              </w:rPr>
              <w:t>Khoản 1 và khoản 3 Điều 17</w:t>
            </w:r>
            <w:r w:rsidR="00D263B7" w:rsidRPr="00AB5F54">
              <w:rPr>
                <w:rFonts w:cs="Times New Roman"/>
                <w:b/>
                <w:sz w:val="24"/>
                <w:szCs w:val="24"/>
                <w:lang w:val="en-US"/>
              </w:rPr>
              <w:t xml:space="preserve"> về t</w:t>
            </w:r>
            <w:r w:rsidR="008967F4" w:rsidRPr="00AB5F54">
              <w:rPr>
                <w:rFonts w:cs="Times New Roman"/>
                <w:b/>
                <w:sz w:val="24"/>
                <w:szCs w:val="24"/>
              </w:rPr>
              <w:t>rách nhiệm của Cơ quan Thanh tra, giám sát Ngân hàng</w:t>
            </w:r>
            <w:r w:rsidR="008967F4" w:rsidRPr="00AB5F54">
              <w:rPr>
                <w:rFonts w:cs="Times New Roman"/>
                <w:sz w:val="24"/>
                <w:szCs w:val="24"/>
              </w:rPr>
              <w:t xml:space="preserve"> </w:t>
            </w:r>
          </w:p>
          <w:p w14:paraId="2880524F" w14:textId="77777777" w:rsidR="008967F4" w:rsidRPr="00AB5F54" w:rsidRDefault="008967F4" w:rsidP="00CC1E48">
            <w:pPr>
              <w:rPr>
                <w:rFonts w:cs="Times New Roman"/>
                <w:sz w:val="24"/>
                <w:szCs w:val="24"/>
              </w:rPr>
            </w:pPr>
            <w:r w:rsidRPr="00AB5F54">
              <w:rPr>
                <w:rFonts w:cs="Times New Roman"/>
                <w:sz w:val="24"/>
                <w:szCs w:val="24"/>
              </w:rPr>
              <w:t>1. Tổng hợp, đánh giá và xử lý các báo cáo của Ngân hàng Nhà nước chi nhánh tỉnh, thành phố quy định tại khoản 1 và khoản 3 Điều 16 Thông tư này.</w:t>
            </w:r>
          </w:p>
          <w:p w14:paraId="4A583B99" w14:textId="52676A1E" w:rsidR="000D4717" w:rsidRPr="00AB5F54" w:rsidRDefault="008967F4" w:rsidP="00CC1E48">
            <w:pPr>
              <w:rPr>
                <w:lang w:val="en-US"/>
              </w:rPr>
            </w:pPr>
            <w:r w:rsidRPr="00AB5F54">
              <w:rPr>
                <w:rFonts w:cs="Times New Roman"/>
                <w:sz w:val="24"/>
                <w:szCs w:val="24"/>
              </w:rPr>
              <w:t>3. Báo cáo, đề xuất Thống đốc Ngân hàng Nhà nước xem xét, giải quyết đối với các trường hợp quy định tại khoản 6 Điều 15 Thông tư này và yêu cầu tổ chức tín dụng sử dụng một hoặc một số dịch vụ kiểm toán độc lập theo quy định tại khoản 2 Điều 4 Thông tư này.</w:t>
            </w:r>
          </w:p>
        </w:tc>
        <w:tc>
          <w:tcPr>
            <w:tcW w:w="5075" w:type="dxa"/>
          </w:tcPr>
          <w:p w14:paraId="4BCDE58C" w14:textId="0DB11E32" w:rsidR="00F02E04" w:rsidRPr="00AB5F54" w:rsidRDefault="00F02E04" w:rsidP="00CC1E48">
            <w:pPr>
              <w:rPr>
                <w:rFonts w:cs="Times New Roman"/>
                <w:b/>
                <w:sz w:val="24"/>
                <w:szCs w:val="24"/>
                <w:lang w:val="en-US"/>
              </w:rPr>
            </w:pPr>
            <w:r w:rsidRPr="00AB5F54">
              <w:rPr>
                <w:rFonts w:cs="Times New Roman"/>
                <w:b/>
                <w:sz w:val="24"/>
                <w:szCs w:val="24"/>
                <w:lang w:val="en-US"/>
              </w:rPr>
              <w:t xml:space="preserve">Khoản </w:t>
            </w:r>
            <w:r w:rsidR="003B6146">
              <w:rPr>
                <w:rFonts w:cs="Times New Roman"/>
                <w:b/>
                <w:sz w:val="24"/>
                <w:szCs w:val="24"/>
                <w:lang w:val="en-US"/>
              </w:rPr>
              <w:t>10</w:t>
            </w:r>
            <w:r w:rsidRPr="00AB5F54">
              <w:rPr>
                <w:rFonts w:cs="Times New Roman"/>
                <w:b/>
                <w:sz w:val="24"/>
                <w:szCs w:val="24"/>
                <w:lang w:val="en-US"/>
              </w:rPr>
              <w:t xml:space="preserve"> Điều 1</w:t>
            </w:r>
          </w:p>
          <w:p w14:paraId="1A164232" w14:textId="589E21BA" w:rsidR="00F02E04" w:rsidRPr="00AB5F54" w:rsidRDefault="0051160E" w:rsidP="00CC1E48">
            <w:pPr>
              <w:rPr>
                <w:rFonts w:cs="Times New Roman"/>
                <w:sz w:val="24"/>
                <w:szCs w:val="24"/>
              </w:rPr>
            </w:pPr>
            <w:r>
              <w:rPr>
                <w:rFonts w:cs="Times New Roman"/>
                <w:sz w:val="24"/>
                <w:szCs w:val="24"/>
                <w:lang w:val="en-US"/>
              </w:rPr>
              <w:t>1</w:t>
            </w:r>
            <w:r w:rsidR="003B6146">
              <w:rPr>
                <w:rFonts w:cs="Times New Roman"/>
                <w:sz w:val="24"/>
                <w:szCs w:val="24"/>
                <w:lang w:val="en-US"/>
              </w:rPr>
              <w:t>0</w:t>
            </w:r>
            <w:r w:rsidR="00F02E04" w:rsidRPr="00AB5F54">
              <w:rPr>
                <w:rFonts w:cs="Times New Roman"/>
                <w:sz w:val="24"/>
                <w:szCs w:val="24"/>
              </w:rPr>
              <w:t>. Khoản 1 và khoản 3 Điều 17 được sửa đổi, bổ sung như sau:</w:t>
            </w:r>
          </w:p>
          <w:p w14:paraId="35F9EAF1" w14:textId="77777777" w:rsidR="00627EE9" w:rsidRPr="00627EE9" w:rsidRDefault="00627EE9" w:rsidP="00CC1E48">
            <w:pPr>
              <w:rPr>
                <w:rFonts w:cs="Times New Roman"/>
                <w:sz w:val="24"/>
                <w:szCs w:val="24"/>
              </w:rPr>
            </w:pPr>
            <w:r w:rsidRPr="00627EE9">
              <w:rPr>
                <w:rFonts w:cs="Times New Roman"/>
                <w:sz w:val="24"/>
                <w:szCs w:val="24"/>
              </w:rPr>
              <w:t>“1. Tổng hợp, đánh giá, trình Thống đốc xử lý các báo cáo của Ngân hàng Nhà nước chi nhánh quy định tại khoản 3 Điều 16 Thông tư này.</w:t>
            </w:r>
          </w:p>
          <w:p w14:paraId="4FB6F053" w14:textId="77777777" w:rsidR="00627EE9" w:rsidRPr="00627EE9" w:rsidRDefault="00627EE9" w:rsidP="00CC1E48">
            <w:pPr>
              <w:rPr>
                <w:rFonts w:cs="Times New Roman"/>
                <w:sz w:val="24"/>
                <w:szCs w:val="24"/>
              </w:rPr>
            </w:pPr>
            <w:r w:rsidRPr="00627EE9">
              <w:rPr>
                <w:rFonts w:cs="Times New Roman"/>
                <w:sz w:val="24"/>
                <w:szCs w:val="24"/>
              </w:rPr>
              <w:t>3. Báo cáo, đề xuất Thống đốc Ngân hàng Nhà nước các nội dung sau đây:</w:t>
            </w:r>
          </w:p>
          <w:p w14:paraId="382E72A6" w14:textId="77777777" w:rsidR="00627EE9" w:rsidRPr="00627EE9" w:rsidRDefault="00627EE9" w:rsidP="00CC1E48">
            <w:pPr>
              <w:rPr>
                <w:rFonts w:cs="Times New Roman"/>
                <w:sz w:val="24"/>
                <w:szCs w:val="24"/>
              </w:rPr>
            </w:pPr>
            <w:r w:rsidRPr="00627EE9">
              <w:rPr>
                <w:rFonts w:cs="Times New Roman"/>
                <w:sz w:val="24"/>
                <w:szCs w:val="24"/>
              </w:rPr>
              <w:t>a) Xem xét, giải quyết đối với các trường hợp quy định tại khoản 6 Điều 15 Thông tư này;</w:t>
            </w:r>
          </w:p>
          <w:p w14:paraId="68F1239E" w14:textId="77777777" w:rsidR="00627EE9" w:rsidRPr="00627EE9" w:rsidRDefault="00627EE9" w:rsidP="00CC1E48">
            <w:pPr>
              <w:rPr>
                <w:rFonts w:cs="Times New Roman"/>
                <w:sz w:val="24"/>
                <w:szCs w:val="24"/>
              </w:rPr>
            </w:pPr>
            <w:r w:rsidRPr="00627EE9">
              <w:rPr>
                <w:rFonts w:cs="Times New Roman"/>
                <w:sz w:val="24"/>
                <w:szCs w:val="24"/>
              </w:rPr>
              <w:t xml:space="preserve">b) Có văn bản gửi Bộ Tài chính khi phát hiện hoặc nhận được báo cáo của Ngân hàng Nhà nước chi nhánh quy định tại khoản 2 Điều 16 Thông tư này về các tổ chức kiểm toán độc lập vi phạm quy định pháp luật trong quá trình thực hiện kiểm toán độc lập tổ chức tín dụng, chi nhánh ngân hàng </w:t>
            </w:r>
            <w:r w:rsidRPr="00627EE9">
              <w:rPr>
                <w:rFonts w:cs="Times New Roman"/>
                <w:sz w:val="24"/>
                <w:szCs w:val="24"/>
              </w:rPr>
              <w:lastRenderedPageBreak/>
              <w:t xml:space="preserve">nước ngoài.” </w:t>
            </w:r>
          </w:p>
          <w:p w14:paraId="35F3318D" w14:textId="644EEAA3" w:rsidR="00F02E04" w:rsidRPr="00AB5F54" w:rsidRDefault="00F02E04" w:rsidP="00CC1E48">
            <w:pPr>
              <w:rPr>
                <w:rFonts w:cs="Times New Roman"/>
                <w:b/>
                <w:sz w:val="24"/>
                <w:szCs w:val="24"/>
              </w:rPr>
            </w:pPr>
          </w:p>
        </w:tc>
        <w:tc>
          <w:tcPr>
            <w:tcW w:w="4253" w:type="dxa"/>
          </w:tcPr>
          <w:p w14:paraId="4DC0C750" w14:textId="67617832" w:rsidR="00F02E04" w:rsidRPr="00AB5F54" w:rsidRDefault="00023E0B" w:rsidP="00CC1E48">
            <w:pPr>
              <w:shd w:val="clear" w:color="auto" w:fill="FFFFFF"/>
              <w:ind w:right="-1"/>
              <w:rPr>
                <w:rFonts w:cs="Times New Roman"/>
                <w:sz w:val="24"/>
                <w:szCs w:val="24"/>
                <w:lang w:val="nl-NL"/>
              </w:rPr>
            </w:pPr>
            <w:r w:rsidRPr="00AB5F54">
              <w:rPr>
                <w:rFonts w:cs="Times New Roman"/>
                <w:sz w:val="24"/>
                <w:szCs w:val="24"/>
                <w:lang w:val="nl-NL"/>
              </w:rPr>
              <w:lastRenderedPageBreak/>
              <w:t>Dự thảo Thông tư sửa đổi, bổ sung dẫn chiếu cho phù hợp với các nội dung đã được sửa đổi, bổ sung nêu trên</w:t>
            </w:r>
            <w:r w:rsidR="00371518">
              <w:rPr>
                <w:rFonts w:cs="Times New Roman"/>
                <w:sz w:val="24"/>
                <w:szCs w:val="24"/>
                <w:lang w:val="nl-NL"/>
              </w:rPr>
              <w:t xml:space="preserve"> và </w:t>
            </w:r>
            <w:r w:rsidR="00371518">
              <w:rPr>
                <w:rFonts w:cs="Times New Roman"/>
                <w:sz w:val="24"/>
                <w:szCs w:val="24"/>
                <w:lang w:val="en-US"/>
              </w:rPr>
              <w:t>đ</w:t>
            </w:r>
            <w:r w:rsidR="00371518" w:rsidRPr="00AB5F54">
              <w:rPr>
                <w:rFonts w:cs="Times New Roman"/>
                <w:sz w:val="24"/>
                <w:szCs w:val="24"/>
              </w:rPr>
              <w:t xml:space="preserve">ể phù hợp với quy định về trách nhiệm phối hợp với Bộ Tài chính trong việc thực hiện quản lý nhà nước về hoạt động kiểm toán độc lập theo quy định tại khoản 3 Điều 11 Luật kiểm toán độc lập, Dự thảo Thông tư bổ sung quy định về trách nhiệm của Cơ quan Thanh tra, giám sát Ngân hàng trong việc báo cáo, đề xuất Thống đốc Ngân hàng Nhà nước có văn bản gửi Bộ Tài chính khi phát hiện các tổ chức kiểm toán độc lập vi phạm quy định pháp luật trong quá trình thực hiện kiểm toán độc lập tổ chức tín dụng, chi nhánh ngân hàng </w:t>
            </w:r>
            <w:r w:rsidR="00371518" w:rsidRPr="00AB5F54">
              <w:rPr>
                <w:rFonts w:cs="Times New Roman"/>
                <w:sz w:val="24"/>
                <w:szCs w:val="24"/>
              </w:rPr>
              <w:lastRenderedPageBreak/>
              <w:t>nước ngoài</w:t>
            </w:r>
            <w:r w:rsidR="00371518" w:rsidRPr="00AB5F54">
              <w:rPr>
                <w:rFonts w:cs="Times New Roman"/>
                <w:sz w:val="24"/>
                <w:szCs w:val="24"/>
                <w:lang w:val="en-US"/>
              </w:rPr>
              <w:t xml:space="preserve"> (bao gồm cả các trường hợp vi phạm do </w:t>
            </w:r>
            <w:r w:rsidR="00371518" w:rsidRPr="00AB5F54">
              <w:rPr>
                <w:rFonts w:cs="Times New Roman"/>
                <w:sz w:val="24"/>
                <w:szCs w:val="24"/>
              </w:rPr>
              <w:t>NHNN chi nhánh</w:t>
            </w:r>
            <w:r w:rsidR="00371518" w:rsidRPr="00AB5F54">
              <w:rPr>
                <w:rFonts w:cs="Times New Roman"/>
                <w:sz w:val="24"/>
                <w:szCs w:val="24"/>
                <w:lang w:val="en-US"/>
              </w:rPr>
              <w:t xml:space="preserve"> </w:t>
            </w:r>
            <w:r w:rsidR="00371518" w:rsidRPr="00AB5F54">
              <w:rPr>
                <w:rFonts w:cs="Times New Roman"/>
                <w:sz w:val="24"/>
                <w:szCs w:val="24"/>
              </w:rPr>
              <w:t xml:space="preserve">phát hiện </w:t>
            </w:r>
            <w:r w:rsidR="00371518" w:rsidRPr="00AB5F54">
              <w:rPr>
                <w:rFonts w:cs="Times New Roman"/>
                <w:sz w:val="24"/>
                <w:szCs w:val="24"/>
                <w:lang w:val="en-US"/>
              </w:rPr>
              <w:t>và gửi CQTTGSNH theo quy định tại khoản 2 Điều 16 đã được sửa đổi, bổ sung nêu trên).</w:t>
            </w:r>
          </w:p>
        </w:tc>
      </w:tr>
      <w:tr w:rsidR="00F02E04" w:rsidRPr="00AB5F54" w14:paraId="7D5DAF13" w14:textId="77777777" w:rsidTr="00556D0D">
        <w:tc>
          <w:tcPr>
            <w:tcW w:w="746" w:type="dxa"/>
          </w:tcPr>
          <w:p w14:paraId="1041B88D" w14:textId="39A610CC" w:rsidR="00F02E04" w:rsidRPr="00AB5F54" w:rsidRDefault="0065336D" w:rsidP="00CC1E48">
            <w:pPr>
              <w:jc w:val="center"/>
              <w:rPr>
                <w:rFonts w:cs="Times New Roman"/>
                <w:b/>
                <w:sz w:val="24"/>
                <w:szCs w:val="24"/>
                <w:lang w:val="en-US"/>
              </w:rPr>
            </w:pPr>
            <w:r>
              <w:rPr>
                <w:rFonts w:cs="Times New Roman"/>
                <w:b/>
                <w:sz w:val="24"/>
                <w:szCs w:val="24"/>
                <w:lang w:val="en-US"/>
              </w:rPr>
              <w:lastRenderedPageBreak/>
              <w:t>11</w:t>
            </w:r>
          </w:p>
        </w:tc>
        <w:tc>
          <w:tcPr>
            <w:tcW w:w="4811" w:type="dxa"/>
          </w:tcPr>
          <w:p w14:paraId="4451B70A" w14:textId="77777777" w:rsidR="00F02E04" w:rsidRPr="00AB5F54" w:rsidRDefault="00F02E04" w:rsidP="00CC1E48">
            <w:pPr>
              <w:rPr>
                <w:rFonts w:cs="Times New Roman"/>
                <w:b/>
                <w:bCs/>
                <w:sz w:val="24"/>
                <w:szCs w:val="24"/>
                <w:lang w:val="en-US"/>
              </w:rPr>
            </w:pPr>
          </w:p>
        </w:tc>
        <w:tc>
          <w:tcPr>
            <w:tcW w:w="5075" w:type="dxa"/>
          </w:tcPr>
          <w:p w14:paraId="203A213A" w14:textId="77777777" w:rsidR="00653767" w:rsidRPr="00AB5F54" w:rsidRDefault="00653767" w:rsidP="00CC1E48">
            <w:pPr>
              <w:rPr>
                <w:b/>
                <w:bCs/>
                <w:szCs w:val="28"/>
                <w:lang w:val="da-DK"/>
              </w:rPr>
            </w:pPr>
            <w:r w:rsidRPr="00AB5F54">
              <w:rPr>
                <w:b/>
                <w:bCs/>
                <w:sz w:val="24"/>
                <w:szCs w:val="28"/>
                <w:lang w:val="da-DK"/>
              </w:rPr>
              <w:t>Điều 2.</w:t>
            </w:r>
          </w:p>
          <w:p w14:paraId="0DE7CEDB" w14:textId="688221BB" w:rsidR="00F02E04" w:rsidRPr="003A7713" w:rsidRDefault="00653767" w:rsidP="00CC1E48">
            <w:pPr>
              <w:rPr>
                <w:rFonts w:cs="Times New Roman"/>
                <w:sz w:val="24"/>
                <w:szCs w:val="24"/>
                <w:lang w:val="en-US"/>
              </w:rPr>
            </w:pPr>
            <w:r w:rsidRPr="00AB5F54">
              <w:rPr>
                <w:rFonts w:cs="Times New Roman"/>
                <w:sz w:val="24"/>
                <w:szCs w:val="24"/>
              </w:rPr>
              <w:t>Bãi bỏ khoản 7 Điều 3, khoản 2 Điều 6, khoản 9 Điều 11, điểm b khoản 1 Điều 16 và khoản 5 Điều 17 Thông tư số 39/2011/TT-NHNN.</w:t>
            </w:r>
          </w:p>
        </w:tc>
        <w:tc>
          <w:tcPr>
            <w:tcW w:w="4253" w:type="dxa"/>
          </w:tcPr>
          <w:p w14:paraId="10F76155" w14:textId="17CA813F" w:rsidR="00F02E04" w:rsidRPr="00AB5F54" w:rsidRDefault="00653767" w:rsidP="00CC1E48">
            <w:pPr>
              <w:shd w:val="clear" w:color="auto" w:fill="FFFFFF"/>
              <w:ind w:right="-1"/>
              <w:rPr>
                <w:rFonts w:cs="Times New Roman"/>
                <w:sz w:val="24"/>
                <w:szCs w:val="24"/>
                <w:lang w:val="nl-NL"/>
              </w:rPr>
            </w:pPr>
            <w:r w:rsidRPr="00AB5F54">
              <w:rPr>
                <w:rFonts w:cs="Times New Roman"/>
                <w:sz w:val="24"/>
                <w:szCs w:val="24"/>
                <w:lang w:val="nl-NL"/>
              </w:rPr>
              <w:t>Dự thảo Thông tư bãi bỏ một số điều, khoản để phù hợp với các quy định đã được sửa đổi,</w:t>
            </w:r>
            <w:r w:rsidRPr="00AB5F54">
              <w:rPr>
                <w:rFonts w:cs="Times New Roman"/>
                <w:sz w:val="24"/>
                <w:szCs w:val="24"/>
                <w:lang w:val="en-US"/>
              </w:rPr>
              <w:t xml:space="preserve"> bổ sung</w:t>
            </w:r>
            <w:r w:rsidRPr="00AB5F54">
              <w:rPr>
                <w:rFonts w:cs="Times New Roman"/>
                <w:sz w:val="24"/>
                <w:szCs w:val="24"/>
                <w:lang w:val="nl-NL"/>
              </w:rPr>
              <w:t xml:space="preserve"> nêu trên.</w:t>
            </w:r>
          </w:p>
        </w:tc>
      </w:tr>
      <w:tr w:rsidR="00445991" w:rsidRPr="00AB5F54" w14:paraId="486E498D" w14:textId="77777777" w:rsidTr="00556D0D">
        <w:tc>
          <w:tcPr>
            <w:tcW w:w="746" w:type="dxa"/>
          </w:tcPr>
          <w:p w14:paraId="194ED6B5" w14:textId="2837B8E6" w:rsidR="00445991" w:rsidRPr="00AB5F54" w:rsidRDefault="0065336D" w:rsidP="00CC1E48">
            <w:pPr>
              <w:jc w:val="center"/>
              <w:rPr>
                <w:rFonts w:cs="Times New Roman"/>
                <w:b/>
                <w:sz w:val="24"/>
                <w:szCs w:val="24"/>
                <w:lang w:val="en-US"/>
              </w:rPr>
            </w:pPr>
            <w:r>
              <w:rPr>
                <w:rFonts w:cs="Times New Roman"/>
                <w:b/>
                <w:sz w:val="24"/>
                <w:szCs w:val="24"/>
                <w:lang w:val="en-US"/>
              </w:rPr>
              <w:t>12</w:t>
            </w:r>
          </w:p>
        </w:tc>
        <w:tc>
          <w:tcPr>
            <w:tcW w:w="4811" w:type="dxa"/>
          </w:tcPr>
          <w:p w14:paraId="008F9EA5" w14:textId="77777777" w:rsidR="00445991" w:rsidRPr="00AB5F54" w:rsidRDefault="00445991" w:rsidP="00CC1E48">
            <w:pPr>
              <w:rPr>
                <w:rFonts w:cs="Times New Roman"/>
                <w:b/>
                <w:bCs/>
                <w:sz w:val="24"/>
                <w:szCs w:val="24"/>
                <w:lang w:val="en-US"/>
              </w:rPr>
            </w:pPr>
          </w:p>
        </w:tc>
        <w:tc>
          <w:tcPr>
            <w:tcW w:w="5075" w:type="dxa"/>
          </w:tcPr>
          <w:p w14:paraId="3D9385FA" w14:textId="18ED30AE" w:rsidR="00445991" w:rsidRPr="00AB5F54" w:rsidRDefault="00445991" w:rsidP="00CC1E48">
            <w:pPr>
              <w:rPr>
                <w:b/>
                <w:bCs/>
                <w:sz w:val="24"/>
                <w:szCs w:val="24"/>
                <w:lang w:val="da-DK"/>
              </w:rPr>
            </w:pPr>
            <w:r w:rsidRPr="00AB5F54">
              <w:rPr>
                <w:b/>
                <w:bCs/>
                <w:sz w:val="24"/>
                <w:szCs w:val="24"/>
                <w:lang w:val="da-DK"/>
              </w:rPr>
              <w:t xml:space="preserve">Điều 3. </w:t>
            </w:r>
            <w:r w:rsidRPr="00AB5F54">
              <w:rPr>
                <w:b/>
                <w:noProof/>
                <w:sz w:val="24"/>
                <w:szCs w:val="24"/>
              </w:rPr>
              <w:t>Hiệu lực thi hành</w:t>
            </w:r>
          </w:p>
          <w:p w14:paraId="5B9F8E06" w14:textId="77777777" w:rsidR="008712AF" w:rsidRPr="008712AF" w:rsidRDefault="008712AF" w:rsidP="00CC1E48">
            <w:pPr>
              <w:rPr>
                <w:rFonts w:cs="Times New Roman"/>
                <w:sz w:val="24"/>
                <w:szCs w:val="24"/>
              </w:rPr>
            </w:pPr>
            <w:r w:rsidRPr="008712AF">
              <w:rPr>
                <w:rFonts w:cs="Times New Roman"/>
                <w:sz w:val="24"/>
                <w:szCs w:val="24"/>
              </w:rPr>
              <w:t>1. Thông tư này có hiệu lực thi hành kể từ ngày     tháng      năm 2021, trừ trường hợp quy định tại khoản 2 Điều này.</w:t>
            </w:r>
          </w:p>
          <w:p w14:paraId="20C5DEF5" w14:textId="3B97F76B" w:rsidR="00445991" w:rsidRPr="008712AF" w:rsidRDefault="008712AF" w:rsidP="00CC1E48">
            <w:pPr>
              <w:rPr>
                <w:rFonts w:cs="Times New Roman"/>
                <w:sz w:val="24"/>
                <w:szCs w:val="24"/>
                <w:lang w:val="en-US"/>
              </w:rPr>
            </w:pPr>
            <w:r w:rsidRPr="008712AF">
              <w:rPr>
                <w:rFonts w:cs="Times New Roman"/>
                <w:sz w:val="24"/>
                <w:szCs w:val="24"/>
              </w:rPr>
              <w:t>2. Ngân hàng thương mại, chi nhánh ngân hàng nước ngoài thực hiện kiểm toán độc lập nội dung quy định tại điểm c khoả</w:t>
            </w:r>
            <w:r w:rsidR="003B6146">
              <w:rPr>
                <w:rFonts w:cs="Times New Roman"/>
                <w:sz w:val="24"/>
                <w:szCs w:val="24"/>
              </w:rPr>
              <w:t xml:space="preserve">n </w:t>
            </w:r>
            <w:r w:rsidR="003B6146">
              <w:rPr>
                <w:rFonts w:cs="Times New Roman"/>
                <w:sz w:val="24"/>
                <w:szCs w:val="24"/>
                <w:lang w:val="en-US"/>
              </w:rPr>
              <w:t>2</w:t>
            </w:r>
            <w:r w:rsidRPr="008712AF">
              <w:rPr>
                <w:rFonts w:cs="Times New Roman"/>
                <w:sz w:val="24"/>
                <w:szCs w:val="24"/>
              </w:rPr>
              <w:t xml:space="preserve"> Điều 1 Thông tư này kể từ ngày 01 tháng 01 năm 2022.</w:t>
            </w:r>
          </w:p>
        </w:tc>
        <w:tc>
          <w:tcPr>
            <w:tcW w:w="4253" w:type="dxa"/>
          </w:tcPr>
          <w:p w14:paraId="62072DA0" w14:textId="09ADF185" w:rsidR="00445991" w:rsidRPr="00AB5F54" w:rsidRDefault="006618B8" w:rsidP="00CC1E48">
            <w:pPr>
              <w:rPr>
                <w:rFonts w:cs="Times New Roman"/>
                <w:sz w:val="24"/>
                <w:szCs w:val="24"/>
                <w:lang w:val="en-US"/>
              </w:rPr>
            </w:pPr>
            <w:r w:rsidRPr="00AB5F54">
              <w:rPr>
                <w:rFonts w:cs="Times New Roman"/>
                <w:sz w:val="24"/>
                <w:szCs w:val="24"/>
                <w:lang w:val="en-US"/>
              </w:rPr>
              <w:t xml:space="preserve">Để </w:t>
            </w:r>
            <w:r w:rsidR="00B62F1D" w:rsidRPr="00AB5F54">
              <w:rPr>
                <w:rFonts w:cs="Times New Roman"/>
                <w:sz w:val="24"/>
                <w:szCs w:val="24"/>
              </w:rPr>
              <w:t>các ngân hàng thương mại, chi nhánh NHNNg có thời gian hoàn thiện báo cáo đối với</w:t>
            </w:r>
            <w:r w:rsidR="00B62F1D" w:rsidRPr="00AB5F54">
              <w:rPr>
                <w:rFonts w:cs="Times New Roman"/>
                <w:sz w:val="24"/>
                <w:szCs w:val="24"/>
                <w:lang w:val="en-US"/>
              </w:rPr>
              <w:t xml:space="preserve"> nội dung</w:t>
            </w:r>
            <w:r w:rsidR="00B62F1D" w:rsidRPr="00AB5F54">
              <w:rPr>
                <w:rFonts w:cs="Times New Roman"/>
                <w:sz w:val="24"/>
                <w:szCs w:val="24"/>
              </w:rPr>
              <w:t xml:space="preserve"> đánh giá nội bộ về mức đủ vốn</w:t>
            </w:r>
            <w:r w:rsidR="00B62F1D" w:rsidRPr="00AB5F54">
              <w:rPr>
                <w:rFonts w:cs="Times New Roman"/>
                <w:sz w:val="24"/>
                <w:szCs w:val="24"/>
                <w:lang w:val="en-US"/>
              </w:rPr>
              <w:t xml:space="preserve"> (</w:t>
            </w:r>
            <w:r w:rsidR="00B62F1D" w:rsidRPr="00AB5F54">
              <w:rPr>
                <w:rFonts w:cs="Times New Roman"/>
                <w:sz w:val="24"/>
                <w:szCs w:val="24"/>
              </w:rPr>
              <w:t>ICAAP</w:t>
            </w:r>
            <w:r w:rsidR="00B62F1D" w:rsidRPr="00AB5F54">
              <w:rPr>
                <w:rFonts w:cs="Times New Roman"/>
                <w:sz w:val="24"/>
                <w:szCs w:val="24"/>
                <w:lang w:val="en-US"/>
              </w:rPr>
              <w:t>)</w:t>
            </w:r>
            <w:r w:rsidR="00B62F1D" w:rsidRPr="00AB5F54">
              <w:rPr>
                <w:rFonts w:cs="Times New Roman"/>
                <w:sz w:val="24"/>
                <w:szCs w:val="24"/>
              </w:rPr>
              <w:t xml:space="preserve"> quy định tại Thông tư 13</w:t>
            </w:r>
            <w:r w:rsidR="00B62F1D" w:rsidRPr="00AB5F54">
              <w:rPr>
                <w:rFonts w:cs="Times New Roman"/>
                <w:sz w:val="24"/>
                <w:szCs w:val="24"/>
                <w:lang w:val="en-US"/>
              </w:rPr>
              <w:t xml:space="preserve">/2018/TT-NHNN có </w:t>
            </w:r>
            <w:r w:rsidRPr="00AB5F54">
              <w:rPr>
                <w:rFonts w:cs="Times New Roman"/>
                <w:sz w:val="24"/>
                <w:szCs w:val="24"/>
                <w:lang w:val="en-US"/>
              </w:rPr>
              <w:t>hiệu lự</w:t>
            </w:r>
            <w:r w:rsidR="00B62F1D" w:rsidRPr="00AB5F54">
              <w:rPr>
                <w:rFonts w:cs="Times New Roman"/>
                <w:sz w:val="24"/>
                <w:szCs w:val="24"/>
                <w:lang w:val="en-US"/>
              </w:rPr>
              <w:t>c thi hành</w:t>
            </w:r>
            <w:r w:rsidRPr="00AB5F54">
              <w:rPr>
                <w:rFonts w:cs="Times New Roman"/>
                <w:sz w:val="24"/>
                <w:szCs w:val="24"/>
                <w:lang w:val="en-US"/>
              </w:rPr>
              <w:t xml:space="preserve"> </w:t>
            </w:r>
            <w:r w:rsidR="00053E7D" w:rsidRPr="00AB5F54">
              <w:rPr>
                <w:rFonts w:cs="Times New Roman"/>
                <w:sz w:val="24"/>
                <w:szCs w:val="24"/>
              </w:rPr>
              <w:t>từ</w:t>
            </w:r>
            <w:r w:rsidRPr="00AB5F54">
              <w:rPr>
                <w:rFonts w:cs="Times New Roman"/>
                <w:sz w:val="24"/>
                <w:szCs w:val="24"/>
              </w:rPr>
              <w:t xml:space="preserve"> </w:t>
            </w:r>
            <w:r w:rsidR="00B62F1D" w:rsidRPr="00AB5F54">
              <w:rPr>
                <w:rFonts w:cs="Times New Roman"/>
                <w:sz w:val="24"/>
                <w:szCs w:val="24"/>
                <w:lang w:val="en-US"/>
              </w:rPr>
              <w:t xml:space="preserve">ngày </w:t>
            </w:r>
            <w:r w:rsidRPr="00AB5F54">
              <w:rPr>
                <w:rFonts w:cs="Times New Roman"/>
                <w:sz w:val="24"/>
                <w:szCs w:val="24"/>
              </w:rPr>
              <w:t>01/01/2021</w:t>
            </w:r>
            <w:r w:rsidRPr="00AB5F54">
              <w:rPr>
                <w:rFonts w:cs="Times New Roman"/>
                <w:sz w:val="24"/>
                <w:szCs w:val="24"/>
                <w:lang w:val="en-US"/>
              </w:rPr>
              <w:t xml:space="preserve">, </w:t>
            </w:r>
            <w:r w:rsidR="00B62F1D" w:rsidRPr="00AB5F54">
              <w:rPr>
                <w:rFonts w:cs="Times New Roman"/>
                <w:sz w:val="24"/>
                <w:szCs w:val="24"/>
                <w:lang w:val="en-US"/>
              </w:rPr>
              <w:t xml:space="preserve">dự thảo Thông tư quy định </w:t>
            </w:r>
            <w:r w:rsidR="00B62F1D" w:rsidRPr="00AB5F54">
              <w:rPr>
                <w:rFonts w:cs="Times New Roman"/>
                <w:sz w:val="24"/>
                <w:szCs w:val="24"/>
              </w:rPr>
              <w:t xml:space="preserve">việc kiểm toán độc lập </w:t>
            </w:r>
            <w:r w:rsidR="00B62F1D" w:rsidRPr="00AB5F54">
              <w:rPr>
                <w:rFonts w:cs="Times New Roman"/>
                <w:sz w:val="24"/>
                <w:szCs w:val="24"/>
                <w:lang w:val="en-US"/>
              </w:rPr>
              <w:t>đối với nội dung này</w:t>
            </w:r>
            <w:r w:rsidR="00B62F1D" w:rsidRPr="00AB5F54">
              <w:rPr>
                <w:rFonts w:cs="Times New Roman"/>
                <w:sz w:val="24"/>
                <w:szCs w:val="24"/>
              </w:rPr>
              <w:t xml:space="preserve"> có hiệu lực </w:t>
            </w:r>
            <w:r w:rsidR="006109D2">
              <w:rPr>
                <w:rFonts w:cs="Times New Roman"/>
                <w:sz w:val="24"/>
                <w:szCs w:val="24"/>
                <w:lang w:val="en-US"/>
              </w:rPr>
              <w:t>thi hành</w:t>
            </w:r>
            <w:r w:rsidR="00B62F1D" w:rsidRPr="00AB5F54">
              <w:rPr>
                <w:rFonts w:cs="Times New Roman"/>
                <w:sz w:val="24"/>
                <w:szCs w:val="24"/>
              </w:rPr>
              <w:t xml:space="preserve"> từ 01/01/2022</w:t>
            </w:r>
            <w:r w:rsidR="00B62F1D" w:rsidRPr="00AB5F54">
              <w:rPr>
                <w:rFonts w:cs="Times New Roman"/>
                <w:sz w:val="24"/>
                <w:szCs w:val="24"/>
                <w:lang w:val="en-US"/>
              </w:rPr>
              <w:t>.</w:t>
            </w:r>
          </w:p>
        </w:tc>
      </w:tr>
      <w:tr w:rsidR="00445991" w:rsidRPr="008E0895" w14:paraId="72FF0740" w14:textId="77777777" w:rsidTr="00556D0D">
        <w:tc>
          <w:tcPr>
            <w:tcW w:w="746" w:type="dxa"/>
          </w:tcPr>
          <w:p w14:paraId="0CA9A8E1" w14:textId="61CAE670" w:rsidR="00445991" w:rsidRPr="00AB5F54" w:rsidRDefault="0065336D" w:rsidP="00CC1E48">
            <w:pPr>
              <w:jc w:val="center"/>
              <w:rPr>
                <w:rFonts w:cs="Times New Roman"/>
                <w:b/>
                <w:sz w:val="24"/>
                <w:szCs w:val="24"/>
                <w:lang w:val="en-US"/>
              </w:rPr>
            </w:pPr>
            <w:r>
              <w:rPr>
                <w:rFonts w:cs="Times New Roman"/>
                <w:b/>
                <w:sz w:val="24"/>
                <w:szCs w:val="24"/>
                <w:lang w:val="en-US"/>
              </w:rPr>
              <w:t>13</w:t>
            </w:r>
          </w:p>
        </w:tc>
        <w:tc>
          <w:tcPr>
            <w:tcW w:w="4811" w:type="dxa"/>
          </w:tcPr>
          <w:p w14:paraId="63C0863E" w14:textId="77777777" w:rsidR="00445991" w:rsidRPr="00AB5F54" w:rsidRDefault="00445991" w:rsidP="00CC1E48">
            <w:pPr>
              <w:rPr>
                <w:rFonts w:cs="Times New Roman"/>
                <w:b/>
                <w:bCs/>
                <w:sz w:val="24"/>
                <w:szCs w:val="24"/>
                <w:lang w:val="en-US"/>
              </w:rPr>
            </w:pPr>
          </w:p>
        </w:tc>
        <w:tc>
          <w:tcPr>
            <w:tcW w:w="5075" w:type="dxa"/>
          </w:tcPr>
          <w:p w14:paraId="246BC6D2" w14:textId="77777777" w:rsidR="00445991" w:rsidRPr="00AB5F54" w:rsidRDefault="00445991" w:rsidP="00CC1E48">
            <w:pPr>
              <w:rPr>
                <w:sz w:val="24"/>
                <w:szCs w:val="24"/>
                <w:lang w:val="nb-NO"/>
              </w:rPr>
            </w:pPr>
            <w:r w:rsidRPr="00AB5F54">
              <w:rPr>
                <w:b/>
                <w:bCs/>
                <w:sz w:val="24"/>
                <w:szCs w:val="24"/>
                <w:lang w:val="da-DK"/>
              </w:rPr>
              <w:t>Điều 4. Trách nhiệm tổ chức thực hiện</w:t>
            </w:r>
          </w:p>
          <w:p w14:paraId="6BEAF5CD" w14:textId="55B7393C" w:rsidR="00445991" w:rsidRPr="00445991" w:rsidRDefault="00445991" w:rsidP="00CC1E48">
            <w:pPr>
              <w:rPr>
                <w:b/>
                <w:bCs/>
                <w:sz w:val="24"/>
                <w:szCs w:val="24"/>
                <w:lang w:val="da-DK"/>
              </w:rPr>
            </w:pPr>
            <w:r w:rsidRPr="00AB5F54">
              <w:rPr>
                <w:noProof/>
                <w:sz w:val="24"/>
                <w:szCs w:val="24"/>
              </w:rPr>
              <w:t xml:space="preserve">Chánh Văn phòng, Chánh Thanh tra, giám sát ngân hàng, Thủ trưởng các đơn vị thuộc Ngân hàng Nhà nước, Giám đốc Ngân hàng Nhà nước </w:t>
            </w:r>
            <w:r w:rsidRPr="00AB5F54">
              <w:rPr>
                <w:noProof/>
                <w:sz w:val="24"/>
                <w:szCs w:val="24"/>
                <w:lang w:val="da-DK"/>
              </w:rPr>
              <w:t>c</w:t>
            </w:r>
            <w:r w:rsidRPr="00AB5F54">
              <w:rPr>
                <w:noProof/>
                <w:sz w:val="24"/>
                <w:szCs w:val="24"/>
              </w:rPr>
              <w:t>hi nhánh các tỉnh, thành phố</w:t>
            </w:r>
            <w:r w:rsidRPr="00AB5F54">
              <w:rPr>
                <w:noProof/>
                <w:sz w:val="24"/>
                <w:szCs w:val="24"/>
                <w:lang w:val="da-DK"/>
              </w:rPr>
              <w:t xml:space="preserve"> trực thuộc trung ương</w:t>
            </w:r>
            <w:r w:rsidRPr="00AB5F54">
              <w:rPr>
                <w:noProof/>
                <w:sz w:val="24"/>
                <w:szCs w:val="24"/>
              </w:rPr>
              <w:t xml:space="preserve">, tổ chức tín dụng, chi nhánh ngân hàng nước ngoài chịu trách nhiệm </w:t>
            </w:r>
            <w:r w:rsidRPr="00AB5F54">
              <w:rPr>
                <w:sz w:val="24"/>
                <w:szCs w:val="24"/>
                <w:lang w:val="da-DK"/>
              </w:rPr>
              <w:t>tổ chức thực hiện Thông tư này</w:t>
            </w:r>
            <w:r w:rsidRPr="00AB5F54">
              <w:rPr>
                <w:noProof/>
                <w:sz w:val="24"/>
                <w:szCs w:val="24"/>
              </w:rPr>
              <w:t>.</w:t>
            </w:r>
          </w:p>
        </w:tc>
        <w:tc>
          <w:tcPr>
            <w:tcW w:w="4253" w:type="dxa"/>
          </w:tcPr>
          <w:p w14:paraId="2FE4AE4A" w14:textId="343CBC03" w:rsidR="00445991" w:rsidRDefault="00445991" w:rsidP="00CC1E48">
            <w:pPr>
              <w:shd w:val="clear" w:color="auto" w:fill="FFFFFF"/>
              <w:ind w:right="-1"/>
              <w:rPr>
                <w:rFonts w:cs="Times New Roman"/>
                <w:sz w:val="24"/>
                <w:szCs w:val="24"/>
                <w:lang w:val="nl-NL"/>
              </w:rPr>
            </w:pPr>
          </w:p>
        </w:tc>
      </w:tr>
    </w:tbl>
    <w:p w14:paraId="3496B91A" w14:textId="5866CEB9" w:rsidR="002A0854" w:rsidRPr="008E0895" w:rsidRDefault="002A0854">
      <w:pPr>
        <w:jc w:val="right"/>
        <w:rPr>
          <w:rFonts w:cs="Times New Roman"/>
          <w:b/>
          <w:sz w:val="26"/>
          <w:szCs w:val="26"/>
          <w:lang w:val="nl-NL"/>
        </w:rPr>
      </w:pPr>
    </w:p>
    <w:sectPr w:rsidR="002A0854" w:rsidRPr="008E0895" w:rsidSect="00022D93">
      <w:headerReference w:type="default" r:id="rId8"/>
      <w:footerReference w:type="default" r:id="rId9"/>
      <w:pgSz w:w="16840" w:h="11907" w:orient="landscape" w:code="9"/>
      <w:pgMar w:top="1134" w:right="1134" w:bottom="1134" w:left="1701" w:header="720" w:footer="6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FEEC7" w14:textId="77777777" w:rsidR="006D7AE9" w:rsidRDefault="006D7AE9" w:rsidP="00092025">
      <w:r>
        <w:separator/>
      </w:r>
    </w:p>
  </w:endnote>
  <w:endnote w:type="continuationSeparator" w:id="0">
    <w:p w14:paraId="61470F55" w14:textId="77777777" w:rsidR="006D7AE9" w:rsidRDefault="006D7AE9" w:rsidP="0009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7A77E" w14:textId="768ECBC2" w:rsidR="00B827FC" w:rsidRDefault="00B827FC">
    <w:pPr>
      <w:pStyle w:val="Footer"/>
      <w:jc w:val="center"/>
    </w:pPr>
  </w:p>
  <w:p w14:paraId="4A9180E9" w14:textId="77777777" w:rsidR="00B827FC" w:rsidRDefault="00B82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84F5E" w14:textId="77777777" w:rsidR="006D7AE9" w:rsidRDefault="006D7AE9" w:rsidP="00092025">
      <w:r>
        <w:separator/>
      </w:r>
    </w:p>
  </w:footnote>
  <w:footnote w:type="continuationSeparator" w:id="0">
    <w:p w14:paraId="38185536" w14:textId="77777777" w:rsidR="006D7AE9" w:rsidRDefault="006D7AE9" w:rsidP="0009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096237"/>
      <w:docPartObj>
        <w:docPartGallery w:val="Page Numbers (Top of Page)"/>
        <w:docPartUnique/>
      </w:docPartObj>
    </w:sdtPr>
    <w:sdtEndPr>
      <w:rPr>
        <w:noProof/>
      </w:rPr>
    </w:sdtEndPr>
    <w:sdtContent>
      <w:p w14:paraId="5C47F61A" w14:textId="0D34D938" w:rsidR="00B427C9" w:rsidRDefault="00B427C9">
        <w:pPr>
          <w:pStyle w:val="Header"/>
          <w:jc w:val="center"/>
        </w:pPr>
        <w:r>
          <w:fldChar w:fldCharType="begin"/>
        </w:r>
        <w:r>
          <w:instrText xml:space="preserve"> PAGE   \* MERGEFORMAT </w:instrText>
        </w:r>
        <w:r>
          <w:fldChar w:fldCharType="separate"/>
        </w:r>
        <w:r w:rsidR="009D0D0D">
          <w:rPr>
            <w:noProof/>
          </w:rPr>
          <w:t>2</w:t>
        </w:r>
        <w:r>
          <w:rPr>
            <w:noProof/>
          </w:rPr>
          <w:fldChar w:fldCharType="end"/>
        </w:r>
      </w:p>
    </w:sdtContent>
  </w:sdt>
  <w:p w14:paraId="3863D4C1" w14:textId="77777777" w:rsidR="00B427C9" w:rsidRDefault="00B42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EA"/>
    <w:rsid w:val="00001AB6"/>
    <w:rsid w:val="000105C3"/>
    <w:rsid w:val="00011C5B"/>
    <w:rsid w:val="0001500F"/>
    <w:rsid w:val="00022AA7"/>
    <w:rsid w:val="00022D93"/>
    <w:rsid w:val="00023E0B"/>
    <w:rsid w:val="000262CD"/>
    <w:rsid w:val="0002769A"/>
    <w:rsid w:val="00030F25"/>
    <w:rsid w:val="00031946"/>
    <w:rsid w:val="00031DCE"/>
    <w:rsid w:val="00033D55"/>
    <w:rsid w:val="00033F6F"/>
    <w:rsid w:val="0003560C"/>
    <w:rsid w:val="0003675A"/>
    <w:rsid w:val="00041C45"/>
    <w:rsid w:val="0004246F"/>
    <w:rsid w:val="000425BA"/>
    <w:rsid w:val="00047847"/>
    <w:rsid w:val="00052151"/>
    <w:rsid w:val="00053E7D"/>
    <w:rsid w:val="00054F68"/>
    <w:rsid w:val="00055EAB"/>
    <w:rsid w:val="000574F4"/>
    <w:rsid w:val="00062869"/>
    <w:rsid w:val="000646F1"/>
    <w:rsid w:val="000758B5"/>
    <w:rsid w:val="000766A8"/>
    <w:rsid w:val="00077E46"/>
    <w:rsid w:val="000851A7"/>
    <w:rsid w:val="00086719"/>
    <w:rsid w:val="00090885"/>
    <w:rsid w:val="00090AF9"/>
    <w:rsid w:val="0009118E"/>
    <w:rsid w:val="000915D5"/>
    <w:rsid w:val="00092025"/>
    <w:rsid w:val="00092337"/>
    <w:rsid w:val="0009290F"/>
    <w:rsid w:val="00093D0B"/>
    <w:rsid w:val="00095C83"/>
    <w:rsid w:val="0009751C"/>
    <w:rsid w:val="000A17D0"/>
    <w:rsid w:val="000A3DC4"/>
    <w:rsid w:val="000A70B2"/>
    <w:rsid w:val="000B01CF"/>
    <w:rsid w:val="000B0627"/>
    <w:rsid w:val="000B1B9F"/>
    <w:rsid w:val="000B36BD"/>
    <w:rsid w:val="000B4217"/>
    <w:rsid w:val="000B7C85"/>
    <w:rsid w:val="000C11A9"/>
    <w:rsid w:val="000D0FA6"/>
    <w:rsid w:val="000D1496"/>
    <w:rsid w:val="000D29E3"/>
    <w:rsid w:val="000D3BA6"/>
    <w:rsid w:val="000D4717"/>
    <w:rsid w:val="000D5418"/>
    <w:rsid w:val="000E1AC1"/>
    <w:rsid w:val="000E1F07"/>
    <w:rsid w:val="000E68A5"/>
    <w:rsid w:val="000E698C"/>
    <w:rsid w:val="000E7ED7"/>
    <w:rsid w:val="000F5826"/>
    <w:rsid w:val="000F64BC"/>
    <w:rsid w:val="001076F7"/>
    <w:rsid w:val="00107AE0"/>
    <w:rsid w:val="00110637"/>
    <w:rsid w:val="0011227D"/>
    <w:rsid w:val="00113D2D"/>
    <w:rsid w:val="00117506"/>
    <w:rsid w:val="00122E35"/>
    <w:rsid w:val="0012451A"/>
    <w:rsid w:val="00133473"/>
    <w:rsid w:val="0013608B"/>
    <w:rsid w:val="00136853"/>
    <w:rsid w:val="001374BC"/>
    <w:rsid w:val="00137CD6"/>
    <w:rsid w:val="00140691"/>
    <w:rsid w:val="0014493D"/>
    <w:rsid w:val="00145665"/>
    <w:rsid w:val="001479BC"/>
    <w:rsid w:val="00151C4B"/>
    <w:rsid w:val="001612C9"/>
    <w:rsid w:val="0016273E"/>
    <w:rsid w:val="0016354D"/>
    <w:rsid w:val="00163B77"/>
    <w:rsid w:val="001659DA"/>
    <w:rsid w:val="00165D25"/>
    <w:rsid w:val="001665FC"/>
    <w:rsid w:val="00170158"/>
    <w:rsid w:val="0017281B"/>
    <w:rsid w:val="00183846"/>
    <w:rsid w:val="001936D8"/>
    <w:rsid w:val="001A4870"/>
    <w:rsid w:val="001A4882"/>
    <w:rsid w:val="001B16C0"/>
    <w:rsid w:val="001C0237"/>
    <w:rsid w:val="001C411E"/>
    <w:rsid w:val="001C4298"/>
    <w:rsid w:val="001C60CE"/>
    <w:rsid w:val="001D0268"/>
    <w:rsid w:val="001D12E6"/>
    <w:rsid w:val="001D44FE"/>
    <w:rsid w:val="001D686D"/>
    <w:rsid w:val="001D7928"/>
    <w:rsid w:val="001E1262"/>
    <w:rsid w:val="001E215D"/>
    <w:rsid w:val="001E2AF1"/>
    <w:rsid w:val="001E329C"/>
    <w:rsid w:val="001E50E6"/>
    <w:rsid w:val="001E5967"/>
    <w:rsid w:val="001E6D07"/>
    <w:rsid w:val="001E7B88"/>
    <w:rsid w:val="001F1389"/>
    <w:rsid w:val="001F39AF"/>
    <w:rsid w:val="001F603B"/>
    <w:rsid w:val="001F6F4C"/>
    <w:rsid w:val="00201069"/>
    <w:rsid w:val="0020455D"/>
    <w:rsid w:val="00207B20"/>
    <w:rsid w:val="002160D6"/>
    <w:rsid w:val="00220535"/>
    <w:rsid w:val="00221928"/>
    <w:rsid w:val="00221E0B"/>
    <w:rsid w:val="00222A7B"/>
    <w:rsid w:val="00223E7F"/>
    <w:rsid w:val="002240B9"/>
    <w:rsid w:val="002276E9"/>
    <w:rsid w:val="00227CBC"/>
    <w:rsid w:val="00227D36"/>
    <w:rsid w:val="002312AC"/>
    <w:rsid w:val="00231AB9"/>
    <w:rsid w:val="002354A3"/>
    <w:rsid w:val="00237376"/>
    <w:rsid w:val="00240929"/>
    <w:rsid w:val="00240D81"/>
    <w:rsid w:val="00240F40"/>
    <w:rsid w:val="00241165"/>
    <w:rsid w:val="002428FD"/>
    <w:rsid w:val="00245AAD"/>
    <w:rsid w:val="00250F90"/>
    <w:rsid w:val="00254617"/>
    <w:rsid w:val="00254718"/>
    <w:rsid w:val="00254AE9"/>
    <w:rsid w:val="0025551F"/>
    <w:rsid w:val="0025644F"/>
    <w:rsid w:val="00256684"/>
    <w:rsid w:val="002634FA"/>
    <w:rsid w:val="00266272"/>
    <w:rsid w:val="00267C9B"/>
    <w:rsid w:val="00274B44"/>
    <w:rsid w:val="00276ED9"/>
    <w:rsid w:val="00277363"/>
    <w:rsid w:val="00281063"/>
    <w:rsid w:val="00281216"/>
    <w:rsid w:val="002858F5"/>
    <w:rsid w:val="002860CE"/>
    <w:rsid w:val="00292684"/>
    <w:rsid w:val="0029653E"/>
    <w:rsid w:val="00296699"/>
    <w:rsid w:val="00297716"/>
    <w:rsid w:val="002A0854"/>
    <w:rsid w:val="002A0A41"/>
    <w:rsid w:val="002A2FDE"/>
    <w:rsid w:val="002A75F8"/>
    <w:rsid w:val="002B1244"/>
    <w:rsid w:val="002B2A52"/>
    <w:rsid w:val="002B415E"/>
    <w:rsid w:val="002B5187"/>
    <w:rsid w:val="002B64E7"/>
    <w:rsid w:val="002C3569"/>
    <w:rsid w:val="002C78C8"/>
    <w:rsid w:val="002D17C2"/>
    <w:rsid w:val="002D5583"/>
    <w:rsid w:val="002D5649"/>
    <w:rsid w:val="002D7AE0"/>
    <w:rsid w:val="002E6056"/>
    <w:rsid w:val="002F1B52"/>
    <w:rsid w:val="002F347B"/>
    <w:rsid w:val="003014C6"/>
    <w:rsid w:val="00301C66"/>
    <w:rsid w:val="00302100"/>
    <w:rsid w:val="0030755C"/>
    <w:rsid w:val="00316DD6"/>
    <w:rsid w:val="0032019D"/>
    <w:rsid w:val="00321E5A"/>
    <w:rsid w:val="0032247F"/>
    <w:rsid w:val="0032290D"/>
    <w:rsid w:val="00326203"/>
    <w:rsid w:val="0032649D"/>
    <w:rsid w:val="00327578"/>
    <w:rsid w:val="003310B6"/>
    <w:rsid w:val="00334451"/>
    <w:rsid w:val="00334F20"/>
    <w:rsid w:val="0034027B"/>
    <w:rsid w:val="00341CE6"/>
    <w:rsid w:val="00343BF6"/>
    <w:rsid w:val="00345DBB"/>
    <w:rsid w:val="00347207"/>
    <w:rsid w:val="0035192E"/>
    <w:rsid w:val="003533F1"/>
    <w:rsid w:val="00354A6A"/>
    <w:rsid w:val="00355E1B"/>
    <w:rsid w:val="003666CD"/>
    <w:rsid w:val="00366F62"/>
    <w:rsid w:val="00371494"/>
    <w:rsid w:val="00371518"/>
    <w:rsid w:val="0037381A"/>
    <w:rsid w:val="00373E6D"/>
    <w:rsid w:val="00374D68"/>
    <w:rsid w:val="00374FB5"/>
    <w:rsid w:val="00377EA5"/>
    <w:rsid w:val="00380296"/>
    <w:rsid w:val="003810EE"/>
    <w:rsid w:val="00390E34"/>
    <w:rsid w:val="003938D1"/>
    <w:rsid w:val="00393C7D"/>
    <w:rsid w:val="00393F78"/>
    <w:rsid w:val="00396DD5"/>
    <w:rsid w:val="003A2BC1"/>
    <w:rsid w:val="003A3EE3"/>
    <w:rsid w:val="003A413F"/>
    <w:rsid w:val="003A4E83"/>
    <w:rsid w:val="003A572D"/>
    <w:rsid w:val="003A7713"/>
    <w:rsid w:val="003A7827"/>
    <w:rsid w:val="003A78B9"/>
    <w:rsid w:val="003B005C"/>
    <w:rsid w:val="003B0B32"/>
    <w:rsid w:val="003B4FF9"/>
    <w:rsid w:val="003B6146"/>
    <w:rsid w:val="003B6571"/>
    <w:rsid w:val="003C10AC"/>
    <w:rsid w:val="003D067C"/>
    <w:rsid w:val="003D06FD"/>
    <w:rsid w:val="003D0E82"/>
    <w:rsid w:val="003D25B0"/>
    <w:rsid w:val="003D3336"/>
    <w:rsid w:val="003D4C24"/>
    <w:rsid w:val="003D4C74"/>
    <w:rsid w:val="003D6A45"/>
    <w:rsid w:val="003E414A"/>
    <w:rsid w:val="003F4722"/>
    <w:rsid w:val="00401A7C"/>
    <w:rsid w:val="004036F8"/>
    <w:rsid w:val="00405A56"/>
    <w:rsid w:val="00406468"/>
    <w:rsid w:val="004104E6"/>
    <w:rsid w:val="00410779"/>
    <w:rsid w:val="00414865"/>
    <w:rsid w:val="004207D5"/>
    <w:rsid w:val="00420E66"/>
    <w:rsid w:val="004266B5"/>
    <w:rsid w:val="00427916"/>
    <w:rsid w:val="0043028E"/>
    <w:rsid w:val="0043071A"/>
    <w:rsid w:val="004309C9"/>
    <w:rsid w:val="004326C4"/>
    <w:rsid w:val="004438D8"/>
    <w:rsid w:val="00445991"/>
    <w:rsid w:val="00446198"/>
    <w:rsid w:val="00452AD8"/>
    <w:rsid w:val="00455684"/>
    <w:rsid w:val="0046160E"/>
    <w:rsid w:val="00465529"/>
    <w:rsid w:val="00465BDE"/>
    <w:rsid w:val="0046728B"/>
    <w:rsid w:val="00474EA4"/>
    <w:rsid w:val="004814CD"/>
    <w:rsid w:val="00483CC2"/>
    <w:rsid w:val="00486840"/>
    <w:rsid w:val="00492185"/>
    <w:rsid w:val="00493D86"/>
    <w:rsid w:val="00493E63"/>
    <w:rsid w:val="0049529D"/>
    <w:rsid w:val="004962DC"/>
    <w:rsid w:val="004963DA"/>
    <w:rsid w:val="00497568"/>
    <w:rsid w:val="004A2022"/>
    <w:rsid w:val="004A763D"/>
    <w:rsid w:val="004B122D"/>
    <w:rsid w:val="004B30F8"/>
    <w:rsid w:val="004B37AB"/>
    <w:rsid w:val="004B4D4E"/>
    <w:rsid w:val="004B799F"/>
    <w:rsid w:val="004C450C"/>
    <w:rsid w:val="004C71D3"/>
    <w:rsid w:val="004C7DE1"/>
    <w:rsid w:val="004D0A3C"/>
    <w:rsid w:val="004D16B3"/>
    <w:rsid w:val="004D25BF"/>
    <w:rsid w:val="004D58D7"/>
    <w:rsid w:val="004D70D7"/>
    <w:rsid w:val="004D7AB9"/>
    <w:rsid w:val="004E50C2"/>
    <w:rsid w:val="004E542F"/>
    <w:rsid w:val="004E6F4D"/>
    <w:rsid w:val="004F3849"/>
    <w:rsid w:val="00501C3E"/>
    <w:rsid w:val="00502106"/>
    <w:rsid w:val="0050570D"/>
    <w:rsid w:val="00506A05"/>
    <w:rsid w:val="00507D13"/>
    <w:rsid w:val="005104FA"/>
    <w:rsid w:val="0051098C"/>
    <w:rsid w:val="0051160E"/>
    <w:rsid w:val="00512E92"/>
    <w:rsid w:val="00514C5E"/>
    <w:rsid w:val="005151EC"/>
    <w:rsid w:val="00515A3D"/>
    <w:rsid w:val="00532EFA"/>
    <w:rsid w:val="005354D8"/>
    <w:rsid w:val="005362F1"/>
    <w:rsid w:val="005402BC"/>
    <w:rsid w:val="00541F0B"/>
    <w:rsid w:val="00543C49"/>
    <w:rsid w:val="00552216"/>
    <w:rsid w:val="005547D2"/>
    <w:rsid w:val="00555957"/>
    <w:rsid w:val="00555F7F"/>
    <w:rsid w:val="005563CF"/>
    <w:rsid w:val="00556D0D"/>
    <w:rsid w:val="005600A4"/>
    <w:rsid w:val="00561BF4"/>
    <w:rsid w:val="00566D31"/>
    <w:rsid w:val="00573FF1"/>
    <w:rsid w:val="00577441"/>
    <w:rsid w:val="00582349"/>
    <w:rsid w:val="00582A1A"/>
    <w:rsid w:val="00582BDA"/>
    <w:rsid w:val="00583DEB"/>
    <w:rsid w:val="0058671A"/>
    <w:rsid w:val="00586BDD"/>
    <w:rsid w:val="005909C1"/>
    <w:rsid w:val="0059102E"/>
    <w:rsid w:val="005969DB"/>
    <w:rsid w:val="005974DC"/>
    <w:rsid w:val="005A36F5"/>
    <w:rsid w:val="005A384E"/>
    <w:rsid w:val="005A4CDF"/>
    <w:rsid w:val="005A581D"/>
    <w:rsid w:val="005A5C6D"/>
    <w:rsid w:val="005A6D2E"/>
    <w:rsid w:val="005B6A84"/>
    <w:rsid w:val="005B7405"/>
    <w:rsid w:val="005C0718"/>
    <w:rsid w:val="005C24F5"/>
    <w:rsid w:val="005C5597"/>
    <w:rsid w:val="005E2A47"/>
    <w:rsid w:val="005E3563"/>
    <w:rsid w:val="005E5043"/>
    <w:rsid w:val="005E61A6"/>
    <w:rsid w:val="005F2779"/>
    <w:rsid w:val="006001FB"/>
    <w:rsid w:val="00603814"/>
    <w:rsid w:val="00605289"/>
    <w:rsid w:val="006109D2"/>
    <w:rsid w:val="00613EC9"/>
    <w:rsid w:val="0061401B"/>
    <w:rsid w:val="0061678F"/>
    <w:rsid w:val="006171A5"/>
    <w:rsid w:val="00620757"/>
    <w:rsid w:val="006217F4"/>
    <w:rsid w:val="0062564E"/>
    <w:rsid w:val="00625939"/>
    <w:rsid w:val="00626EB2"/>
    <w:rsid w:val="00626F6D"/>
    <w:rsid w:val="00627EE9"/>
    <w:rsid w:val="00631FF3"/>
    <w:rsid w:val="006362A4"/>
    <w:rsid w:val="006372AF"/>
    <w:rsid w:val="006422B6"/>
    <w:rsid w:val="006458EA"/>
    <w:rsid w:val="006474C6"/>
    <w:rsid w:val="00647FBF"/>
    <w:rsid w:val="0065336D"/>
    <w:rsid w:val="00653767"/>
    <w:rsid w:val="006567F8"/>
    <w:rsid w:val="0065723C"/>
    <w:rsid w:val="006572C2"/>
    <w:rsid w:val="00660D52"/>
    <w:rsid w:val="00661104"/>
    <w:rsid w:val="006618B8"/>
    <w:rsid w:val="00662203"/>
    <w:rsid w:val="0066402D"/>
    <w:rsid w:val="00665F0D"/>
    <w:rsid w:val="006665D4"/>
    <w:rsid w:val="00672991"/>
    <w:rsid w:val="006803E1"/>
    <w:rsid w:val="00683DDA"/>
    <w:rsid w:val="00684C58"/>
    <w:rsid w:val="006906FE"/>
    <w:rsid w:val="00692468"/>
    <w:rsid w:val="00693553"/>
    <w:rsid w:val="006941B6"/>
    <w:rsid w:val="006A0599"/>
    <w:rsid w:val="006A1F6D"/>
    <w:rsid w:val="006A3F4F"/>
    <w:rsid w:val="006A45F8"/>
    <w:rsid w:val="006B2D26"/>
    <w:rsid w:val="006B3218"/>
    <w:rsid w:val="006C2604"/>
    <w:rsid w:val="006C3A24"/>
    <w:rsid w:val="006C425B"/>
    <w:rsid w:val="006C536F"/>
    <w:rsid w:val="006D06DA"/>
    <w:rsid w:val="006D4792"/>
    <w:rsid w:val="006D4E98"/>
    <w:rsid w:val="006D55BB"/>
    <w:rsid w:val="006D7AE9"/>
    <w:rsid w:val="006E0498"/>
    <w:rsid w:val="006E097B"/>
    <w:rsid w:val="006E2772"/>
    <w:rsid w:val="006E4E75"/>
    <w:rsid w:val="006E7C3A"/>
    <w:rsid w:val="006F56DE"/>
    <w:rsid w:val="006F5CB4"/>
    <w:rsid w:val="00700359"/>
    <w:rsid w:val="00701D97"/>
    <w:rsid w:val="0070350A"/>
    <w:rsid w:val="0070482F"/>
    <w:rsid w:val="00704AD1"/>
    <w:rsid w:val="007059BC"/>
    <w:rsid w:val="00705C48"/>
    <w:rsid w:val="00712861"/>
    <w:rsid w:val="007148E1"/>
    <w:rsid w:val="00714C17"/>
    <w:rsid w:val="00717BDE"/>
    <w:rsid w:val="00720346"/>
    <w:rsid w:val="00720B4B"/>
    <w:rsid w:val="007236EC"/>
    <w:rsid w:val="00723D0A"/>
    <w:rsid w:val="007271AC"/>
    <w:rsid w:val="00732FBA"/>
    <w:rsid w:val="00733B6F"/>
    <w:rsid w:val="0073400B"/>
    <w:rsid w:val="00735529"/>
    <w:rsid w:val="00736D07"/>
    <w:rsid w:val="00741331"/>
    <w:rsid w:val="0074192F"/>
    <w:rsid w:val="00741DFD"/>
    <w:rsid w:val="00745F21"/>
    <w:rsid w:val="00747645"/>
    <w:rsid w:val="007533F7"/>
    <w:rsid w:val="0075373F"/>
    <w:rsid w:val="007542F0"/>
    <w:rsid w:val="00760B8C"/>
    <w:rsid w:val="00762154"/>
    <w:rsid w:val="00762282"/>
    <w:rsid w:val="00762E6C"/>
    <w:rsid w:val="00763005"/>
    <w:rsid w:val="00763DFE"/>
    <w:rsid w:val="00766BF9"/>
    <w:rsid w:val="00766C97"/>
    <w:rsid w:val="00775713"/>
    <w:rsid w:val="0078041B"/>
    <w:rsid w:val="00780560"/>
    <w:rsid w:val="0078333B"/>
    <w:rsid w:val="00785550"/>
    <w:rsid w:val="00785792"/>
    <w:rsid w:val="00785F9D"/>
    <w:rsid w:val="007875B8"/>
    <w:rsid w:val="00787855"/>
    <w:rsid w:val="00787958"/>
    <w:rsid w:val="00790F4B"/>
    <w:rsid w:val="00794B73"/>
    <w:rsid w:val="007955FF"/>
    <w:rsid w:val="007A1072"/>
    <w:rsid w:val="007A2619"/>
    <w:rsid w:val="007A3D54"/>
    <w:rsid w:val="007A3EA9"/>
    <w:rsid w:val="007A7C06"/>
    <w:rsid w:val="007B03FA"/>
    <w:rsid w:val="007B312F"/>
    <w:rsid w:val="007B702D"/>
    <w:rsid w:val="007C1595"/>
    <w:rsid w:val="007C487B"/>
    <w:rsid w:val="007C6765"/>
    <w:rsid w:val="007D00FF"/>
    <w:rsid w:val="007D090F"/>
    <w:rsid w:val="007D2534"/>
    <w:rsid w:val="007D66D0"/>
    <w:rsid w:val="007D7A70"/>
    <w:rsid w:val="007E0BFF"/>
    <w:rsid w:val="007E516C"/>
    <w:rsid w:val="007E5F53"/>
    <w:rsid w:val="007E6513"/>
    <w:rsid w:val="007F24EF"/>
    <w:rsid w:val="007F33C5"/>
    <w:rsid w:val="007F6E8A"/>
    <w:rsid w:val="008008FE"/>
    <w:rsid w:val="00805292"/>
    <w:rsid w:val="00807960"/>
    <w:rsid w:val="008172B4"/>
    <w:rsid w:val="008177FA"/>
    <w:rsid w:val="00827593"/>
    <w:rsid w:val="008308C2"/>
    <w:rsid w:val="00833D85"/>
    <w:rsid w:val="00834378"/>
    <w:rsid w:val="00837DFE"/>
    <w:rsid w:val="00841CCC"/>
    <w:rsid w:val="008425E7"/>
    <w:rsid w:val="0084436C"/>
    <w:rsid w:val="008450C8"/>
    <w:rsid w:val="00845160"/>
    <w:rsid w:val="00852400"/>
    <w:rsid w:val="008526A3"/>
    <w:rsid w:val="00853659"/>
    <w:rsid w:val="008579F2"/>
    <w:rsid w:val="00863273"/>
    <w:rsid w:val="00863B98"/>
    <w:rsid w:val="00865829"/>
    <w:rsid w:val="00866002"/>
    <w:rsid w:val="008679E1"/>
    <w:rsid w:val="00867AAB"/>
    <w:rsid w:val="0087082C"/>
    <w:rsid w:val="008712AF"/>
    <w:rsid w:val="00876491"/>
    <w:rsid w:val="00877A71"/>
    <w:rsid w:val="00880AAF"/>
    <w:rsid w:val="00883B2D"/>
    <w:rsid w:val="00884BC3"/>
    <w:rsid w:val="00887083"/>
    <w:rsid w:val="00887B13"/>
    <w:rsid w:val="00892875"/>
    <w:rsid w:val="008941B3"/>
    <w:rsid w:val="008967F4"/>
    <w:rsid w:val="008A1D38"/>
    <w:rsid w:val="008A5D91"/>
    <w:rsid w:val="008B4882"/>
    <w:rsid w:val="008B5B42"/>
    <w:rsid w:val="008C3232"/>
    <w:rsid w:val="008C514E"/>
    <w:rsid w:val="008C6803"/>
    <w:rsid w:val="008D2BE3"/>
    <w:rsid w:val="008D52EB"/>
    <w:rsid w:val="008E0895"/>
    <w:rsid w:val="008E0EC8"/>
    <w:rsid w:val="008E3856"/>
    <w:rsid w:val="008E5463"/>
    <w:rsid w:val="008E58E5"/>
    <w:rsid w:val="008F07A6"/>
    <w:rsid w:val="008F1B9C"/>
    <w:rsid w:val="008F2346"/>
    <w:rsid w:val="008F7FA2"/>
    <w:rsid w:val="00900610"/>
    <w:rsid w:val="0090141A"/>
    <w:rsid w:val="00903E81"/>
    <w:rsid w:val="00904021"/>
    <w:rsid w:val="00906692"/>
    <w:rsid w:val="0090693F"/>
    <w:rsid w:val="00910E14"/>
    <w:rsid w:val="009118A4"/>
    <w:rsid w:val="00917577"/>
    <w:rsid w:val="00923379"/>
    <w:rsid w:val="00925654"/>
    <w:rsid w:val="0092617D"/>
    <w:rsid w:val="00934479"/>
    <w:rsid w:val="00937886"/>
    <w:rsid w:val="00937B40"/>
    <w:rsid w:val="009406B3"/>
    <w:rsid w:val="00941088"/>
    <w:rsid w:val="00941485"/>
    <w:rsid w:val="00941660"/>
    <w:rsid w:val="009423A6"/>
    <w:rsid w:val="009462CC"/>
    <w:rsid w:val="00947BB0"/>
    <w:rsid w:val="00947DF0"/>
    <w:rsid w:val="00960205"/>
    <w:rsid w:val="00961509"/>
    <w:rsid w:val="009639AB"/>
    <w:rsid w:val="009655A0"/>
    <w:rsid w:val="0097097E"/>
    <w:rsid w:val="009734C2"/>
    <w:rsid w:val="00976B0D"/>
    <w:rsid w:val="009879D0"/>
    <w:rsid w:val="00987B2E"/>
    <w:rsid w:val="0099186B"/>
    <w:rsid w:val="00992330"/>
    <w:rsid w:val="0099416F"/>
    <w:rsid w:val="0099420D"/>
    <w:rsid w:val="00995FB4"/>
    <w:rsid w:val="009A0D6D"/>
    <w:rsid w:val="009A1595"/>
    <w:rsid w:val="009B0C8C"/>
    <w:rsid w:val="009B6C52"/>
    <w:rsid w:val="009B7897"/>
    <w:rsid w:val="009C5E5B"/>
    <w:rsid w:val="009C680B"/>
    <w:rsid w:val="009C698F"/>
    <w:rsid w:val="009D000C"/>
    <w:rsid w:val="009D0D0D"/>
    <w:rsid w:val="009D12C8"/>
    <w:rsid w:val="009D322D"/>
    <w:rsid w:val="009D3FCD"/>
    <w:rsid w:val="009D6AB4"/>
    <w:rsid w:val="009D6BFC"/>
    <w:rsid w:val="009D6C32"/>
    <w:rsid w:val="009E09DD"/>
    <w:rsid w:val="009E0EEF"/>
    <w:rsid w:val="009E1365"/>
    <w:rsid w:val="009E322F"/>
    <w:rsid w:val="009E3F92"/>
    <w:rsid w:val="009E40F1"/>
    <w:rsid w:val="009F08C5"/>
    <w:rsid w:val="009F2FB1"/>
    <w:rsid w:val="009F30AB"/>
    <w:rsid w:val="009F32DC"/>
    <w:rsid w:val="009F65F0"/>
    <w:rsid w:val="009F7719"/>
    <w:rsid w:val="00A019C9"/>
    <w:rsid w:val="00A060B0"/>
    <w:rsid w:val="00A07A61"/>
    <w:rsid w:val="00A1046D"/>
    <w:rsid w:val="00A10F4F"/>
    <w:rsid w:val="00A13864"/>
    <w:rsid w:val="00A1509B"/>
    <w:rsid w:val="00A17B5E"/>
    <w:rsid w:val="00A222D9"/>
    <w:rsid w:val="00A225FD"/>
    <w:rsid w:val="00A23AF2"/>
    <w:rsid w:val="00A240C4"/>
    <w:rsid w:val="00A248C9"/>
    <w:rsid w:val="00A26554"/>
    <w:rsid w:val="00A2752F"/>
    <w:rsid w:val="00A27D3B"/>
    <w:rsid w:val="00A27F83"/>
    <w:rsid w:val="00A32F82"/>
    <w:rsid w:val="00A35C72"/>
    <w:rsid w:val="00A37834"/>
    <w:rsid w:val="00A37CF0"/>
    <w:rsid w:val="00A40C7C"/>
    <w:rsid w:val="00A431D1"/>
    <w:rsid w:val="00A44596"/>
    <w:rsid w:val="00A4514E"/>
    <w:rsid w:val="00A46452"/>
    <w:rsid w:val="00A47B77"/>
    <w:rsid w:val="00A55FE7"/>
    <w:rsid w:val="00A574E0"/>
    <w:rsid w:val="00A61379"/>
    <w:rsid w:val="00A62D37"/>
    <w:rsid w:val="00A64799"/>
    <w:rsid w:val="00A7096A"/>
    <w:rsid w:val="00A7649F"/>
    <w:rsid w:val="00A7676E"/>
    <w:rsid w:val="00A817E1"/>
    <w:rsid w:val="00A823D3"/>
    <w:rsid w:val="00A82BE9"/>
    <w:rsid w:val="00A86A47"/>
    <w:rsid w:val="00A903C7"/>
    <w:rsid w:val="00A9234B"/>
    <w:rsid w:val="00AA12A4"/>
    <w:rsid w:val="00AA2376"/>
    <w:rsid w:val="00AA464B"/>
    <w:rsid w:val="00AA479F"/>
    <w:rsid w:val="00AB0A66"/>
    <w:rsid w:val="00AB0F6E"/>
    <w:rsid w:val="00AB5F54"/>
    <w:rsid w:val="00AB7FDD"/>
    <w:rsid w:val="00AC0A5B"/>
    <w:rsid w:val="00AC2174"/>
    <w:rsid w:val="00AC4780"/>
    <w:rsid w:val="00AC5314"/>
    <w:rsid w:val="00AC554E"/>
    <w:rsid w:val="00AC5D9F"/>
    <w:rsid w:val="00AD13C0"/>
    <w:rsid w:val="00AD26A8"/>
    <w:rsid w:val="00AD3448"/>
    <w:rsid w:val="00AD4498"/>
    <w:rsid w:val="00AD5975"/>
    <w:rsid w:val="00AD716B"/>
    <w:rsid w:val="00AE0AAC"/>
    <w:rsid w:val="00AE1CA0"/>
    <w:rsid w:val="00AE2AA8"/>
    <w:rsid w:val="00AE4AE4"/>
    <w:rsid w:val="00AE54FA"/>
    <w:rsid w:val="00AE5E1A"/>
    <w:rsid w:val="00AF1328"/>
    <w:rsid w:val="00AF5313"/>
    <w:rsid w:val="00AF6966"/>
    <w:rsid w:val="00B00BEA"/>
    <w:rsid w:val="00B03548"/>
    <w:rsid w:val="00B03F5F"/>
    <w:rsid w:val="00B0581B"/>
    <w:rsid w:val="00B11BCF"/>
    <w:rsid w:val="00B13F69"/>
    <w:rsid w:val="00B17BEA"/>
    <w:rsid w:val="00B22E66"/>
    <w:rsid w:val="00B25337"/>
    <w:rsid w:val="00B25680"/>
    <w:rsid w:val="00B272C1"/>
    <w:rsid w:val="00B3091C"/>
    <w:rsid w:val="00B30D17"/>
    <w:rsid w:val="00B30E45"/>
    <w:rsid w:val="00B32117"/>
    <w:rsid w:val="00B3271D"/>
    <w:rsid w:val="00B32ED8"/>
    <w:rsid w:val="00B3531E"/>
    <w:rsid w:val="00B35B4B"/>
    <w:rsid w:val="00B4153E"/>
    <w:rsid w:val="00B427C9"/>
    <w:rsid w:val="00B43313"/>
    <w:rsid w:val="00B43E0D"/>
    <w:rsid w:val="00B457A8"/>
    <w:rsid w:val="00B51110"/>
    <w:rsid w:val="00B52CBB"/>
    <w:rsid w:val="00B536B7"/>
    <w:rsid w:val="00B53891"/>
    <w:rsid w:val="00B54065"/>
    <w:rsid w:val="00B5619E"/>
    <w:rsid w:val="00B61C35"/>
    <w:rsid w:val="00B62F1D"/>
    <w:rsid w:val="00B662D3"/>
    <w:rsid w:val="00B67BB1"/>
    <w:rsid w:val="00B67FA2"/>
    <w:rsid w:val="00B7422C"/>
    <w:rsid w:val="00B75AEE"/>
    <w:rsid w:val="00B827FC"/>
    <w:rsid w:val="00B876FF"/>
    <w:rsid w:val="00B87BBE"/>
    <w:rsid w:val="00B92476"/>
    <w:rsid w:val="00B93125"/>
    <w:rsid w:val="00BA0ADA"/>
    <w:rsid w:val="00BA1403"/>
    <w:rsid w:val="00BA4470"/>
    <w:rsid w:val="00BA4775"/>
    <w:rsid w:val="00BA4901"/>
    <w:rsid w:val="00BA558A"/>
    <w:rsid w:val="00BB0095"/>
    <w:rsid w:val="00BB0B16"/>
    <w:rsid w:val="00BB19DB"/>
    <w:rsid w:val="00BB2A7A"/>
    <w:rsid w:val="00BB381E"/>
    <w:rsid w:val="00BB41DF"/>
    <w:rsid w:val="00BB5AE6"/>
    <w:rsid w:val="00BB6F70"/>
    <w:rsid w:val="00BC1230"/>
    <w:rsid w:val="00BC2067"/>
    <w:rsid w:val="00BC6264"/>
    <w:rsid w:val="00BD03D7"/>
    <w:rsid w:val="00BD0AE5"/>
    <w:rsid w:val="00BD64D4"/>
    <w:rsid w:val="00BD689A"/>
    <w:rsid w:val="00BD6CC8"/>
    <w:rsid w:val="00BD740E"/>
    <w:rsid w:val="00BE29A4"/>
    <w:rsid w:val="00BE4031"/>
    <w:rsid w:val="00BE5ABA"/>
    <w:rsid w:val="00BE74F7"/>
    <w:rsid w:val="00BE7D69"/>
    <w:rsid w:val="00BF215A"/>
    <w:rsid w:val="00BF2D30"/>
    <w:rsid w:val="00C00CA5"/>
    <w:rsid w:val="00C037A9"/>
    <w:rsid w:val="00C03A6A"/>
    <w:rsid w:val="00C04B82"/>
    <w:rsid w:val="00C05B9D"/>
    <w:rsid w:val="00C06AE5"/>
    <w:rsid w:val="00C07337"/>
    <w:rsid w:val="00C074A9"/>
    <w:rsid w:val="00C07AD9"/>
    <w:rsid w:val="00C14F4D"/>
    <w:rsid w:val="00C221CC"/>
    <w:rsid w:val="00C2703E"/>
    <w:rsid w:val="00C272E3"/>
    <w:rsid w:val="00C305A3"/>
    <w:rsid w:val="00C31070"/>
    <w:rsid w:val="00C3608F"/>
    <w:rsid w:val="00C37A3E"/>
    <w:rsid w:val="00C37CEC"/>
    <w:rsid w:val="00C40CFF"/>
    <w:rsid w:val="00C450A7"/>
    <w:rsid w:val="00C4548B"/>
    <w:rsid w:val="00C45994"/>
    <w:rsid w:val="00C45E01"/>
    <w:rsid w:val="00C47223"/>
    <w:rsid w:val="00C50845"/>
    <w:rsid w:val="00C51C72"/>
    <w:rsid w:val="00C55CD6"/>
    <w:rsid w:val="00C60281"/>
    <w:rsid w:val="00C60561"/>
    <w:rsid w:val="00C61BB1"/>
    <w:rsid w:val="00C6516E"/>
    <w:rsid w:val="00C65B87"/>
    <w:rsid w:val="00C65C54"/>
    <w:rsid w:val="00C66C20"/>
    <w:rsid w:val="00C704B4"/>
    <w:rsid w:val="00C70B2C"/>
    <w:rsid w:val="00C723D1"/>
    <w:rsid w:val="00C76191"/>
    <w:rsid w:val="00C77AB9"/>
    <w:rsid w:val="00C77EB7"/>
    <w:rsid w:val="00C80A7D"/>
    <w:rsid w:val="00C81011"/>
    <w:rsid w:val="00C82469"/>
    <w:rsid w:val="00C835D4"/>
    <w:rsid w:val="00C90E1B"/>
    <w:rsid w:val="00C92053"/>
    <w:rsid w:val="00C92A95"/>
    <w:rsid w:val="00C93689"/>
    <w:rsid w:val="00C96871"/>
    <w:rsid w:val="00CA0F96"/>
    <w:rsid w:val="00CA6086"/>
    <w:rsid w:val="00CB0AED"/>
    <w:rsid w:val="00CC18F4"/>
    <w:rsid w:val="00CC1E48"/>
    <w:rsid w:val="00CC37CB"/>
    <w:rsid w:val="00CC38D7"/>
    <w:rsid w:val="00CC4B45"/>
    <w:rsid w:val="00CD0AAE"/>
    <w:rsid w:val="00CD4B6E"/>
    <w:rsid w:val="00CD55E7"/>
    <w:rsid w:val="00CE0E5E"/>
    <w:rsid w:val="00CE137B"/>
    <w:rsid w:val="00CE1D17"/>
    <w:rsid w:val="00CE42D6"/>
    <w:rsid w:val="00CE5ACC"/>
    <w:rsid w:val="00CF0AE1"/>
    <w:rsid w:val="00CF2497"/>
    <w:rsid w:val="00CF3183"/>
    <w:rsid w:val="00CF340C"/>
    <w:rsid w:val="00CF4913"/>
    <w:rsid w:val="00CF6B73"/>
    <w:rsid w:val="00D03097"/>
    <w:rsid w:val="00D035B6"/>
    <w:rsid w:val="00D05DD5"/>
    <w:rsid w:val="00D14164"/>
    <w:rsid w:val="00D1661A"/>
    <w:rsid w:val="00D16C84"/>
    <w:rsid w:val="00D16E9A"/>
    <w:rsid w:val="00D20D1A"/>
    <w:rsid w:val="00D23D74"/>
    <w:rsid w:val="00D263B7"/>
    <w:rsid w:val="00D2784A"/>
    <w:rsid w:val="00D324F2"/>
    <w:rsid w:val="00D32840"/>
    <w:rsid w:val="00D32A09"/>
    <w:rsid w:val="00D32D86"/>
    <w:rsid w:val="00D362F0"/>
    <w:rsid w:val="00D36679"/>
    <w:rsid w:val="00D423D7"/>
    <w:rsid w:val="00D44C5F"/>
    <w:rsid w:val="00D47590"/>
    <w:rsid w:val="00D51B50"/>
    <w:rsid w:val="00D53117"/>
    <w:rsid w:val="00D55BD5"/>
    <w:rsid w:val="00D61E07"/>
    <w:rsid w:val="00D62EEF"/>
    <w:rsid w:val="00D65CEF"/>
    <w:rsid w:val="00D73892"/>
    <w:rsid w:val="00D741AB"/>
    <w:rsid w:val="00D7606E"/>
    <w:rsid w:val="00D761CE"/>
    <w:rsid w:val="00D814E7"/>
    <w:rsid w:val="00D835DD"/>
    <w:rsid w:val="00D85308"/>
    <w:rsid w:val="00D85538"/>
    <w:rsid w:val="00D87A25"/>
    <w:rsid w:val="00D90F73"/>
    <w:rsid w:val="00D91456"/>
    <w:rsid w:val="00D93A49"/>
    <w:rsid w:val="00D96073"/>
    <w:rsid w:val="00DA15D2"/>
    <w:rsid w:val="00DA7B3C"/>
    <w:rsid w:val="00DB1384"/>
    <w:rsid w:val="00DB5E19"/>
    <w:rsid w:val="00DC260A"/>
    <w:rsid w:val="00DC276F"/>
    <w:rsid w:val="00DC301A"/>
    <w:rsid w:val="00DC46C3"/>
    <w:rsid w:val="00DC5386"/>
    <w:rsid w:val="00DC5ACE"/>
    <w:rsid w:val="00DD0DA9"/>
    <w:rsid w:val="00DD2381"/>
    <w:rsid w:val="00DD2C72"/>
    <w:rsid w:val="00DD60D2"/>
    <w:rsid w:val="00DE20FE"/>
    <w:rsid w:val="00DE27FF"/>
    <w:rsid w:val="00DE425E"/>
    <w:rsid w:val="00DF48C8"/>
    <w:rsid w:val="00DF5FA2"/>
    <w:rsid w:val="00DF732D"/>
    <w:rsid w:val="00E02201"/>
    <w:rsid w:val="00E02C6C"/>
    <w:rsid w:val="00E03DB0"/>
    <w:rsid w:val="00E0456C"/>
    <w:rsid w:val="00E0628C"/>
    <w:rsid w:val="00E1148E"/>
    <w:rsid w:val="00E11FD6"/>
    <w:rsid w:val="00E141E4"/>
    <w:rsid w:val="00E14EAB"/>
    <w:rsid w:val="00E15A70"/>
    <w:rsid w:val="00E17152"/>
    <w:rsid w:val="00E211B2"/>
    <w:rsid w:val="00E248AE"/>
    <w:rsid w:val="00E26B82"/>
    <w:rsid w:val="00E26D0D"/>
    <w:rsid w:val="00E32B27"/>
    <w:rsid w:val="00E33CE9"/>
    <w:rsid w:val="00E33F72"/>
    <w:rsid w:val="00E3581F"/>
    <w:rsid w:val="00E37CAD"/>
    <w:rsid w:val="00E409F0"/>
    <w:rsid w:val="00E41ED7"/>
    <w:rsid w:val="00E4660B"/>
    <w:rsid w:val="00E5292D"/>
    <w:rsid w:val="00E60FFC"/>
    <w:rsid w:val="00E64025"/>
    <w:rsid w:val="00E64939"/>
    <w:rsid w:val="00E651E2"/>
    <w:rsid w:val="00E66001"/>
    <w:rsid w:val="00E66C54"/>
    <w:rsid w:val="00E71A8F"/>
    <w:rsid w:val="00E80C00"/>
    <w:rsid w:val="00E81324"/>
    <w:rsid w:val="00E83206"/>
    <w:rsid w:val="00E8355C"/>
    <w:rsid w:val="00E85C99"/>
    <w:rsid w:val="00E8673A"/>
    <w:rsid w:val="00E87140"/>
    <w:rsid w:val="00E90FC5"/>
    <w:rsid w:val="00E937EE"/>
    <w:rsid w:val="00E94EA9"/>
    <w:rsid w:val="00EA090D"/>
    <w:rsid w:val="00EA30D9"/>
    <w:rsid w:val="00EA4E54"/>
    <w:rsid w:val="00EA514C"/>
    <w:rsid w:val="00EA70E7"/>
    <w:rsid w:val="00EA743B"/>
    <w:rsid w:val="00EB064D"/>
    <w:rsid w:val="00EB08DE"/>
    <w:rsid w:val="00EB0F9F"/>
    <w:rsid w:val="00EB5FD3"/>
    <w:rsid w:val="00EB60EE"/>
    <w:rsid w:val="00EC0CF9"/>
    <w:rsid w:val="00EC1072"/>
    <w:rsid w:val="00EC3EB7"/>
    <w:rsid w:val="00EC47D3"/>
    <w:rsid w:val="00ED4A22"/>
    <w:rsid w:val="00ED6F27"/>
    <w:rsid w:val="00EE0695"/>
    <w:rsid w:val="00EE186B"/>
    <w:rsid w:val="00EE1CB6"/>
    <w:rsid w:val="00EE2667"/>
    <w:rsid w:val="00EE3225"/>
    <w:rsid w:val="00EE3441"/>
    <w:rsid w:val="00EE6496"/>
    <w:rsid w:val="00EF082C"/>
    <w:rsid w:val="00EF0EE8"/>
    <w:rsid w:val="00EF28CA"/>
    <w:rsid w:val="00EF2C25"/>
    <w:rsid w:val="00EF5DDB"/>
    <w:rsid w:val="00F02384"/>
    <w:rsid w:val="00F02E04"/>
    <w:rsid w:val="00F05804"/>
    <w:rsid w:val="00F06070"/>
    <w:rsid w:val="00F1154B"/>
    <w:rsid w:val="00F11CEE"/>
    <w:rsid w:val="00F141AC"/>
    <w:rsid w:val="00F14230"/>
    <w:rsid w:val="00F15CDF"/>
    <w:rsid w:val="00F17E0A"/>
    <w:rsid w:val="00F17EE3"/>
    <w:rsid w:val="00F21F04"/>
    <w:rsid w:val="00F226E4"/>
    <w:rsid w:val="00F2681A"/>
    <w:rsid w:val="00F30BA3"/>
    <w:rsid w:val="00F31871"/>
    <w:rsid w:val="00F34EEE"/>
    <w:rsid w:val="00F3747D"/>
    <w:rsid w:val="00F40094"/>
    <w:rsid w:val="00F41F56"/>
    <w:rsid w:val="00F4231B"/>
    <w:rsid w:val="00F424E0"/>
    <w:rsid w:val="00F462FB"/>
    <w:rsid w:val="00F46574"/>
    <w:rsid w:val="00F46CC0"/>
    <w:rsid w:val="00F53CC5"/>
    <w:rsid w:val="00F65CAE"/>
    <w:rsid w:val="00F70921"/>
    <w:rsid w:val="00F70D78"/>
    <w:rsid w:val="00F7118B"/>
    <w:rsid w:val="00F73932"/>
    <w:rsid w:val="00F73CBF"/>
    <w:rsid w:val="00F74537"/>
    <w:rsid w:val="00F76D94"/>
    <w:rsid w:val="00F7795C"/>
    <w:rsid w:val="00F83577"/>
    <w:rsid w:val="00F927A0"/>
    <w:rsid w:val="00F964CA"/>
    <w:rsid w:val="00F9735E"/>
    <w:rsid w:val="00FA1D73"/>
    <w:rsid w:val="00FA321C"/>
    <w:rsid w:val="00FA4606"/>
    <w:rsid w:val="00FA6DD5"/>
    <w:rsid w:val="00FB0A43"/>
    <w:rsid w:val="00FB1645"/>
    <w:rsid w:val="00FB1E89"/>
    <w:rsid w:val="00FB3461"/>
    <w:rsid w:val="00FB58F2"/>
    <w:rsid w:val="00FB5978"/>
    <w:rsid w:val="00FB6F64"/>
    <w:rsid w:val="00FC05D0"/>
    <w:rsid w:val="00FC0777"/>
    <w:rsid w:val="00FC1EB5"/>
    <w:rsid w:val="00FC2488"/>
    <w:rsid w:val="00FC5FC5"/>
    <w:rsid w:val="00FC606F"/>
    <w:rsid w:val="00FC7320"/>
    <w:rsid w:val="00FD75EF"/>
    <w:rsid w:val="00FE16C9"/>
    <w:rsid w:val="00FE191D"/>
    <w:rsid w:val="00FF12A0"/>
    <w:rsid w:val="00FF163B"/>
    <w:rsid w:val="00FF2F64"/>
    <w:rsid w:val="00FF4CED"/>
    <w:rsid w:val="00FF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6452"/>
    <w:rPr>
      <w:color w:val="0000FF"/>
      <w:u w:val="single"/>
    </w:rPr>
  </w:style>
  <w:style w:type="character" w:styleId="FootnoteReference">
    <w:name w:val="footnote reference"/>
    <w:basedOn w:val="DefaultParagraphFont"/>
    <w:uiPriority w:val="99"/>
    <w:unhideWhenUsed/>
    <w:rsid w:val="00A46452"/>
  </w:style>
  <w:style w:type="paragraph" w:styleId="BodyTextIndent">
    <w:name w:val="Body Text Indent"/>
    <w:basedOn w:val="Normal"/>
    <w:link w:val="BodyTextIndentChar"/>
    <w:unhideWhenUsed/>
    <w:rsid w:val="00A46452"/>
    <w:pPr>
      <w:ind w:right="-385"/>
    </w:pPr>
    <w:rPr>
      <w:rFonts w:eastAsia="Times New Roman" w:cs="Times New Roman"/>
      <w:sz w:val="26"/>
      <w:szCs w:val="26"/>
    </w:rPr>
  </w:style>
  <w:style w:type="character" w:customStyle="1" w:styleId="BodyTextIndentChar">
    <w:name w:val="Body Text Indent Char"/>
    <w:basedOn w:val="DefaultParagraphFont"/>
    <w:link w:val="BodyTextIndent"/>
    <w:rsid w:val="00A46452"/>
    <w:rPr>
      <w:rFonts w:eastAsia="Times New Roman" w:cs="Times New Roman"/>
      <w:sz w:val="26"/>
      <w:szCs w:val="26"/>
    </w:rPr>
  </w:style>
  <w:style w:type="paragraph" w:styleId="Header">
    <w:name w:val="header"/>
    <w:basedOn w:val="Normal"/>
    <w:link w:val="HeaderChar"/>
    <w:uiPriority w:val="99"/>
    <w:unhideWhenUsed/>
    <w:rsid w:val="00092025"/>
    <w:pPr>
      <w:tabs>
        <w:tab w:val="center" w:pos="4513"/>
        <w:tab w:val="right" w:pos="9026"/>
      </w:tabs>
    </w:pPr>
  </w:style>
  <w:style w:type="character" w:customStyle="1" w:styleId="HeaderChar">
    <w:name w:val="Header Char"/>
    <w:basedOn w:val="DefaultParagraphFont"/>
    <w:link w:val="Header"/>
    <w:uiPriority w:val="99"/>
    <w:rsid w:val="00092025"/>
  </w:style>
  <w:style w:type="paragraph" w:styleId="Footer">
    <w:name w:val="footer"/>
    <w:basedOn w:val="Normal"/>
    <w:link w:val="FooterChar"/>
    <w:uiPriority w:val="99"/>
    <w:unhideWhenUsed/>
    <w:rsid w:val="00092025"/>
    <w:pPr>
      <w:tabs>
        <w:tab w:val="center" w:pos="4513"/>
        <w:tab w:val="right" w:pos="9026"/>
      </w:tabs>
    </w:pPr>
  </w:style>
  <w:style w:type="character" w:customStyle="1" w:styleId="FooterChar">
    <w:name w:val="Footer Char"/>
    <w:basedOn w:val="DefaultParagraphFont"/>
    <w:link w:val="Footer"/>
    <w:uiPriority w:val="99"/>
    <w:rsid w:val="00092025"/>
  </w:style>
  <w:style w:type="paragraph" w:styleId="BalloonText">
    <w:name w:val="Balloon Text"/>
    <w:basedOn w:val="Normal"/>
    <w:link w:val="BalloonTextChar"/>
    <w:uiPriority w:val="99"/>
    <w:semiHidden/>
    <w:unhideWhenUsed/>
    <w:rsid w:val="00F21F04"/>
    <w:rPr>
      <w:rFonts w:ascii="Tahoma" w:hAnsi="Tahoma" w:cs="Tahoma"/>
      <w:sz w:val="16"/>
      <w:szCs w:val="16"/>
    </w:rPr>
  </w:style>
  <w:style w:type="character" w:customStyle="1" w:styleId="BalloonTextChar">
    <w:name w:val="Balloon Text Char"/>
    <w:basedOn w:val="DefaultParagraphFont"/>
    <w:link w:val="BalloonText"/>
    <w:uiPriority w:val="99"/>
    <w:semiHidden/>
    <w:rsid w:val="00F21F04"/>
    <w:rPr>
      <w:rFonts w:ascii="Tahoma" w:hAnsi="Tahoma" w:cs="Tahoma"/>
      <w:sz w:val="16"/>
      <w:szCs w:val="16"/>
    </w:rPr>
  </w:style>
  <w:style w:type="paragraph" w:styleId="Revision">
    <w:name w:val="Revision"/>
    <w:hidden/>
    <w:uiPriority w:val="99"/>
    <w:semiHidden/>
    <w:rsid w:val="00B3531E"/>
    <w:pPr>
      <w:jc w:val="left"/>
    </w:pPr>
  </w:style>
  <w:style w:type="paragraph" w:styleId="NormalWeb">
    <w:name w:val="Normal (Web)"/>
    <w:basedOn w:val="Normal"/>
    <w:uiPriority w:val="99"/>
    <w:rsid w:val="001A4870"/>
    <w:pPr>
      <w:spacing w:before="100" w:beforeAutospacing="1" w:after="100" w:afterAutospacing="1"/>
      <w:jc w:val="left"/>
    </w:pPr>
    <w:rPr>
      <w:rFonts w:eastAsia="Times New Roman" w:cs="Times New Roman"/>
      <w:sz w:val="24"/>
      <w:szCs w:val="24"/>
      <w:lang w:val="en-US"/>
    </w:rPr>
  </w:style>
  <w:style w:type="character" w:styleId="CommentReference">
    <w:name w:val="annotation reference"/>
    <w:semiHidden/>
    <w:rsid w:val="00207B20"/>
    <w:rPr>
      <w:sz w:val="16"/>
      <w:szCs w:val="16"/>
    </w:rPr>
  </w:style>
  <w:style w:type="paragraph" w:styleId="CommentText">
    <w:name w:val="annotation text"/>
    <w:basedOn w:val="Normal"/>
    <w:link w:val="CommentTextChar"/>
    <w:semiHidden/>
    <w:rsid w:val="00207B20"/>
    <w:pPr>
      <w:jc w:val="left"/>
    </w:pPr>
    <w:rPr>
      <w:rFonts w:eastAsia="MS Mincho" w:cs="Times New Roman"/>
      <w:sz w:val="20"/>
      <w:szCs w:val="20"/>
      <w:lang w:val="en-US"/>
    </w:rPr>
  </w:style>
  <w:style w:type="character" w:customStyle="1" w:styleId="CommentTextChar">
    <w:name w:val="Comment Text Char"/>
    <w:basedOn w:val="DefaultParagraphFont"/>
    <w:link w:val="CommentText"/>
    <w:semiHidden/>
    <w:rsid w:val="00207B20"/>
    <w:rPr>
      <w:rFonts w:eastAsia="MS Mincho" w:cs="Times New Roman"/>
      <w:sz w:val="20"/>
      <w:szCs w:val="20"/>
      <w:lang w:val="en-US"/>
    </w:rPr>
  </w:style>
  <w:style w:type="paragraph" w:styleId="ListParagraph">
    <w:name w:val="List Paragraph"/>
    <w:basedOn w:val="Normal"/>
    <w:uiPriority w:val="34"/>
    <w:qFormat/>
    <w:rsid w:val="00D835DD"/>
    <w:pPr>
      <w:ind w:left="720"/>
      <w:jc w:val="left"/>
    </w:pPr>
    <w:rPr>
      <w:rFonts w:eastAsia="MS Mincho" w:cs="Times New Roman"/>
      <w:sz w:val="24"/>
      <w:szCs w:val="24"/>
      <w:lang w:val="en-US"/>
    </w:rPr>
  </w:style>
  <w:style w:type="character" w:customStyle="1" w:styleId="normal-h1">
    <w:name w:val="normal-h1"/>
    <w:rsid w:val="006171A5"/>
    <w:rPr>
      <w:rFonts w:ascii="Times New Roman" w:hAnsi="Times New Roman" w:cs="Times New Roman" w:hint="default"/>
      <w:sz w:val="28"/>
      <w:szCs w:val="28"/>
    </w:rPr>
  </w:style>
  <w:style w:type="character" w:customStyle="1" w:styleId="heading5-h1">
    <w:name w:val="heading5-h1"/>
    <w:rsid w:val="00705C48"/>
    <w:rPr>
      <w:rFonts w:ascii="Times New Roman" w:hAnsi="Times New Roman" w:cs="Times New Roman" w:hint="default"/>
      <w:b/>
      <w:bCs/>
      <w:sz w:val="28"/>
      <w:szCs w:val="28"/>
    </w:rPr>
  </w:style>
  <w:style w:type="character" w:customStyle="1" w:styleId="Bodytext">
    <w:name w:val="Body text_"/>
    <w:link w:val="BodyText4"/>
    <w:rsid w:val="00F74537"/>
    <w:rPr>
      <w:sz w:val="26"/>
      <w:szCs w:val="26"/>
      <w:shd w:val="clear" w:color="auto" w:fill="FFFFFF"/>
    </w:rPr>
  </w:style>
  <w:style w:type="paragraph" w:customStyle="1" w:styleId="BodyText4">
    <w:name w:val="Body Text4"/>
    <w:basedOn w:val="Normal"/>
    <w:link w:val="Bodytext"/>
    <w:rsid w:val="00F74537"/>
    <w:pPr>
      <w:widowControl w:val="0"/>
      <w:shd w:val="clear" w:color="auto" w:fill="FFFFFF"/>
      <w:spacing w:before="480" w:after="780" w:line="0" w:lineRule="atLeas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6452"/>
    <w:rPr>
      <w:color w:val="0000FF"/>
      <w:u w:val="single"/>
    </w:rPr>
  </w:style>
  <w:style w:type="character" w:styleId="FootnoteReference">
    <w:name w:val="footnote reference"/>
    <w:basedOn w:val="DefaultParagraphFont"/>
    <w:uiPriority w:val="99"/>
    <w:unhideWhenUsed/>
    <w:rsid w:val="00A46452"/>
  </w:style>
  <w:style w:type="paragraph" w:styleId="BodyTextIndent">
    <w:name w:val="Body Text Indent"/>
    <w:basedOn w:val="Normal"/>
    <w:link w:val="BodyTextIndentChar"/>
    <w:unhideWhenUsed/>
    <w:rsid w:val="00A46452"/>
    <w:pPr>
      <w:ind w:right="-385"/>
    </w:pPr>
    <w:rPr>
      <w:rFonts w:eastAsia="Times New Roman" w:cs="Times New Roman"/>
      <w:sz w:val="26"/>
      <w:szCs w:val="26"/>
    </w:rPr>
  </w:style>
  <w:style w:type="character" w:customStyle="1" w:styleId="BodyTextIndentChar">
    <w:name w:val="Body Text Indent Char"/>
    <w:basedOn w:val="DefaultParagraphFont"/>
    <w:link w:val="BodyTextIndent"/>
    <w:rsid w:val="00A46452"/>
    <w:rPr>
      <w:rFonts w:eastAsia="Times New Roman" w:cs="Times New Roman"/>
      <w:sz w:val="26"/>
      <w:szCs w:val="26"/>
    </w:rPr>
  </w:style>
  <w:style w:type="paragraph" w:styleId="Header">
    <w:name w:val="header"/>
    <w:basedOn w:val="Normal"/>
    <w:link w:val="HeaderChar"/>
    <w:uiPriority w:val="99"/>
    <w:unhideWhenUsed/>
    <w:rsid w:val="00092025"/>
    <w:pPr>
      <w:tabs>
        <w:tab w:val="center" w:pos="4513"/>
        <w:tab w:val="right" w:pos="9026"/>
      </w:tabs>
    </w:pPr>
  </w:style>
  <w:style w:type="character" w:customStyle="1" w:styleId="HeaderChar">
    <w:name w:val="Header Char"/>
    <w:basedOn w:val="DefaultParagraphFont"/>
    <w:link w:val="Header"/>
    <w:uiPriority w:val="99"/>
    <w:rsid w:val="00092025"/>
  </w:style>
  <w:style w:type="paragraph" w:styleId="Footer">
    <w:name w:val="footer"/>
    <w:basedOn w:val="Normal"/>
    <w:link w:val="FooterChar"/>
    <w:uiPriority w:val="99"/>
    <w:unhideWhenUsed/>
    <w:rsid w:val="00092025"/>
    <w:pPr>
      <w:tabs>
        <w:tab w:val="center" w:pos="4513"/>
        <w:tab w:val="right" w:pos="9026"/>
      </w:tabs>
    </w:pPr>
  </w:style>
  <w:style w:type="character" w:customStyle="1" w:styleId="FooterChar">
    <w:name w:val="Footer Char"/>
    <w:basedOn w:val="DefaultParagraphFont"/>
    <w:link w:val="Footer"/>
    <w:uiPriority w:val="99"/>
    <w:rsid w:val="00092025"/>
  </w:style>
  <w:style w:type="paragraph" w:styleId="BalloonText">
    <w:name w:val="Balloon Text"/>
    <w:basedOn w:val="Normal"/>
    <w:link w:val="BalloonTextChar"/>
    <w:uiPriority w:val="99"/>
    <w:semiHidden/>
    <w:unhideWhenUsed/>
    <w:rsid w:val="00F21F04"/>
    <w:rPr>
      <w:rFonts w:ascii="Tahoma" w:hAnsi="Tahoma" w:cs="Tahoma"/>
      <w:sz w:val="16"/>
      <w:szCs w:val="16"/>
    </w:rPr>
  </w:style>
  <w:style w:type="character" w:customStyle="1" w:styleId="BalloonTextChar">
    <w:name w:val="Balloon Text Char"/>
    <w:basedOn w:val="DefaultParagraphFont"/>
    <w:link w:val="BalloonText"/>
    <w:uiPriority w:val="99"/>
    <w:semiHidden/>
    <w:rsid w:val="00F21F04"/>
    <w:rPr>
      <w:rFonts w:ascii="Tahoma" w:hAnsi="Tahoma" w:cs="Tahoma"/>
      <w:sz w:val="16"/>
      <w:szCs w:val="16"/>
    </w:rPr>
  </w:style>
  <w:style w:type="paragraph" w:styleId="Revision">
    <w:name w:val="Revision"/>
    <w:hidden/>
    <w:uiPriority w:val="99"/>
    <w:semiHidden/>
    <w:rsid w:val="00B3531E"/>
    <w:pPr>
      <w:jc w:val="left"/>
    </w:pPr>
  </w:style>
  <w:style w:type="paragraph" w:styleId="NormalWeb">
    <w:name w:val="Normal (Web)"/>
    <w:basedOn w:val="Normal"/>
    <w:uiPriority w:val="99"/>
    <w:rsid w:val="001A4870"/>
    <w:pPr>
      <w:spacing w:before="100" w:beforeAutospacing="1" w:after="100" w:afterAutospacing="1"/>
      <w:jc w:val="left"/>
    </w:pPr>
    <w:rPr>
      <w:rFonts w:eastAsia="Times New Roman" w:cs="Times New Roman"/>
      <w:sz w:val="24"/>
      <w:szCs w:val="24"/>
      <w:lang w:val="en-US"/>
    </w:rPr>
  </w:style>
  <w:style w:type="character" w:styleId="CommentReference">
    <w:name w:val="annotation reference"/>
    <w:semiHidden/>
    <w:rsid w:val="00207B20"/>
    <w:rPr>
      <w:sz w:val="16"/>
      <w:szCs w:val="16"/>
    </w:rPr>
  </w:style>
  <w:style w:type="paragraph" w:styleId="CommentText">
    <w:name w:val="annotation text"/>
    <w:basedOn w:val="Normal"/>
    <w:link w:val="CommentTextChar"/>
    <w:semiHidden/>
    <w:rsid w:val="00207B20"/>
    <w:pPr>
      <w:jc w:val="left"/>
    </w:pPr>
    <w:rPr>
      <w:rFonts w:eastAsia="MS Mincho" w:cs="Times New Roman"/>
      <w:sz w:val="20"/>
      <w:szCs w:val="20"/>
      <w:lang w:val="en-US"/>
    </w:rPr>
  </w:style>
  <w:style w:type="character" w:customStyle="1" w:styleId="CommentTextChar">
    <w:name w:val="Comment Text Char"/>
    <w:basedOn w:val="DefaultParagraphFont"/>
    <w:link w:val="CommentText"/>
    <w:semiHidden/>
    <w:rsid w:val="00207B20"/>
    <w:rPr>
      <w:rFonts w:eastAsia="MS Mincho" w:cs="Times New Roman"/>
      <w:sz w:val="20"/>
      <w:szCs w:val="20"/>
      <w:lang w:val="en-US"/>
    </w:rPr>
  </w:style>
  <w:style w:type="paragraph" w:styleId="ListParagraph">
    <w:name w:val="List Paragraph"/>
    <w:basedOn w:val="Normal"/>
    <w:uiPriority w:val="34"/>
    <w:qFormat/>
    <w:rsid w:val="00D835DD"/>
    <w:pPr>
      <w:ind w:left="720"/>
      <w:jc w:val="left"/>
    </w:pPr>
    <w:rPr>
      <w:rFonts w:eastAsia="MS Mincho" w:cs="Times New Roman"/>
      <w:sz w:val="24"/>
      <w:szCs w:val="24"/>
      <w:lang w:val="en-US"/>
    </w:rPr>
  </w:style>
  <w:style w:type="character" w:customStyle="1" w:styleId="normal-h1">
    <w:name w:val="normal-h1"/>
    <w:rsid w:val="006171A5"/>
    <w:rPr>
      <w:rFonts w:ascii="Times New Roman" w:hAnsi="Times New Roman" w:cs="Times New Roman" w:hint="default"/>
      <w:sz w:val="28"/>
      <w:szCs w:val="28"/>
    </w:rPr>
  </w:style>
  <w:style w:type="character" w:customStyle="1" w:styleId="heading5-h1">
    <w:name w:val="heading5-h1"/>
    <w:rsid w:val="00705C48"/>
    <w:rPr>
      <w:rFonts w:ascii="Times New Roman" w:hAnsi="Times New Roman" w:cs="Times New Roman" w:hint="default"/>
      <w:b/>
      <w:bCs/>
      <w:sz w:val="28"/>
      <w:szCs w:val="28"/>
    </w:rPr>
  </w:style>
  <w:style w:type="character" w:customStyle="1" w:styleId="Bodytext">
    <w:name w:val="Body text_"/>
    <w:link w:val="BodyText4"/>
    <w:rsid w:val="00F74537"/>
    <w:rPr>
      <w:sz w:val="26"/>
      <w:szCs w:val="26"/>
      <w:shd w:val="clear" w:color="auto" w:fill="FFFFFF"/>
    </w:rPr>
  </w:style>
  <w:style w:type="paragraph" w:customStyle="1" w:styleId="BodyText4">
    <w:name w:val="Body Text4"/>
    <w:basedOn w:val="Normal"/>
    <w:link w:val="Bodytext"/>
    <w:rsid w:val="00F74537"/>
    <w:pPr>
      <w:widowControl w:val="0"/>
      <w:shd w:val="clear" w:color="auto" w:fill="FFFFFF"/>
      <w:spacing w:before="480" w:after="780" w:line="0" w:lineRule="atLeas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3EF0-CE64-4AB4-92DD-09CD4E2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Tran Le Hang (VTTh)</cp:lastModifiedBy>
  <cp:revision>2</cp:revision>
  <cp:lastPrinted>2020-07-17T09:51:00Z</cp:lastPrinted>
  <dcterms:created xsi:type="dcterms:W3CDTF">2021-04-28T08:40:00Z</dcterms:created>
  <dcterms:modified xsi:type="dcterms:W3CDTF">2021-04-28T08:40:00Z</dcterms:modified>
</cp:coreProperties>
</file>