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DE1" w:rsidRPr="001D4DE1" w:rsidRDefault="001D4DE1" w:rsidP="001D4DE1">
      <w:pPr>
        <w:spacing w:after="0" w:line="288" w:lineRule="auto"/>
        <w:ind w:firstLine="680"/>
        <w:rPr>
          <w:rFonts w:ascii="Arial" w:hAnsi="Arial" w:cs="Arial"/>
          <w:spacing w:val="-4"/>
          <w:sz w:val="20"/>
          <w:szCs w:val="20"/>
          <w:lang w:val="pt-BR"/>
        </w:rPr>
      </w:pPr>
      <w:r w:rsidRPr="001D4DE1">
        <w:rPr>
          <w:rFonts w:ascii="Arial" w:hAnsi="Arial" w:cs="Arial"/>
          <w:spacing w:val="-4"/>
          <w:sz w:val="20"/>
          <w:szCs w:val="20"/>
          <w:lang w:val="pt-BR"/>
        </w:rPr>
        <w:t xml:space="preserve">Ngân hàng Nhà nước Việt Nam (NHNN) nhận được 01 kiến nghị của cử tri tỉnh Nghệ An gửi tới sau Kỳ họp thứ 8, Quốc hội khóa XV do Ban Dân nguyện chuyển đến theo văn bản số 18/BDN ngày 14/01/2025. </w:t>
      </w:r>
    </w:p>
    <w:p w:rsidR="0020279B" w:rsidRPr="00D006C6" w:rsidRDefault="0020279B" w:rsidP="00D006C6">
      <w:pPr>
        <w:spacing w:after="0" w:line="288" w:lineRule="auto"/>
        <w:ind w:firstLine="680"/>
        <w:rPr>
          <w:rFonts w:ascii="Arial" w:hAnsi="Arial" w:cs="Arial"/>
          <w:b/>
          <w:spacing w:val="-4"/>
          <w:sz w:val="20"/>
          <w:szCs w:val="20"/>
          <w:lang w:val="pt-BR"/>
        </w:rPr>
      </w:pPr>
      <w:r w:rsidRPr="00D006C6">
        <w:rPr>
          <w:rFonts w:ascii="Arial" w:hAnsi="Arial" w:cs="Arial"/>
          <w:b/>
          <w:spacing w:val="-4"/>
          <w:sz w:val="20"/>
          <w:szCs w:val="20"/>
          <w:lang w:val="pt-BR"/>
        </w:rPr>
        <w:t xml:space="preserve">Ngân hàng Nhà nước Việt Nam trân trọng cảm ơn Đoàn Đại biểu Quốc hội </w:t>
      </w:r>
      <w:r w:rsidR="00DE1D5D">
        <w:rPr>
          <w:rFonts w:ascii="Arial" w:hAnsi="Arial" w:cs="Arial"/>
          <w:b/>
          <w:spacing w:val="-4"/>
          <w:sz w:val="20"/>
          <w:szCs w:val="20"/>
          <w:lang w:val="pt-BR"/>
        </w:rPr>
        <w:t>tỉ</w:t>
      </w:r>
      <w:r w:rsidR="008262A8">
        <w:rPr>
          <w:rFonts w:ascii="Arial" w:hAnsi="Arial" w:cs="Arial"/>
          <w:b/>
          <w:spacing w:val="-4"/>
          <w:sz w:val="20"/>
          <w:szCs w:val="20"/>
          <w:lang w:val="pt-BR"/>
        </w:rPr>
        <w:t xml:space="preserve">nh </w:t>
      </w:r>
      <w:r w:rsidR="001D4DE1">
        <w:rPr>
          <w:rFonts w:ascii="Arial" w:hAnsi="Arial" w:cs="Arial"/>
          <w:b/>
          <w:spacing w:val="-4"/>
          <w:sz w:val="20"/>
          <w:szCs w:val="20"/>
          <w:lang w:val="pt-BR"/>
        </w:rPr>
        <w:t>Nghệ An</w:t>
      </w:r>
      <w:r w:rsidRPr="00D006C6">
        <w:rPr>
          <w:rFonts w:ascii="Arial" w:hAnsi="Arial" w:cs="Arial"/>
          <w:b/>
          <w:spacing w:val="-4"/>
          <w:sz w:val="20"/>
          <w:szCs w:val="20"/>
          <w:lang w:val="pt-BR"/>
        </w:rPr>
        <w:t xml:space="preserve"> và xin báo cáo như sau:</w:t>
      </w:r>
    </w:p>
    <w:p w:rsidR="001D4DE1" w:rsidRDefault="00352504" w:rsidP="007C26BF">
      <w:pPr>
        <w:spacing w:after="0" w:line="288" w:lineRule="auto"/>
        <w:ind w:firstLine="680"/>
        <w:rPr>
          <w:rFonts w:ascii="Arial" w:hAnsi="Arial" w:cs="Arial"/>
          <w:i/>
          <w:spacing w:val="-4"/>
          <w:sz w:val="20"/>
          <w:szCs w:val="20"/>
        </w:rPr>
      </w:pPr>
      <w:r w:rsidRPr="00E07DF9">
        <w:rPr>
          <w:rFonts w:ascii="Arial" w:hAnsi="Arial" w:cs="Arial"/>
          <w:b/>
          <w:spacing w:val="-4"/>
          <w:sz w:val="20"/>
          <w:szCs w:val="20"/>
          <w:lang w:val="pt-BR"/>
        </w:rPr>
        <w:t>Kiến nghị của cử tri:</w:t>
      </w:r>
      <w:r w:rsidRPr="00D006C6">
        <w:rPr>
          <w:rFonts w:ascii="Arial" w:hAnsi="Arial" w:cs="Arial"/>
          <w:spacing w:val="-4"/>
          <w:sz w:val="20"/>
          <w:szCs w:val="20"/>
          <w:lang w:val="pt-BR"/>
        </w:rPr>
        <w:t xml:space="preserve"> </w:t>
      </w:r>
      <w:r w:rsidR="001D4DE1" w:rsidRPr="001D4DE1">
        <w:rPr>
          <w:rFonts w:ascii="Arial" w:hAnsi="Arial" w:cs="Arial"/>
          <w:spacing w:val="-4"/>
          <w:sz w:val="20"/>
          <w:szCs w:val="20"/>
          <w:lang w:val="pt-BR"/>
        </w:rPr>
        <w:t>“</w:t>
      </w:r>
      <w:r w:rsidR="001D4DE1" w:rsidRPr="001D4DE1">
        <w:rPr>
          <w:rFonts w:ascii="Arial" w:hAnsi="Arial" w:cs="Arial"/>
          <w:spacing w:val="-4"/>
          <w:sz w:val="20"/>
          <w:szCs w:val="20"/>
        </w:rPr>
        <w:t>Cử tri tỉnh Nghệ An phản ánh tại Điều 24 Luật Bảo hiểm tiền gửi quy định hạn mức trả tiền bảo hiểm là số tiền tối đa mà tổ chức bảo hiểm tiền gửi trả cho tất cả các khoản tiền gửi được bảo hiểm của một người tại một tổ chức tham gia bảo hiểm tiền gửi khi phát sinh nghĩa vụ trả tiền bảo hiểm. Hạn mức trả tiền bảo hiểm do Thủ tướng Chính phủ quy định theo đề nghị của Ngân hàng Nhà nước Việt Nam trong từng thời kỳ. Theo quy định này, trường hợp tổng số dư tiền gửi của một người gửi tiền tại một tổ chức tham gia bảo hiểm tiền gửi lớn hơn hạn mức trả tiền bảo hiểm thì khi phát sinh nghĩa vụ trả tiền bảo hiểm, số tiền Bảo hiểm tiền gửi Việt Nam trả cho tất cả các khoản tiền gửi được bảo hiểm của người đó (bao gồm tiền gốc và tiền lãi) tối đa sẽ bằng hạn mức trả tiền bảo hiểm. Tuy nhiên, theo quy định tại Điều 188 Luật Các tổ chức tín dụng năm 2024, quy định: Sau khi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 Với quy định tại Điều 188 Luật Các tổ chức tín dụng năm 2024 thì bên cạnh hạn mức trả tiền bảo hiểm 125 triệu đồng thực hiện theo Quyết định của Thủ tướng Chính phủ, trong từng trường hợp cụ thể, Ngân hàng Nhà nước có thể trình Thủ tướng Chinh phủ quyết định chi trả toàn bộ cho người gửi tiền. Kiến nghị Ngân hàng Nhà nước báo cáo Chính phủ trình Quốc hội sửa đổi, bổ sung quy định về hạn mức trả tiền bảo hiểm để đảm bảo tính thống nhất giữa Luật Các tổ chức tín dụng và Luật Bảo hiểm tiền gửi.”</w:t>
      </w:r>
    </w:p>
    <w:p w:rsidR="007C26BF" w:rsidRPr="007C26BF" w:rsidRDefault="00B835AB" w:rsidP="007C26BF">
      <w:pPr>
        <w:spacing w:after="0" w:line="288" w:lineRule="auto"/>
        <w:ind w:firstLine="680"/>
        <w:rPr>
          <w:rFonts w:ascii="Arial" w:hAnsi="Arial" w:cs="Arial"/>
          <w:spacing w:val="-4"/>
          <w:sz w:val="20"/>
          <w:szCs w:val="20"/>
          <w:lang w:val="pt-BR"/>
        </w:rPr>
      </w:pPr>
      <w:r w:rsidRPr="00BC3D88">
        <w:rPr>
          <w:rFonts w:ascii="Arial" w:hAnsi="Arial" w:cs="Arial"/>
          <w:spacing w:val="-4"/>
          <w:sz w:val="20"/>
          <w:szCs w:val="20"/>
          <w:lang w:val="pt-BR"/>
        </w:rPr>
        <w:t>Trả lời:</w:t>
      </w:r>
    </w:p>
    <w:p w:rsidR="001D4DE1" w:rsidRPr="001D4DE1" w:rsidRDefault="001D4DE1" w:rsidP="001D4DE1">
      <w:pPr>
        <w:spacing w:after="0" w:line="288" w:lineRule="auto"/>
        <w:ind w:firstLine="680"/>
        <w:rPr>
          <w:rFonts w:ascii="Arial" w:hAnsi="Arial" w:cs="Arial"/>
          <w:bCs/>
          <w:iCs/>
          <w:spacing w:val="-4"/>
          <w:sz w:val="20"/>
          <w:szCs w:val="20"/>
        </w:rPr>
      </w:pPr>
      <w:r w:rsidRPr="001D4DE1">
        <w:rPr>
          <w:rFonts w:ascii="Arial" w:hAnsi="Arial" w:cs="Arial"/>
          <w:bCs/>
          <w:iCs/>
          <w:spacing w:val="-4"/>
          <w:sz w:val="20"/>
          <w:szCs w:val="20"/>
        </w:rPr>
        <w:t>Khoản 2 Điều 24 Luật Bảo hiểm tiền gửi năm 2012 quy định: “</w:t>
      </w:r>
      <w:r w:rsidRPr="001D4DE1">
        <w:rPr>
          <w:rFonts w:ascii="Arial" w:hAnsi="Arial" w:cs="Arial"/>
          <w:bCs/>
          <w:i/>
          <w:iCs/>
          <w:spacing w:val="-4"/>
          <w:sz w:val="20"/>
          <w:szCs w:val="20"/>
        </w:rPr>
        <w:t>Thủ tướng Chính phủ quy định hạn mức trả tiền bảo hiểm theo đề nghị của Ngân hàng Nhà nước Việt Nam trong từng thời kỳ</w:t>
      </w:r>
      <w:r w:rsidRPr="001D4DE1">
        <w:rPr>
          <w:rFonts w:ascii="Arial" w:hAnsi="Arial" w:cs="Arial"/>
          <w:bCs/>
          <w:iCs/>
          <w:spacing w:val="-4"/>
          <w:sz w:val="20"/>
          <w:szCs w:val="20"/>
        </w:rPr>
        <w:t>”.</w:t>
      </w:r>
    </w:p>
    <w:p w:rsidR="001D4DE1" w:rsidRPr="001D4DE1" w:rsidRDefault="001D4DE1" w:rsidP="001D4DE1">
      <w:pPr>
        <w:spacing w:after="0" w:line="288" w:lineRule="auto"/>
        <w:ind w:firstLine="680"/>
        <w:rPr>
          <w:rFonts w:ascii="Arial" w:hAnsi="Arial" w:cs="Arial"/>
          <w:bCs/>
          <w:iCs/>
          <w:spacing w:val="-4"/>
          <w:sz w:val="20"/>
          <w:szCs w:val="20"/>
        </w:rPr>
      </w:pPr>
      <w:r w:rsidRPr="001D4DE1">
        <w:rPr>
          <w:rFonts w:ascii="Arial" w:hAnsi="Arial" w:cs="Arial"/>
          <w:bCs/>
          <w:iCs/>
          <w:spacing w:val="-4"/>
          <w:sz w:val="20"/>
          <w:szCs w:val="20"/>
        </w:rPr>
        <w:tab/>
        <w:t xml:space="preserve">Khoản 2 Điều 188 Luật Các tổ chức tín dụng năm 2024 quy định: “… </w:t>
      </w:r>
      <w:r w:rsidRPr="001D4DE1">
        <w:rPr>
          <w:rFonts w:ascii="Arial" w:hAnsi="Arial" w:cs="Arial"/>
          <w:bCs/>
          <w:i/>
          <w:iCs/>
          <w:spacing w:val="-4"/>
          <w:sz w:val="20"/>
          <w:szCs w:val="20"/>
        </w:rPr>
        <w:t>Sau khi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w:t>
      </w:r>
      <w:r w:rsidRPr="001D4DE1">
        <w:rPr>
          <w:rFonts w:ascii="Arial" w:hAnsi="Arial" w:cs="Arial"/>
          <w:bCs/>
          <w:iCs/>
          <w:spacing w:val="-4"/>
          <w:sz w:val="20"/>
          <w:szCs w:val="20"/>
        </w:rPr>
        <w:t>”.</w:t>
      </w:r>
    </w:p>
    <w:p w:rsidR="001D4DE1" w:rsidRPr="001D4DE1" w:rsidRDefault="001D4DE1" w:rsidP="001D4DE1">
      <w:pPr>
        <w:spacing w:after="0" w:line="288" w:lineRule="auto"/>
        <w:ind w:firstLine="680"/>
        <w:rPr>
          <w:rFonts w:ascii="Arial" w:hAnsi="Arial" w:cs="Arial"/>
          <w:bCs/>
          <w:iCs/>
          <w:spacing w:val="-4"/>
          <w:sz w:val="20"/>
          <w:szCs w:val="20"/>
        </w:rPr>
      </w:pPr>
      <w:r w:rsidRPr="001D4DE1">
        <w:rPr>
          <w:rFonts w:ascii="Arial" w:hAnsi="Arial" w:cs="Arial"/>
          <w:bCs/>
          <w:iCs/>
          <w:spacing w:val="-4"/>
          <w:sz w:val="20"/>
          <w:szCs w:val="20"/>
        </w:rPr>
        <w:t>Theo quy định tại Luật Bảo hiểm tiền gửi năm 2012, Thủ tướng Chính phủ sẽ quy định hạn mức trả tiền bảo hiểm theo đề nghị của Ngân hàng Nhà nước trong từng thời kỳ. Luật Các tổ chức tín dụng năm 2024 giao Thủ tướng Chính phủ quyết định hạn mức chi trả bảo hiểm tiền gửi cho người gửi tiền trên cơ sở đề nghị của Ngân hàng Nhà nước trong từng trường hợp cụ thể sau khi phương án phá sản của tổ chức tín dụng được kiểm soát đặc biệt đã được phê duyệt theo quy định pháp luật.</w:t>
      </w:r>
    </w:p>
    <w:p w:rsidR="001D4DE1" w:rsidRPr="001D4DE1" w:rsidRDefault="001D4DE1" w:rsidP="001D4DE1">
      <w:pPr>
        <w:spacing w:after="0" w:line="288" w:lineRule="auto"/>
        <w:ind w:firstLine="680"/>
        <w:rPr>
          <w:rFonts w:ascii="Arial" w:hAnsi="Arial" w:cs="Arial"/>
          <w:bCs/>
          <w:iCs/>
          <w:spacing w:val="-4"/>
          <w:sz w:val="20"/>
          <w:szCs w:val="20"/>
        </w:rPr>
      </w:pPr>
      <w:r w:rsidRPr="001D4DE1">
        <w:rPr>
          <w:rFonts w:ascii="Arial" w:hAnsi="Arial" w:cs="Arial"/>
          <w:bCs/>
          <w:iCs/>
          <w:spacing w:val="-4"/>
          <w:sz w:val="20"/>
          <w:szCs w:val="20"/>
        </w:rPr>
        <w:t xml:space="preserve">Như vậy, Thủ tướng Chính phủ ban hành quy định về hạn mức chi trả bảo hiểm tiền gửi cho người gửi tiền để áp dụng chung cho các tổ chức có nhận tiền gửi. Riêng tổ chức tín dụng được kiểm soát đặc biệt và có phương án phá sản được phê duyệt, tùy mức độ ảnh hưởng và tác động đến người gửi tiền cũng như an toàn hệ thống tổ chức tín dụng, Thủ tướng Chính phủ có thể phê duyệt mức chi trả bảo hiểm tiền gửi khác với mức chung và tối đa có thể bằng số tiền gửi của cá nhân được bảo hiểm tại tổ chức tín dụng. Đây là hạn mức chi trả cụ thể được áp dụng cho từng trường hợp cụ thể phát sinh trên thực tế. </w:t>
      </w:r>
    </w:p>
    <w:p w:rsidR="001D4DE1" w:rsidRPr="001D4DE1" w:rsidRDefault="001D4DE1" w:rsidP="001D4DE1">
      <w:pPr>
        <w:spacing w:after="0" w:line="288" w:lineRule="auto"/>
        <w:ind w:firstLine="680"/>
        <w:rPr>
          <w:rFonts w:ascii="Arial" w:hAnsi="Arial" w:cs="Arial"/>
          <w:bCs/>
          <w:iCs/>
          <w:spacing w:val="-4"/>
          <w:sz w:val="20"/>
          <w:szCs w:val="20"/>
        </w:rPr>
      </w:pPr>
      <w:r w:rsidRPr="001D4DE1">
        <w:rPr>
          <w:rFonts w:ascii="Arial" w:hAnsi="Arial" w:cs="Arial"/>
          <w:bCs/>
          <w:iCs/>
          <w:spacing w:val="-4"/>
          <w:sz w:val="20"/>
          <w:szCs w:val="20"/>
        </w:rPr>
        <w:t>Do đó, các quy định về hạn mức chi trả bảo hiểm tiền gửi tại Luật Các tổ chức tín dụng năm 2024 và Luật bảo hiểm tiền gửi năm 2012 thống nhất.</w:t>
      </w:r>
      <w:bookmarkStart w:id="0" w:name="_GoBack"/>
      <w:bookmarkEnd w:id="0"/>
    </w:p>
    <w:p w:rsidR="001D4DE1" w:rsidRPr="001D4DE1" w:rsidRDefault="001D4DE1" w:rsidP="001D4DE1">
      <w:pPr>
        <w:spacing w:after="0" w:line="288" w:lineRule="auto"/>
        <w:ind w:firstLine="680"/>
        <w:rPr>
          <w:rFonts w:ascii="Arial" w:hAnsi="Arial" w:cs="Arial"/>
          <w:bCs/>
          <w:iCs/>
          <w:spacing w:val="-4"/>
          <w:sz w:val="20"/>
          <w:szCs w:val="20"/>
          <w:lang w:val="it"/>
        </w:rPr>
      </w:pPr>
      <w:r w:rsidRPr="001D4DE1">
        <w:rPr>
          <w:rFonts w:ascii="Arial" w:hAnsi="Arial" w:cs="Arial"/>
          <w:bCs/>
          <w:iCs/>
          <w:spacing w:val="-4"/>
          <w:sz w:val="20"/>
          <w:szCs w:val="20"/>
          <w:lang w:val="it"/>
        </w:rPr>
        <w:t>Trên đây là ý kiến trả lời của Ngân hàng Nhà nước Việt Nam về nội dung kiến nghị của cử tri tỉnh Nghệ An. Ngân hàng Nhà nước Việt Nam trân trọng cảm ơn và rất mong tiếp tục nhận được sự quan tâm của cử tri đối với hoạt động ngân hàng./.</w:t>
      </w:r>
    </w:p>
    <w:p w:rsidR="00535B31" w:rsidRPr="00CE58A6" w:rsidRDefault="00535B31" w:rsidP="001D4DE1">
      <w:pPr>
        <w:spacing w:after="0" w:line="288" w:lineRule="auto"/>
        <w:ind w:firstLine="680"/>
        <w:rPr>
          <w:lang w:val="pt-BR"/>
        </w:rPr>
      </w:pPr>
    </w:p>
    <w:sectPr w:rsidR="00535B31" w:rsidRPr="00CE58A6" w:rsidSect="000B0494">
      <w:headerReference w:type="default" r:id="rId10"/>
      <w:footerReference w:type="default" r:id="rId11"/>
      <w:headerReference w:type="first" r:id="rId12"/>
      <w:footerReference w:type="first" r:id="rId13"/>
      <w:pgSz w:w="11907" w:h="16840" w:code="9"/>
      <w:pgMar w:top="1134" w:right="1134" w:bottom="1134" w:left="1701" w:header="510"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17" w:rsidRDefault="00D22917">
      <w:pPr>
        <w:spacing w:before="0" w:after="0"/>
      </w:pPr>
      <w:r>
        <w:separator/>
      </w:r>
    </w:p>
  </w:endnote>
  <w:endnote w:type="continuationSeparator" w:id="0">
    <w:p w:rsidR="00D22917" w:rsidRDefault="00D229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E" w:rsidRPr="004777F8" w:rsidRDefault="00D22917" w:rsidP="004777F8">
    <w:pPr>
      <w:pStyle w:val="Footer"/>
      <w:rPr>
        <w:lang w:val="en-US"/>
      </w:rPr>
    </w:pPr>
  </w:p>
  <w:p w:rsidR="00626EBE" w:rsidRDefault="00D22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E" w:rsidRDefault="00D22917" w:rsidP="008137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17" w:rsidRDefault="00D22917">
      <w:pPr>
        <w:spacing w:before="0" w:after="0"/>
      </w:pPr>
      <w:r>
        <w:separator/>
      </w:r>
    </w:p>
  </w:footnote>
  <w:footnote w:type="continuationSeparator" w:id="0">
    <w:p w:rsidR="00D22917" w:rsidRDefault="00D2291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970589"/>
      <w:docPartObj>
        <w:docPartGallery w:val="Page Numbers (Top of Page)"/>
        <w:docPartUnique/>
      </w:docPartObj>
    </w:sdtPr>
    <w:sdtEndPr>
      <w:rPr>
        <w:noProof/>
      </w:rPr>
    </w:sdtEndPr>
    <w:sdtContent>
      <w:p w:rsidR="0094655A" w:rsidRDefault="0094655A">
        <w:pPr>
          <w:pStyle w:val="Header"/>
          <w:jc w:val="center"/>
        </w:pPr>
        <w:r>
          <w:fldChar w:fldCharType="begin"/>
        </w:r>
        <w:r>
          <w:instrText xml:space="preserve"> PAGE   \* MERGEFORMAT </w:instrText>
        </w:r>
        <w:r>
          <w:fldChar w:fldCharType="separate"/>
        </w:r>
        <w:r w:rsidR="001D4DE1">
          <w:rPr>
            <w:noProof/>
          </w:rPr>
          <w:t>2</w:t>
        </w:r>
        <w:r>
          <w:rPr>
            <w:noProof/>
          </w:rPr>
          <w:fldChar w:fldCharType="end"/>
        </w:r>
      </w:p>
    </w:sdtContent>
  </w:sdt>
  <w:p w:rsidR="0094655A" w:rsidRDefault="00946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CC" w:rsidRPr="00BD15AF" w:rsidRDefault="00D22917" w:rsidP="00AC1AF0">
    <w:pPr>
      <w:pStyle w:val="Header"/>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1AA4"/>
    <w:multiLevelType w:val="hybridMultilevel"/>
    <w:tmpl w:val="5AF494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A96B91"/>
    <w:multiLevelType w:val="hybridMultilevel"/>
    <w:tmpl w:val="E4B217B6"/>
    <w:styleLink w:val="Numbered"/>
    <w:lvl w:ilvl="0" w:tplc="0F4AE47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B06F42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B18260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E2E712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21A58E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20EF5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F5E4DC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36C561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90E51F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FDD266C"/>
    <w:multiLevelType w:val="multilevel"/>
    <w:tmpl w:val="16E842DA"/>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4">
    <w:nsid w:val="55294B2B"/>
    <w:multiLevelType w:val="hybridMultilevel"/>
    <w:tmpl w:val="E4B217B6"/>
    <w:numStyleLink w:val="Numbered"/>
  </w:abstractNum>
  <w:abstractNum w:abstractNumId="5">
    <w:nsid w:val="5EA35170"/>
    <w:multiLevelType w:val="multilevel"/>
    <w:tmpl w:val="13C61B3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606E3352"/>
    <w:multiLevelType w:val="hybridMultilevel"/>
    <w:tmpl w:val="779AAB6C"/>
    <w:lvl w:ilvl="0" w:tplc="62ACE34C">
      <w:start w:val="4"/>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A061CCF"/>
    <w:multiLevelType w:val="hybridMultilevel"/>
    <w:tmpl w:val="E4B217B6"/>
    <w:lvl w:ilvl="0" w:tplc="FFFFFFFF">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5"/>
  </w:num>
  <w:num w:numId="3">
    <w:abstractNumId w:val="0"/>
  </w:num>
  <w:num w:numId="4">
    <w:abstractNumId w:val="2"/>
  </w:num>
  <w:num w:numId="5">
    <w:abstractNumId w:val="1"/>
  </w:num>
  <w:num w:numId="6">
    <w:abstractNumId w:val="4"/>
    <w:lvlOverride w:ilvl="0">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C1"/>
    <w:rsid w:val="000002EE"/>
    <w:rsid w:val="00000723"/>
    <w:rsid w:val="000035FB"/>
    <w:rsid w:val="00011D7A"/>
    <w:rsid w:val="00012526"/>
    <w:rsid w:val="00015F33"/>
    <w:rsid w:val="00023159"/>
    <w:rsid w:val="0003143A"/>
    <w:rsid w:val="0003727A"/>
    <w:rsid w:val="000420DC"/>
    <w:rsid w:val="000564E3"/>
    <w:rsid w:val="0005778B"/>
    <w:rsid w:val="00057797"/>
    <w:rsid w:val="000618C1"/>
    <w:rsid w:val="00064A16"/>
    <w:rsid w:val="00065873"/>
    <w:rsid w:val="000660E3"/>
    <w:rsid w:val="00067B23"/>
    <w:rsid w:val="00072544"/>
    <w:rsid w:val="000814BA"/>
    <w:rsid w:val="00084B65"/>
    <w:rsid w:val="00085349"/>
    <w:rsid w:val="00090257"/>
    <w:rsid w:val="00091D72"/>
    <w:rsid w:val="00092CA4"/>
    <w:rsid w:val="00095403"/>
    <w:rsid w:val="000A06F1"/>
    <w:rsid w:val="000A195A"/>
    <w:rsid w:val="000A2421"/>
    <w:rsid w:val="000A2A10"/>
    <w:rsid w:val="000A3D4B"/>
    <w:rsid w:val="000A49A2"/>
    <w:rsid w:val="000A5400"/>
    <w:rsid w:val="000A63B0"/>
    <w:rsid w:val="000B0494"/>
    <w:rsid w:val="000B07A3"/>
    <w:rsid w:val="000B33A7"/>
    <w:rsid w:val="000B392C"/>
    <w:rsid w:val="000B5956"/>
    <w:rsid w:val="000C0FA4"/>
    <w:rsid w:val="000D1EB0"/>
    <w:rsid w:val="000D2CBC"/>
    <w:rsid w:val="000D42F7"/>
    <w:rsid w:val="000E4ED0"/>
    <w:rsid w:val="000E56DD"/>
    <w:rsid w:val="000F16F1"/>
    <w:rsid w:val="00103FF7"/>
    <w:rsid w:val="00105D75"/>
    <w:rsid w:val="00115597"/>
    <w:rsid w:val="00117F4D"/>
    <w:rsid w:val="0013048B"/>
    <w:rsid w:val="001344EF"/>
    <w:rsid w:val="001368B4"/>
    <w:rsid w:val="00145FDE"/>
    <w:rsid w:val="0015000D"/>
    <w:rsid w:val="0015120E"/>
    <w:rsid w:val="00151241"/>
    <w:rsid w:val="00152B0E"/>
    <w:rsid w:val="00166858"/>
    <w:rsid w:val="00174C1D"/>
    <w:rsid w:val="00180F92"/>
    <w:rsid w:val="00181F09"/>
    <w:rsid w:val="00183B26"/>
    <w:rsid w:val="0019289C"/>
    <w:rsid w:val="001A590D"/>
    <w:rsid w:val="001A5B6D"/>
    <w:rsid w:val="001B03C9"/>
    <w:rsid w:val="001D258A"/>
    <w:rsid w:val="001D38D7"/>
    <w:rsid w:val="001D4DE1"/>
    <w:rsid w:val="001D5F76"/>
    <w:rsid w:val="001E2F81"/>
    <w:rsid w:val="001E3424"/>
    <w:rsid w:val="001F0D2C"/>
    <w:rsid w:val="001F366D"/>
    <w:rsid w:val="0020230B"/>
    <w:rsid w:val="0020279B"/>
    <w:rsid w:val="00203627"/>
    <w:rsid w:val="00206FB2"/>
    <w:rsid w:val="00207C3C"/>
    <w:rsid w:val="00214D39"/>
    <w:rsid w:val="0021761A"/>
    <w:rsid w:val="002222C0"/>
    <w:rsid w:val="0022232D"/>
    <w:rsid w:val="00222A70"/>
    <w:rsid w:val="00223F13"/>
    <w:rsid w:val="002308ED"/>
    <w:rsid w:val="002310E7"/>
    <w:rsid w:val="002328E2"/>
    <w:rsid w:val="0024018A"/>
    <w:rsid w:val="00242407"/>
    <w:rsid w:val="0026544B"/>
    <w:rsid w:val="002658EF"/>
    <w:rsid w:val="00265DE8"/>
    <w:rsid w:val="002665AA"/>
    <w:rsid w:val="00270FB9"/>
    <w:rsid w:val="00272061"/>
    <w:rsid w:val="00272749"/>
    <w:rsid w:val="0027325D"/>
    <w:rsid w:val="00276B41"/>
    <w:rsid w:val="00280905"/>
    <w:rsid w:val="002817C4"/>
    <w:rsid w:val="00284DAE"/>
    <w:rsid w:val="00285878"/>
    <w:rsid w:val="00291877"/>
    <w:rsid w:val="002971A6"/>
    <w:rsid w:val="002A16F0"/>
    <w:rsid w:val="002B6639"/>
    <w:rsid w:val="002D5213"/>
    <w:rsid w:val="002D755E"/>
    <w:rsid w:val="002E2DDC"/>
    <w:rsid w:val="00300115"/>
    <w:rsid w:val="00306451"/>
    <w:rsid w:val="003120CC"/>
    <w:rsid w:val="0031734B"/>
    <w:rsid w:val="00326211"/>
    <w:rsid w:val="00331468"/>
    <w:rsid w:val="00334A9D"/>
    <w:rsid w:val="003378A4"/>
    <w:rsid w:val="0034078F"/>
    <w:rsid w:val="003446D0"/>
    <w:rsid w:val="00352504"/>
    <w:rsid w:val="003533C2"/>
    <w:rsid w:val="0035445F"/>
    <w:rsid w:val="00360B13"/>
    <w:rsid w:val="00363C99"/>
    <w:rsid w:val="0036631B"/>
    <w:rsid w:val="00366AF0"/>
    <w:rsid w:val="00372BD6"/>
    <w:rsid w:val="00373CA4"/>
    <w:rsid w:val="003867BC"/>
    <w:rsid w:val="0039557B"/>
    <w:rsid w:val="003A1F31"/>
    <w:rsid w:val="003A3859"/>
    <w:rsid w:val="003A42D1"/>
    <w:rsid w:val="003A7351"/>
    <w:rsid w:val="003B3638"/>
    <w:rsid w:val="003B468A"/>
    <w:rsid w:val="003C77CB"/>
    <w:rsid w:val="003D6C3F"/>
    <w:rsid w:val="003D7D75"/>
    <w:rsid w:val="003E42EB"/>
    <w:rsid w:val="003E5E81"/>
    <w:rsid w:val="003E7D77"/>
    <w:rsid w:val="003F390D"/>
    <w:rsid w:val="003F5735"/>
    <w:rsid w:val="0040499A"/>
    <w:rsid w:val="00404B5D"/>
    <w:rsid w:val="00405BB0"/>
    <w:rsid w:val="00407E10"/>
    <w:rsid w:val="00422515"/>
    <w:rsid w:val="00434269"/>
    <w:rsid w:val="00437F34"/>
    <w:rsid w:val="00444168"/>
    <w:rsid w:val="004455B7"/>
    <w:rsid w:val="00451C50"/>
    <w:rsid w:val="0045428D"/>
    <w:rsid w:val="00460337"/>
    <w:rsid w:val="00460752"/>
    <w:rsid w:val="00465BC0"/>
    <w:rsid w:val="00466C10"/>
    <w:rsid w:val="00470783"/>
    <w:rsid w:val="00470AA3"/>
    <w:rsid w:val="004721D6"/>
    <w:rsid w:val="0047446E"/>
    <w:rsid w:val="004746E6"/>
    <w:rsid w:val="00474BFC"/>
    <w:rsid w:val="00477DCF"/>
    <w:rsid w:val="00482B02"/>
    <w:rsid w:val="00492A0D"/>
    <w:rsid w:val="00492DE3"/>
    <w:rsid w:val="00493819"/>
    <w:rsid w:val="004A2E01"/>
    <w:rsid w:val="004A4696"/>
    <w:rsid w:val="004A51B5"/>
    <w:rsid w:val="004A6DE9"/>
    <w:rsid w:val="004B24C7"/>
    <w:rsid w:val="004B3D10"/>
    <w:rsid w:val="004C030F"/>
    <w:rsid w:val="004C34BC"/>
    <w:rsid w:val="004C6AD9"/>
    <w:rsid w:val="004D0482"/>
    <w:rsid w:val="004E4E7F"/>
    <w:rsid w:val="004F42CA"/>
    <w:rsid w:val="004F43B3"/>
    <w:rsid w:val="004F6B20"/>
    <w:rsid w:val="00501760"/>
    <w:rsid w:val="00512AE4"/>
    <w:rsid w:val="00512AFA"/>
    <w:rsid w:val="00520420"/>
    <w:rsid w:val="00526410"/>
    <w:rsid w:val="00533F54"/>
    <w:rsid w:val="00535B31"/>
    <w:rsid w:val="00540ABB"/>
    <w:rsid w:val="00542028"/>
    <w:rsid w:val="00544EEE"/>
    <w:rsid w:val="005501A7"/>
    <w:rsid w:val="005517E7"/>
    <w:rsid w:val="0055253A"/>
    <w:rsid w:val="00553B3C"/>
    <w:rsid w:val="00560939"/>
    <w:rsid w:val="005677B4"/>
    <w:rsid w:val="00567B33"/>
    <w:rsid w:val="00573902"/>
    <w:rsid w:val="00576B74"/>
    <w:rsid w:val="0057702C"/>
    <w:rsid w:val="00591489"/>
    <w:rsid w:val="005971A2"/>
    <w:rsid w:val="005A3EF2"/>
    <w:rsid w:val="005A5614"/>
    <w:rsid w:val="005A6FC7"/>
    <w:rsid w:val="005B0342"/>
    <w:rsid w:val="005B5E70"/>
    <w:rsid w:val="005B6446"/>
    <w:rsid w:val="005B73F8"/>
    <w:rsid w:val="005C5CA7"/>
    <w:rsid w:val="005C6AC4"/>
    <w:rsid w:val="005D32DA"/>
    <w:rsid w:val="005E0B14"/>
    <w:rsid w:val="005E14AF"/>
    <w:rsid w:val="005F36CA"/>
    <w:rsid w:val="005F68F0"/>
    <w:rsid w:val="005F6FA7"/>
    <w:rsid w:val="0060001A"/>
    <w:rsid w:val="006034A3"/>
    <w:rsid w:val="0061041D"/>
    <w:rsid w:val="00613993"/>
    <w:rsid w:val="0062067C"/>
    <w:rsid w:val="00625D9E"/>
    <w:rsid w:val="00634861"/>
    <w:rsid w:val="00637025"/>
    <w:rsid w:val="00656F12"/>
    <w:rsid w:val="006607DB"/>
    <w:rsid w:val="00665750"/>
    <w:rsid w:val="00672827"/>
    <w:rsid w:val="006748DF"/>
    <w:rsid w:val="0069195A"/>
    <w:rsid w:val="006979AA"/>
    <w:rsid w:val="006A2A88"/>
    <w:rsid w:val="006B39DE"/>
    <w:rsid w:val="006C5748"/>
    <w:rsid w:val="006E1971"/>
    <w:rsid w:val="006E2577"/>
    <w:rsid w:val="006E48DC"/>
    <w:rsid w:val="006E71AA"/>
    <w:rsid w:val="006E771F"/>
    <w:rsid w:val="006E7BD4"/>
    <w:rsid w:val="006F2C78"/>
    <w:rsid w:val="00700BB1"/>
    <w:rsid w:val="00704F0C"/>
    <w:rsid w:val="00710268"/>
    <w:rsid w:val="00710678"/>
    <w:rsid w:val="00714548"/>
    <w:rsid w:val="00716E6E"/>
    <w:rsid w:val="00720487"/>
    <w:rsid w:val="00726524"/>
    <w:rsid w:val="0073370D"/>
    <w:rsid w:val="0073547F"/>
    <w:rsid w:val="00741DC7"/>
    <w:rsid w:val="00756D9D"/>
    <w:rsid w:val="0076239E"/>
    <w:rsid w:val="007663FE"/>
    <w:rsid w:val="00773B49"/>
    <w:rsid w:val="00786389"/>
    <w:rsid w:val="00791375"/>
    <w:rsid w:val="00794164"/>
    <w:rsid w:val="00795ECD"/>
    <w:rsid w:val="007962E1"/>
    <w:rsid w:val="007A407E"/>
    <w:rsid w:val="007A6BBC"/>
    <w:rsid w:val="007B2ABC"/>
    <w:rsid w:val="007B7C70"/>
    <w:rsid w:val="007C1940"/>
    <w:rsid w:val="007C26BF"/>
    <w:rsid w:val="007C4AAD"/>
    <w:rsid w:val="007D58DF"/>
    <w:rsid w:val="007E0DD3"/>
    <w:rsid w:val="007E33DA"/>
    <w:rsid w:val="007E3BA5"/>
    <w:rsid w:val="007E5184"/>
    <w:rsid w:val="007E643A"/>
    <w:rsid w:val="007F3A5F"/>
    <w:rsid w:val="007F3DD5"/>
    <w:rsid w:val="0080012B"/>
    <w:rsid w:val="00803229"/>
    <w:rsid w:val="00803E62"/>
    <w:rsid w:val="00806F58"/>
    <w:rsid w:val="00810918"/>
    <w:rsid w:val="008112B9"/>
    <w:rsid w:val="00813608"/>
    <w:rsid w:val="008147F3"/>
    <w:rsid w:val="00825A98"/>
    <w:rsid w:val="008262A8"/>
    <w:rsid w:val="00826AE1"/>
    <w:rsid w:val="00831F42"/>
    <w:rsid w:val="00834BC6"/>
    <w:rsid w:val="00834E4F"/>
    <w:rsid w:val="0083535D"/>
    <w:rsid w:val="00836099"/>
    <w:rsid w:val="00841E25"/>
    <w:rsid w:val="00844762"/>
    <w:rsid w:val="008453C4"/>
    <w:rsid w:val="008457CB"/>
    <w:rsid w:val="00846672"/>
    <w:rsid w:val="00852DF1"/>
    <w:rsid w:val="00862D5D"/>
    <w:rsid w:val="00871C41"/>
    <w:rsid w:val="00876C8B"/>
    <w:rsid w:val="00897E59"/>
    <w:rsid w:val="008A0B07"/>
    <w:rsid w:val="008A392A"/>
    <w:rsid w:val="008B097C"/>
    <w:rsid w:val="008B1D4F"/>
    <w:rsid w:val="008B23F2"/>
    <w:rsid w:val="008B398C"/>
    <w:rsid w:val="008B4601"/>
    <w:rsid w:val="008B6A9C"/>
    <w:rsid w:val="008B7307"/>
    <w:rsid w:val="008C0E81"/>
    <w:rsid w:val="008E52E9"/>
    <w:rsid w:val="008F513B"/>
    <w:rsid w:val="008F5BB0"/>
    <w:rsid w:val="0090067A"/>
    <w:rsid w:val="009060D3"/>
    <w:rsid w:val="00906E7F"/>
    <w:rsid w:val="00926916"/>
    <w:rsid w:val="00927B8E"/>
    <w:rsid w:val="0094655A"/>
    <w:rsid w:val="00947083"/>
    <w:rsid w:val="009473B6"/>
    <w:rsid w:val="00951AD2"/>
    <w:rsid w:val="00952993"/>
    <w:rsid w:val="009558E5"/>
    <w:rsid w:val="00961AF4"/>
    <w:rsid w:val="00965FC1"/>
    <w:rsid w:val="00967EB4"/>
    <w:rsid w:val="00970655"/>
    <w:rsid w:val="00971934"/>
    <w:rsid w:val="00976B85"/>
    <w:rsid w:val="00980377"/>
    <w:rsid w:val="00985C2C"/>
    <w:rsid w:val="0099328A"/>
    <w:rsid w:val="009A4883"/>
    <w:rsid w:val="009B14F9"/>
    <w:rsid w:val="009B395F"/>
    <w:rsid w:val="009B4F97"/>
    <w:rsid w:val="009B6A02"/>
    <w:rsid w:val="009C4CA5"/>
    <w:rsid w:val="009C6159"/>
    <w:rsid w:val="009D1552"/>
    <w:rsid w:val="009F1288"/>
    <w:rsid w:val="009F34C7"/>
    <w:rsid w:val="00A03038"/>
    <w:rsid w:val="00A04322"/>
    <w:rsid w:val="00A06A5E"/>
    <w:rsid w:val="00A11426"/>
    <w:rsid w:val="00A12B62"/>
    <w:rsid w:val="00A13C08"/>
    <w:rsid w:val="00A17754"/>
    <w:rsid w:val="00A22BB3"/>
    <w:rsid w:val="00A2569F"/>
    <w:rsid w:val="00A27CEB"/>
    <w:rsid w:val="00A33563"/>
    <w:rsid w:val="00A41F38"/>
    <w:rsid w:val="00A47FBF"/>
    <w:rsid w:val="00A52E07"/>
    <w:rsid w:val="00A53EB4"/>
    <w:rsid w:val="00A5411C"/>
    <w:rsid w:val="00A54BBD"/>
    <w:rsid w:val="00A56EC2"/>
    <w:rsid w:val="00A629C1"/>
    <w:rsid w:val="00A64C07"/>
    <w:rsid w:val="00A73EC7"/>
    <w:rsid w:val="00A768CA"/>
    <w:rsid w:val="00A83314"/>
    <w:rsid w:val="00A86010"/>
    <w:rsid w:val="00A9212C"/>
    <w:rsid w:val="00AA34AF"/>
    <w:rsid w:val="00AA421C"/>
    <w:rsid w:val="00AA73C8"/>
    <w:rsid w:val="00AA7491"/>
    <w:rsid w:val="00AB0452"/>
    <w:rsid w:val="00AB0AF6"/>
    <w:rsid w:val="00AC1AF0"/>
    <w:rsid w:val="00AC44E7"/>
    <w:rsid w:val="00AC575D"/>
    <w:rsid w:val="00AC7DBD"/>
    <w:rsid w:val="00AD72A8"/>
    <w:rsid w:val="00AD78EF"/>
    <w:rsid w:val="00AE20EC"/>
    <w:rsid w:val="00AE42AD"/>
    <w:rsid w:val="00AE59C6"/>
    <w:rsid w:val="00AE79C4"/>
    <w:rsid w:val="00AF0667"/>
    <w:rsid w:val="00AF1458"/>
    <w:rsid w:val="00AF4904"/>
    <w:rsid w:val="00AF63B5"/>
    <w:rsid w:val="00AF7630"/>
    <w:rsid w:val="00B00097"/>
    <w:rsid w:val="00B0025D"/>
    <w:rsid w:val="00B051F0"/>
    <w:rsid w:val="00B13766"/>
    <w:rsid w:val="00B14132"/>
    <w:rsid w:val="00B1606B"/>
    <w:rsid w:val="00B20B5C"/>
    <w:rsid w:val="00B20EF3"/>
    <w:rsid w:val="00B24415"/>
    <w:rsid w:val="00B250F2"/>
    <w:rsid w:val="00B256DE"/>
    <w:rsid w:val="00B316B2"/>
    <w:rsid w:val="00B4085D"/>
    <w:rsid w:val="00B44A86"/>
    <w:rsid w:val="00B453BA"/>
    <w:rsid w:val="00B55190"/>
    <w:rsid w:val="00B612C3"/>
    <w:rsid w:val="00B6295E"/>
    <w:rsid w:val="00B64650"/>
    <w:rsid w:val="00B64CE9"/>
    <w:rsid w:val="00B674F3"/>
    <w:rsid w:val="00B7418B"/>
    <w:rsid w:val="00B82A95"/>
    <w:rsid w:val="00B83301"/>
    <w:rsid w:val="00B835AB"/>
    <w:rsid w:val="00B83E36"/>
    <w:rsid w:val="00B84058"/>
    <w:rsid w:val="00B8507B"/>
    <w:rsid w:val="00B8704C"/>
    <w:rsid w:val="00B91968"/>
    <w:rsid w:val="00B933B6"/>
    <w:rsid w:val="00B9598C"/>
    <w:rsid w:val="00B963C9"/>
    <w:rsid w:val="00BA0873"/>
    <w:rsid w:val="00BA16D5"/>
    <w:rsid w:val="00BA2402"/>
    <w:rsid w:val="00BA6BF8"/>
    <w:rsid w:val="00BB0344"/>
    <w:rsid w:val="00BC038F"/>
    <w:rsid w:val="00BC1C3A"/>
    <w:rsid w:val="00BC3D88"/>
    <w:rsid w:val="00BC4EB4"/>
    <w:rsid w:val="00BD0A38"/>
    <w:rsid w:val="00BD15AF"/>
    <w:rsid w:val="00BD365D"/>
    <w:rsid w:val="00BD4A70"/>
    <w:rsid w:val="00BE270E"/>
    <w:rsid w:val="00BE59F0"/>
    <w:rsid w:val="00BF00CD"/>
    <w:rsid w:val="00BF0A01"/>
    <w:rsid w:val="00BF7681"/>
    <w:rsid w:val="00C106AE"/>
    <w:rsid w:val="00C10C85"/>
    <w:rsid w:val="00C166EB"/>
    <w:rsid w:val="00C21E0B"/>
    <w:rsid w:val="00C21F3A"/>
    <w:rsid w:val="00C221B9"/>
    <w:rsid w:val="00C251E8"/>
    <w:rsid w:val="00C279E8"/>
    <w:rsid w:val="00C35B0E"/>
    <w:rsid w:val="00C43FCB"/>
    <w:rsid w:val="00C4548C"/>
    <w:rsid w:val="00C46883"/>
    <w:rsid w:val="00C51D53"/>
    <w:rsid w:val="00C52D3B"/>
    <w:rsid w:val="00C60235"/>
    <w:rsid w:val="00C66624"/>
    <w:rsid w:val="00C66CBE"/>
    <w:rsid w:val="00C7104B"/>
    <w:rsid w:val="00C71216"/>
    <w:rsid w:val="00C82E32"/>
    <w:rsid w:val="00C85E1E"/>
    <w:rsid w:val="00C950EB"/>
    <w:rsid w:val="00CA1779"/>
    <w:rsid w:val="00CA4D2A"/>
    <w:rsid w:val="00CA74FE"/>
    <w:rsid w:val="00CA7DFB"/>
    <w:rsid w:val="00CB1258"/>
    <w:rsid w:val="00CB6E58"/>
    <w:rsid w:val="00CC0D9E"/>
    <w:rsid w:val="00CC14D6"/>
    <w:rsid w:val="00CC695A"/>
    <w:rsid w:val="00CD5470"/>
    <w:rsid w:val="00CE58A6"/>
    <w:rsid w:val="00CF0443"/>
    <w:rsid w:val="00CF2378"/>
    <w:rsid w:val="00D00583"/>
    <w:rsid w:val="00D006C6"/>
    <w:rsid w:val="00D05566"/>
    <w:rsid w:val="00D10242"/>
    <w:rsid w:val="00D11A34"/>
    <w:rsid w:val="00D1385D"/>
    <w:rsid w:val="00D20C85"/>
    <w:rsid w:val="00D20DDB"/>
    <w:rsid w:val="00D2264B"/>
    <w:rsid w:val="00D22917"/>
    <w:rsid w:val="00D234E6"/>
    <w:rsid w:val="00D37100"/>
    <w:rsid w:val="00D4043E"/>
    <w:rsid w:val="00D440F7"/>
    <w:rsid w:val="00D46099"/>
    <w:rsid w:val="00D46EAD"/>
    <w:rsid w:val="00D47949"/>
    <w:rsid w:val="00D51B50"/>
    <w:rsid w:val="00D52077"/>
    <w:rsid w:val="00D539BF"/>
    <w:rsid w:val="00D66376"/>
    <w:rsid w:val="00D6647C"/>
    <w:rsid w:val="00D71909"/>
    <w:rsid w:val="00D71E8C"/>
    <w:rsid w:val="00D81783"/>
    <w:rsid w:val="00D84D5D"/>
    <w:rsid w:val="00D860EC"/>
    <w:rsid w:val="00D90D0F"/>
    <w:rsid w:val="00D94A91"/>
    <w:rsid w:val="00DA0170"/>
    <w:rsid w:val="00DA31A5"/>
    <w:rsid w:val="00DA70B3"/>
    <w:rsid w:val="00DB562C"/>
    <w:rsid w:val="00DC2389"/>
    <w:rsid w:val="00DC56DF"/>
    <w:rsid w:val="00DC765C"/>
    <w:rsid w:val="00DD370F"/>
    <w:rsid w:val="00DE1D5D"/>
    <w:rsid w:val="00DF2473"/>
    <w:rsid w:val="00E01D10"/>
    <w:rsid w:val="00E07DF9"/>
    <w:rsid w:val="00E10107"/>
    <w:rsid w:val="00E13060"/>
    <w:rsid w:val="00E14F06"/>
    <w:rsid w:val="00E25679"/>
    <w:rsid w:val="00E3181E"/>
    <w:rsid w:val="00E35D22"/>
    <w:rsid w:val="00E40BD8"/>
    <w:rsid w:val="00E53AD6"/>
    <w:rsid w:val="00E54F2B"/>
    <w:rsid w:val="00E61DAD"/>
    <w:rsid w:val="00E71092"/>
    <w:rsid w:val="00E7222B"/>
    <w:rsid w:val="00E73833"/>
    <w:rsid w:val="00E75DAE"/>
    <w:rsid w:val="00E8333D"/>
    <w:rsid w:val="00E85D7A"/>
    <w:rsid w:val="00E87856"/>
    <w:rsid w:val="00E87D0B"/>
    <w:rsid w:val="00E9037F"/>
    <w:rsid w:val="00E919DC"/>
    <w:rsid w:val="00E9727A"/>
    <w:rsid w:val="00EA0775"/>
    <w:rsid w:val="00EB5392"/>
    <w:rsid w:val="00EC79FD"/>
    <w:rsid w:val="00ED0F46"/>
    <w:rsid w:val="00ED41EB"/>
    <w:rsid w:val="00ED7837"/>
    <w:rsid w:val="00ED7889"/>
    <w:rsid w:val="00EE2BCD"/>
    <w:rsid w:val="00EF724E"/>
    <w:rsid w:val="00F00FEB"/>
    <w:rsid w:val="00F04D1A"/>
    <w:rsid w:val="00F060BD"/>
    <w:rsid w:val="00F06C7F"/>
    <w:rsid w:val="00F124F3"/>
    <w:rsid w:val="00F21279"/>
    <w:rsid w:val="00F22228"/>
    <w:rsid w:val="00F27A08"/>
    <w:rsid w:val="00F27E1C"/>
    <w:rsid w:val="00F35629"/>
    <w:rsid w:val="00F42EF3"/>
    <w:rsid w:val="00F433F9"/>
    <w:rsid w:val="00F43D95"/>
    <w:rsid w:val="00F44B48"/>
    <w:rsid w:val="00F44F79"/>
    <w:rsid w:val="00F45D5D"/>
    <w:rsid w:val="00F50AE7"/>
    <w:rsid w:val="00F60818"/>
    <w:rsid w:val="00F61381"/>
    <w:rsid w:val="00F63FC8"/>
    <w:rsid w:val="00F7368D"/>
    <w:rsid w:val="00F77BFC"/>
    <w:rsid w:val="00F812A0"/>
    <w:rsid w:val="00F831C9"/>
    <w:rsid w:val="00F87852"/>
    <w:rsid w:val="00F936D0"/>
    <w:rsid w:val="00FA3C58"/>
    <w:rsid w:val="00FA407D"/>
    <w:rsid w:val="00FA51DE"/>
    <w:rsid w:val="00FB4825"/>
    <w:rsid w:val="00FC04FC"/>
    <w:rsid w:val="00FD3E78"/>
    <w:rsid w:val="00FD5DA2"/>
    <w:rsid w:val="00FD73AB"/>
    <w:rsid w:val="00FE2588"/>
    <w:rsid w:val="00FE2945"/>
    <w:rsid w:val="00FE5391"/>
    <w:rsid w:val="00FE6402"/>
    <w:rsid w:val="00FF2F40"/>
    <w:rsid w:val="00FF4C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A1820-63FE-4985-82D3-E11C2672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C1"/>
    <w:pPr>
      <w:spacing w:before="120" w:after="120" w:line="240" w:lineRule="auto"/>
      <w:jc w:val="both"/>
    </w:pPr>
    <w:rPr>
      <w:rFonts w:ascii="Times New Roman" w:eastAsia="Calibri" w:hAnsi="Times New Roman" w:cs="Times New Roman"/>
      <w:sz w:val="24"/>
      <w:lang w:val="en-US"/>
    </w:rPr>
  </w:style>
  <w:style w:type="paragraph" w:styleId="Heading1">
    <w:name w:val="heading 1"/>
    <w:basedOn w:val="Normal"/>
    <w:link w:val="Heading1Char"/>
    <w:uiPriority w:val="9"/>
    <w:qFormat/>
    <w:rsid w:val="00B44A86"/>
    <w:pPr>
      <w:numPr>
        <w:numId w:val="1"/>
      </w:numPr>
      <w:spacing w:before="600" w:after="60" w:line="288" w:lineRule="auto"/>
      <w:jc w:val="left"/>
      <w:outlineLvl w:val="0"/>
    </w:pPr>
    <w:rPr>
      <w:rFonts w:asciiTheme="majorHAnsi" w:eastAsiaTheme="minorHAnsi" w:hAnsiTheme="majorHAnsi" w:cstheme="minorBidi"/>
      <w:caps/>
      <w:color w:val="ED7D31" w:themeColor="accent2"/>
      <w:spacing w:val="14"/>
      <w:sz w:val="26"/>
      <w:szCs w:val="26"/>
      <w:lang w:eastAsia="ja-JP"/>
    </w:rPr>
  </w:style>
  <w:style w:type="paragraph" w:styleId="Heading2">
    <w:name w:val="heading 2"/>
    <w:basedOn w:val="Normal"/>
    <w:link w:val="Heading2Char"/>
    <w:uiPriority w:val="9"/>
    <w:unhideWhenUsed/>
    <w:qFormat/>
    <w:rsid w:val="00B44A86"/>
    <w:pPr>
      <w:numPr>
        <w:ilvl w:val="1"/>
        <w:numId w:val="1"/>
      </w:numPr>
      <w:spacing w:before="40" w:line="288" w:lineRule="auto"/>
      <w:jc w:val="left"/>
      <w:outlineLvl w:val="1"/>
    </w:pPr>
    <w:rPr>
      <w:rFonts w:asciiTheme="majorHAnsi" w:eastAsiaTheme="majorEastAsia" w:hAnsiTheme="majorHAnsi" w:cstheme="majorBidi"/>
      <w:color w:val="ED7D31" w:themeColor="accent2"/>
      <w:sz w:val="22"/>
      <w:szCs w:val="26"/>
      <w:lang w:eastAsia="ja-JP"/>
    </w:rPr>
  </w:style>
  <w:style w:type="paragraph" w:styleId="Heading3">
    <w:name w:val="heading 3"/>
    <w:basedOn w:val="Normal"/>
    <w:link w:val="Heading3Char"/>
    <w:uiPriority w:val="9"/>
    <w:unhideWhenUsed/>
    <w:qFormat/>
    <w:rsid w:val="00B44A86"/>
    <w:pPr>
      <w:numPr>
        <w:ilvl w:val="2"/>
        <w:numId w:val="1"/>
      </w:numPr>
      <w:spacing w:before="40" w:after="0" w:line="288" w:lineRule="auto"/>
      <w:jc w:val="left"/>
      <w:outlineLvl w:val="2"/>
    </w:pPr>
    <w:rPr>
      <w:rFonts w:asciiTheme="majorHAnsi" w:eastAsiaTheme="majorEastAsia" w:hAnsiTheme="majorHAnsi" w:cstheme="majorBidi"/>
      <w:color w:val="5B9BD5" w:themeColor="accent1"/>
      <w:sz w:val="22"/>
      <w:szCs w:val="24"/>
      <w:lang w:eastAsia="ja-JP"/>
    </w:rPr>
  </w:style>
  <w:style w:type="paragraph" w:styleId="Heading4">
    <w:name w:val="heading 4"/>
    <w:basedOn w:val="Normal"/>
    <w:link w:val="Heading4Char"/>
    <w:uiPriority w:val="9"/>
    <w:semiHidden/>
    <w:unhideWhenUsed/>
    <w:qFormat/>
    <w:rsid w:val="00B44A86"/>
    <w:pPr>
      <w:numPr>
        <w:ilvl w:val="3"/>
        <w:numId w:val="1"/>
      </w:numPr>
      <w:spacing w:before="40" w:after="0" w:line="288" w:lineRule="auto"/>
      <w:jc w:val="left"/>
      <w:outlineLvl w:val="3"/>
    </w:pPr>
    <w:rPr>
      <w:rFonts w:asciiTheme="majorHAnsi" w:eastAsiaTheme="majorEastAsia" w:hAnsiTheme="majorHAnsi" w:cstheme="majorBidi"/>
      <w:i/>
      <w:iCs/>
      <w:color w:val="5B9BD5" w:themeColor="accent1"/>
      <w:spacing w:val="6"/>
      <w:sz w:val="22"/>
      <w:lang w:eastAsia="ja-JP"/>
    </w:rPr>
  </w:style>
  <w:style w:type="paragraph" w:styleId="Heading5">
    <w:name w:val="heading 5"/>
    <w:basedOn w:val="Normal"/>
    <w:link w:val="Heading5Char"/>
    <w:uiPriority w:val="9"/>
    <w:unhideWhenUsed/>
    <w:qFormat/>
    <w:rsid w:val="00B44A86"/>
    <w:pPr>
      <w:numPr>
        <w:ilvl w:val="4"/>
        <w:numId w:val="1"/>
      </w:numPr>
      <w:spacing w:before="40" w:after="0" w:line="288" w:lineRule="auto"/>
      <w:jc w:val="left"/>
      <w:outlineLvl w:val="4"/>
    </w:pPr>
    <w:rPr>
      <w:rFonts w:asciiTheme="majorHAnsi" w:eastAsiaTheme="majorEastAsia" w:hAnsiTheme="majorHAnsi" w:cstheme="majorBidi"/>
      <w:i/>
      <w:color w:val="ED7D31" w:themeColor="accent2"/>
      <w:spacing w:val="6"/>
      <w:sz w:val="22"/>
      <w:lang w:eastAsia="ja-JP"/>
    </w:rPr>
  </w:style>
  <w:style w:type="paragraph" w:styleId="Heading6">
    <w:name w:val="heading 6"/>
    <w:basedOn w:val="Normal"/>
    <w:link w:val="Heading6Char"/>
    <w:uiPriority w:val="9"/>
    <w:semiHidden/>
    <w:unhideWhenUsed/>
    <w:qFormat/>
    <w:rsid w:val="00B44A86"/>
    <w:pPr>
      <w:numPr>
        <w:ilvl w:val="5"/>
        <w:numId w:val="1"/>
      </w:numPr>
      <w:spacing w:before="40" w:after="0" w:line="288" w:lineRule="auto"/>
      <w:jc w:val="left"/>
      <w:outlineLvl w:val="5"/>
    </w:pPr>
    <w:rPr>
      <w:rFonts w:asciiTheme="majorHAnsi" w:eastAsiaTheme="majorEastAsia" w:hAnsiTheme="majorHAnsi" w:cstheme="majorBidi"/>
      <w:color w:val="ED7D31" w:themeColor="accent2"/>
      <w:spacing w:val="12"/>
      <w:sz w:val="22"/>
      <w:lang w:eastAsia="ja-JP"/>
    </w:rPr>
  </w:style>
  <w:style w:type="paragraph" w:styleId="Heading7">
    <w:name w:val="heading 7"/>
    <w:basedOn w:val="Normal"/>
    <w:link w:val="Heading7Char"/>
    <w:uiPriority w:val="9"/>
    <w:semiHidden/>
    <w:unhideWhenUsed/>
    <w:qFormat/>
    <w:rsid w:val="00B44A86"/>
    <w:pPr>
      <w:numPr>
        <w:ilvl w:val="6"/>
        <w:numId w:val="1"/>
      </w:numPr>
      <w:spacing w:before="40" w:after="0" w:line="288" w:lineRule="auto"/>
      <w:jc w:val="left"/>
      <w:outlineLvl w:val="6"/>
    </w:pPr>
    <w:rPr>
      <w:rFonts w:asciiTheme="majorHAnsi" w:eastAsiaTheme="majorEastAsia" w:hAnsiTheme="majorHAnsi" w:cstheme="majorBidi"/>
      <w:iCs/>
      <w:color w:val="ED7D31" w:themeColor="accent2"/>
      <w:sz w:val="22"/>
      <w:lang w:eastAsia="ja-JP"/>
    </w:rPr>
  </w:style>
  <w:style w:type="paragraph" w:styleId="Heading8">
    <w:name w:val="heading 8"/>
    <w:basedOn w:val="Normal"/>
    <w:link w:val="Heading8Char"/>
    <w:uiPriority w:val="9"/>
    <w:semiHidden/>
    <w:unhideWhenUsed/>
    <w:qFormat/>
    <w:rsid w:val="00B44A86"/>
    <w:pPr>
      <w:numPr>
        <w:ilvl w:val="7"/>
        <w:numId w:val="1"/>
      </w:numPr>
      <w:spacing w:before="40" w:after="0" w:line="288" w:lineRule="auto"/>
      <w:jc w:val="left"/>
      <w:outlineLvl w:val="7"/>
    </w:pPr>
    <w:rPr>
      <w:rFonts w:asciiTheme="majorHAnsi" w:eastAsiaTheme="majorEastAsia" w:hAnsiTheme="majorHAnsi" w:cstheme="majorBidi"/>
      <w:i/>
      <w:color w:val="F19D64" w:themeColor="accent2" w:themeTint="BF"/>
      <w:sz w:val="22"/>
      <w:szCs w:val="21"/>
      <w:lang w:eastAsia="ja-JP"/>
    </w:rPr>
  </w:style>
  <w:style w:type="paragraph" w:styleId="Heading9">
    <w:name w:val="heading 9"/>
    <w:basedOn w:val="Normal"/>
    <w:link w:val="Heading9Char"/>
    <w:uiPriority w:val="9"/>
    <w:semiHidden/>
    <w:unhideWhenUsed/>
    <w:qFormat/>
    <w:rsid w:val="00B44A86"/>
    <w:pPr>
      <w:numPr>
        <w:ilvl w:val="8"/>
        <w:numId w:val="1"/>
      </w:numPr>
      <w:spacing w:before="40" w:after="0" w:line="288" w:lineRule="auto"/>
      <w:jc w:val="left"/>
      <w:outlineLvl w:val="8"/>
    </w:pPr>
    <w:rPr>
      <w:rFonts w:asciiTheme="majorHAnsi" w:eastAsiaTheme="majorEastAsia" w:hAnsiTheme="majorHAnsi" w:cstheme="majorBidi"/>
      <w:iCs/>
      <w:color w:val="F19D64" w:themeColor="accent2" w:themeTint="BF"/>
      <w:sz w:val="22"/>
      <w:szCs w:val="21"/>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8C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618C1"/>
    <w:rPr>
      <w:rFonts w:ascii="Times New Roman" w:eastAsia="Calibri" w:hAnsi="Times New Roman" w:cs="Times New Roman"/>
      <w:sz w:val="24"/>
      <w:lang w:val="x-none" w:eastAsia="x-none"/>
    </w:rPr>
  </w:style>
  <w:style w:type="paragraph" w:styleId="Footer">
    <w:name w:val="footer"/>
    <w:basedOn w:val="Normal"/>
    <w:link w:val="FooterChar"/>
    <w:uiPriority w:val="99"/>
    <w:unhideWhenUsed/>
    <w:rsid w:val="000618C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618C1"/>
    <w:rPr>
      <w:rFonts w:ascii="Times New Roman" w:eastAsia="Calibri" w:hAnsi="Times New Roman" w:cs="Times New Roman"/>
      <w:sz w:val="24"/>
      <w:lang w:val="x-none" w:eastAsia="x-none"/>
    </w:rPr>
  </w:style>
  <w:style w:type="character" w:styleId="Emphasis">
    <w:name w:val="Emphasis"/>
    <w:uiPriority w:val="20"/>
    <w:qFormat/>
    <w:rsid w:val="000618C1"/>
    <w:rPr>
      <w:i/>
      <w:iCs/>
    </w:rPr>
  </w:style>
  <w:style w:type="paragraph" w:styleId="ListParagraph">
    <w:name w:val="List Paragraph"/>
    <w:aliases w:val="bullet,bullet 1,List Paragraph1,List Paragraph11,List Paragraph12,List Paragraph2,Thang2,List Paragraph111,VNA - List Paragraph,1.,Table Sequence,Colorful List - Accent 11,1,1.1.1.1,Level 2,Dot 1,Đơn vị tính,nguồn bảng,abc,list 123,H1,lp1"/>
    <w:basedOn w:val="Normal"/>
    <w:link w:val="ListParagraphChar"/>
    <w:uiPriority w:val="34"/>
    <w:qFormat/>
    <w:rsid w:val="000618C1"/>
    <w:pPr>
      <w:spacing w:before="0" w:after="200" w:line="276" w:lineRule="auto"/>
      <w:ind w:left="720"/>
      <w:contextualSpacing/>
      <w:jc w:val="left"/>
    </w:pPr>
    <w:rPr>
      <w:rFonts w:ascii="Arial" w:eastAsia="Arial" w:hAnsi="Arial"/>
      <w:sz w:val="22"/>
      <w:lang w:val="vi-VN"/>
    </w:rPr>
  </w:style>
  <w:style w:type="paragraph" w:styleId="BalloonText">
    <w:name w:val="Balloon Text"/>
    <w:basedOn w:val="Normal"/>
    <w:link w:val="BalloonTextChar"/>
    <w:uiPriority w:val="99"/>
    <w:semiHidden/>
    <w:unhideWhenUsed/>
    <w:rsid w:val="0016685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858"/>
    <w:rPr>
      <w:rFonts w:ascii="Segoe UI" w:eastAsia="Calibri" w:hAnsi="Segoe UI" w:cs="Segoe UI"/>
      <w:sz w:val="18"/>
      <w:szCs w:val="18"/>
      <w:lang w:val="en-US"/>
    </w:rPr>
  </w:style>
  <w:style w:type="character" w:styleId="FootnoteReference">
    <w:name w:val="footnote reference"/>
    <w:aliases w:val="Footnote,Footnote text,ftref,BearingPoint,16 Point,Superscript 6 Point,fr,Footnote Text1,f,(NECG) Footnote Reference, BVI fnr,footnote ref,BVI fnr,Ref,10 p,de nota al pie,Footnote + Arial,10 pt,Black,Footnote Text11,SUPERS,Re,f1,10,R"/>
    <w:link w:val="FootnoteCharCharChar"/>
    <w:uiPriority w:val="99"/>
    <w:qFormat/>
    <w:rsid w:val="00EE2BCD"/>
    <w:rPr>
      <w:vertAlign w:val="superscript"/>
    </w:rPr>
  </w:style>
  <w:style w:type="paragraph" w:styleId="NormalWeb">
    <w:name w:val="Normal (Web)"/>
    <w:aliases w:val="Normal (Web) Char Char Char Char Char,Normal (Web) Char Char Char Char, Char Char Char,Char Char Char Char Char Char Char Char Char Char,Char Char Char Char Char Char Char Char Char Char Char,Char Char Char,Char Char Char Char Char"/>
    <w:basedOn w:val="Normal"/>
    <w:link w:val="NormalWebChar"/>
    <w:uiPriority w:val="99"/>
    <w:unhideWhenUsed/>
    <w:qFormat/>
    <w:rsid w:val="00EE2BCD"/>
    <w:pPr>
      <w:spacing w:before="100" w:beforeAutospacing="1" w:after="100" w:afterAutospacing="1"/>
      <w:jc w:val="left"/>
    </w:pPr>
    <w:rPr>
      <w:rFonts w:eastAsia="Times New Roman"/>
      <w:szCs w:val="24"/>
      <w:lang w:val="vi-VN" w:eastAsia="vi-VN"/>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 Char Char"/>
    <w:basedOn w:val="Normal"/>
    <w:link w:val="FootnoteReference"/>
    <w:qFormat/>
    <w:rsid w:val="00EE2BCD"/>
    <w:pPr>
      <w:spacing w:before="0" w:after="160" w:line="240" w:lineRule="exact"/>
      <w:jc w:val="left"/>
    </w:pPr>
    <w:rPr>
      <w:rFonts w:asciiTheme="minorHAnsi" w:eastAsiaTheme="minorHAnsi" w:hAnsiTheme="minorHAnsi" w:cstheme="minorBidi"/>
      <w:sz w:val="22"/>
      <w:vertAlign w:val="superscript"/>
      <w:lang w:val="vi-VN"/>
    </w:rPr>
  </w:style>
  <w:style w:type="paragraph" w:styleId="BodyText2">
    <w:name w:val="Body Text 2"/>
    <w:basedOn w:val="Normal"/>
    <w:link w:val="BodyText2Char"/>
    <w:unhideWhenUsed/>
    <w:rsid w:val="00EE2BCD"/>
    <w:pPr>
      <w:overflowPunct w:val="0"/>
      <w:autoSpaceDE w:val="0"/>
      <w:autoSpaceDN w:val="0"/>
      <w:adjustRightInd w:val="0"/>
      <w:spacing w:before="0" w:line="480" w:lineRule="auto"/>
      <w:jc w:val="left"/>
    </w:pPr>
    <w:rPr>
      <w:rFonts w:ascii=".VnTime" w:eastAsia="Times New Roman" w:hAnsi=".VnTime"/>
      <w:sz w:val="28"/>
      <w:szCs w:val="28"/>
      <w:lang w:eastAsia="zh-CN"/>
    </w:rPr>
  </w:style>
  <w:style w:type="character" w:customStyle="1" w:styleId="BodyText2Char">
    <w:name w:val="Body Text 2 Char"/>
    <w:basedOn w:val="DefaultParagraphFont"/>
    <w:link w:val="BodyText2"/>
    <w:rsid w:val="00EE2BCD"/>
    <w:rPr>
      <w:rFonts w:ascii=".VnTime" w:eastAsia="Times New Roman" w:hAnsi=".VnTime" w:cs="Times New Roman"/>
      <w:sz w:val="28"/>
      <w:szCs w:val="28"/>
      <w:lang w:val="en-US" w:eastAsia="zh-CN"/>
    </w:rPr>
  </w:style>
  <w:style w:type="character" w:customStyle="1" w:styleId="NormalWebChar">
    <w:name w:val="Normal (Web) Char"/>
    <w:aliases w:val="Normal (Web) Char Char Char Char Char Char,Normal (Web) Char Char Char Char Char1, Char Char Char Char,Char Char Char Char Char Char Char Char Char Char Char1,Char Char Char Char Char Char Char Char Char Char Char Char"/>
    <w:link w:val="NormalWeb"/>
    <w:uiPriority w:val="99"/>
    <w:qFormat/>
    <w:rsid w:val="00EE2BCD"/>
    <w:rPr>
      <w:rFonts w:ascii="Times New Roman" w:eastAsia="Times New Roman" w:hAnsi="Times New Roman" w:cs="Times New Roman"/>
      <w:sz w:val="24"/>
      <w:szCs w:val="24"/>
      <w:lang w:eastAsia="vi-VN"/>
    </w:rPr>
  </w:style>
  <w:style w:type="character" w:customStyle="1" w:styleId="normalchar">
    <w:name w:val="normal__char"/>
    <w:rsid w:val="00EE2BCD"/>
  </w:style>
  <w:style w:type="paragraph" w:customStyle="1" w:styleId="Normal4">
    <w:name w:val="Normal4"/>
    <w:basedOn w:val="Normal"/>
    <w:rsid w:val="00EE2BCD"/>
    <w:pPr>
      <w:spacing w:before="100" w:beforeAutospacing="1" w:after="100" w:afterAutospacing="1"/>
      <w:jc w:val="left"/>
    </w:pPr>
    <w:rPr>
      <w:rFonts w:eastAsia="Times New Roman"/>
      <w:szCs w:val="24"/>
      <w:lang w:val="vi-VN" w:eastAsia="vi-VN"/>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qFormat/>
    <w:locked/>
    <w:rsid w:val="000D42F7"/>
    <w:rPr>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qFormat/>
    <w:rsid w:val="000D42F7"/>
    <w:pPr>
      <w:spacing w:before="0" w:after="0"/>
      <w:jc w:val="left"/>
    </w:pPr>
    <w:rPr>
      <w:rFonts w:asciiTheme="minorHAnsi" w:eastAsiaTheme="minorHAnsi" w:hAnsiTheme="minorHAnsi" w:cstheme="minorBidi"/>
      <w:sz w:val="22"/>
    </w:rPr>
  </w:style>
  <w:style w:type="character" w:customStyle="1" w:styleId="FootnoteTextChar1">
    <w:name w:val="Footnote Text Char1"/>
    <w:basedOn w:val="DefaultParagraphFont"/>
    <w:uiPriority w:val="99"/>
    <w:semiHidden/>
    <w:rsid w:val="000D42F7"/>
    <w:rPr>
      <w:rFonts w:ascii="Times New Roman" w:eastAsia="Calibri" w:hAnsi="Times New Roman" w:cs="Times New Roman"/>
      <w:sz w:val="20"/>
      <w:szCs w:val="20"/>
      <w:lang w:val="en-US"/>
    </w:rPr>
  </w:style>
  <w:style w:type="paragraph" w:customStyle="1" w:styleId="BVIfnrCarCar">
    <w:name w:val="BVI fnr Car Car"/>
    <w:aliases w:val="BVI fnr Car,BVI fnr Car Car Car Car Char"/>
    <w:basedOn w:val="Normal"/>
    <w:uiPriority w:val="99"/>
    <w:rsid w:val="000D42F7"/>
    <w:pPr>
      <w:spacing w:before="0" w:after="160" w:line="240" w:lineRule="exact"/>
      <w:jc w:val="left"/>
    </w:pPr>
    <w:rPr>
      <w:rFonts w:asciiTheme="minorHAnsi" w:eastAsiaTheme="minorHAnsi" w:hAnsiTheme="minorHAnsi" w:cstheme="minorBidi"/>
      <w:sz w:val="22"/>
      <w:vertAlign w:val="superscript"/>
      <w:lang w:val="vi-VN"/>
    </w:r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qFormat/>
    <w:locked/>
    <w:rsid w:val="00D2264B"/>
    <w:rPr>
      <w:rFonts w:ascii="Arial" w:eastAsia="Arial" w:hAnsi="Arial"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7A6BBC"/>
    <w:pPr>
      <w:spacing w:before="0" w:after="160" w:line="240" w:lineRule="exact"/>
      <w:jc w:val="left"/>
    </w:pPr>
    <w:rPr>
      <w:sz w:val="20"/>
      <w:szCs w:val="20"/>
      <w:vertAlign w:val="superscript"/>
      <w:lang w:val="vi-VN" w:eastAsia="vi-VN"/>
    </w:rPr>
  </w:style>
  <w:style w:type="paragraph" w:customStyle="1" w:styleId="Char">
    <w:name w:val="Char"/>
    <w:basedOn w:val="Normal"/>
    <w:semiHidden/>
    <w:rsid w:val="00E13060"/>
    <w:pPr>
      <w:spacing w:before="0" w:after="160" w:line="240" w:lineRule="exact"/>
      <w:jc w:val="left"/>
    </w:pPr>
    <w:rPr>
      <w:rFonts w:ascii="Arial" w:eastAsia="Times New Roman" w:hAnsi="Arial"/>
      <w:sz w:val="22"/>
    </w:rPr>
  </w:style>
  <w:style w:type="paragraph" w:customStyle="1" w:styleId="Char0">
    <w:name w:val="Char"/>
    <w:basedOn w:val="Normal"/>
    <w:semiHidden/>
    <w:rsid w:val="004C030F"/>
    <w:pPr>
      <w:spacing w:before="0" w:after="160" w:line="240" w:lineRule="exact"/>
      <w:jc w:val="left"/>
    </w:pPr>
    <w:rPr>
      <w:rFonts w:ascii="Arial" w:eastAsia="Times New Roman" w:hAnsi="Arial"/>
      <w:sz w:val="22"/>
    </w:rPr>
  </w:style>
  <w:style w:type="character" w:customStyle="1" w:styleId="Heading1Char">
    <w:name w:val="Heading 1 Char"/>
    <w:basedOn w:val="DefaultParagraphFont"/>
    <w:link w:val="Heading1"/>
    <w:uiPriority w:val="9"/>
    <w:rsid w:val="00B44A86"/>
    <w:rPr>
      <w:rFonts w:asciiTheme="majorHAnsi" w:hAnsiTheme="majorHAnsi"/>
      <w:caps/>
      <w:color w:val="ED7D31" w:themeColor="accent2"/>
      <w:spacing w:val="14"/>
      <w:sz w:val="26"/>
      <w:szCs w:val="26"/>
      <w:lang w:val="en-US" w:eastAsia="ja-JP"/>
    </w:rPr>
  </w:style>
  <w:style w:type="character" w:customStyle="1" w:styleId="Heading2Char">
    <w:name w:val="Heading 2 Char"/>
    <w:basedOn w:val="DefaultParagraphFont"/>
    <w:link w:val="Heading2"/>
    <w:uiPriority w:val="9"/>
    <w:rsid w:val="00B44A86"/>
    <w:rPr>
      <w:rFonts w:asciiTheme="majorHAnsi" w:eastAsiaTheme="majorEastAsia" w:hAnsiTheme="majorHAnsi" w:cstheme="majorBidi"/>
      <w:color w:val="ED7D31" w:themeColor="accent2"/>
      <w:szCs w:val="26"/>
      <w:lang w:val="en-US" w:eastAsia="ja-JP"/>
    </w:rPr>
  </w:style>
  <w:style w:type="character" w:customStyle="1" w:styleId="Heading3Char">
    <w:name w:val="Heading 3 Char"/>
    <w:basedOn w:val="DefaultParagraphFont"/>
    <w:link w:val="Heading3"/>
    <w:uiPriority w:val="9"/>
    <w:rsid w:val="00B44A86"/>
    <w:rPr>
      <w:rFonts w:asciiTheme="majorHAnsi" w:eastAsiaTheme="majorEastAsia" w:hAnsiTheme="majorHAnsi" w:cstheme="majorBidi"/>
      <w:color w:val="5B9BD5" w:themeColor="accent1"/>
      <w:szCs w:val="24"/>
      <w:lang w:val="en-US" w:eastAsia="ja-JP"/>
    </w:rPr>
  </w:style>
  <w:style w:type="character" w:customStyle="1" w:styleId="Heading4Char">
    <w:name w:val="Heading 4 Char"/>
    <w:basedOn w:val="DefaultParagraphFont"/>
    <w:link w:val="Heading4"/>
    <w:uiPriority w:val="9"/>
    <w:semiHidden/>
    <w:rsid w:val="00B44A86"/>
    <w:rPr>
      <w:rFonts w:asciiTheme="majorHAnsi" w:eastAsiaTheme="majorEastAsia" w:hAnsiTheme="majorHAnsi" w:cstheme="majorBidi"/>
      <w:i/>
      <w:iCs/>
      <w:color w:val="5B9BD5" w:themeColor="accent1"/>
      <w:spacing w:val="6"/>
      <w:lang w:val="en-US" w:eastAsia="ja-JP"/>
    </w:rPr>
  </w:style>
  <w:style w:type="character" w:customStyle="1" w:styleId="Heading5Char">
    <w:name w:val="Heading 5 Char"/>
    <w:basedOn w:val="DefaultParagraphFont"/>
    <w:link w:val="Heading5"/>
    <w:uiPriority w:val="9"/>
    <w:rsid w:val="00B44A86"/>
    <w:rPr>
      <w:rFonts w:asciiTheme="majorHAnsi" w:eastAsiaTheme="majorEastAsia" w:hAnsiTheme="majorHAnsi" w:cstheme="majorBidi"/>
      <w:i/>
      <w:color w:val="ED7D31" w:themeColor="accent2"/>
      <w:spacing w:val="6"/>
      <w:lang w:val="en-US" w:eastAsia="ja-JP"/>
    </w:rPr>
  </w:style>
  <w:style w:type="character" w:customStyle="1" w:styleId="Heading6Char">
    <w:name w:val="Heading 6 Char"/>
    <w:basedOn w:val="DefaultParagraphFont"/>
    <w:link w:val="Heading6"/>
    <w:uiPriority w:val="9"/>
    <w:semiHidden/>
    <w:rsid w:val="00B44A86"/>
    <w:rPr>
      <w:rFonts w:asciiTheme="majorHAnsi" w:eastAsiaTheme="majorEastAsia" w:hAnsiTheme="majorHAnsi" w:cstheme="majorBidi"/>
      <w:color w:val="ED7D31" w:themeColor="accent2"/>
      <w:spacing w:val="12"/>
      <w:lang w:val="en-US" w:eastAsia="ja-JP"/>
    </w:rPr>
  </w:style>
  <w:style w:type="character" w:customStyle="1" w:styleId="Heading7Char">
    <w:name w:val="Heading 7 Char"/>
    <w:basedOn w:val="DefaultParagraphFont"/>
    <w:link w:val="Heading7"/>
    <w:uiPriority w:val="9"/>
    <w:semiHidden/>
    <w:rsid w:val="00B44A86"/>
    <w:rPr>
      <w:rFonts w:asciiTheme="majorHAnsi" w:eastAsiaTheme="majorEastAsia" w:hAnsiTheme="majorHAnsi" w:cstheme="majorBidi"/>
      <w:iCs/>
      <w:color w:val="ED7D31" w:themeColor="accent2"/>
      <w:lang w:val="en-US" w:eastAsia="ja-JP"/>
    </w:rPr>
  </w:style>
  <w:style w:type="character" w:customStyle="1" w:styleId="Heading8Char">
    <w:name w:val="Heading 8 Char"/>
    <w:basedOn w:val="DefaultParagraphFont"/>
    <w:link w:val="Heading8"/>
    <w:uiPriority w:val="9"/>
    <w:semiHidden/>
    <w:rsid w:val="00B44A86"/>
    <w:rPr>
      <w:rFonts w:asciiTheme="majorHAnsi" w:eastAsiaTheme="majorEastAsia" w:hAnsiTheme="majorHAnsi" w:cstheme="majorBidi"/>
      <w:i/>
      <w:color w:val="F19D64" w:themeColor="accent2" w:themeTint="BF"/>
      <w:szCs w:val="21"/>
      <w:lang w:val="en-US" w:eastAsia="ja-JP"/>
    </w:rPr>
  </w:style>
  <w:style w:type="character" w:customStyle="1" w:styleId="Heading9Char">
    <w:name w:val="Heading 9 Char"/>
    <w:basedOn w:val="DefaultParagraphFont"/>
    <w:link w:val="Heading9"/>
    <w:uiPriority w:val="9"/>
    <w:semiHidden/>
    <w:rsid w:val="00B44A86"/>
    <w:rPr>
      <w:rFonts w:asciiTheme="majorHAnsi" w:eastAsiaTheme="majorEastAsia" w:hAnsiTheme="majorHAnsi" w:cstheme="majorBidi"/>
      <w:iCs/>
      <w:color w:val="F19D64" w:themeColor="accent2" w:themeTint="BF"/>
      <w:szCs w:val="21"/>
      <w:lang w:val="en-US" w:eastAsia="ja-JP"/>
    </w:rPr>
  </w:style>
  <w:style w:type="paragraph" w:customStyle="1" w:styleId="Body2">
    <w:name w:val="Body 2"/>
    <w:rsid w:val="00B44A8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numbering" w:customStyle="1" w:styleId="Numbered">
    <w:name w:val="Numbered"/>
    <w:rsid w:val="00B44A8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298218">
      <w:bodyDiv w:val="1"/>
      <w:marLeft w:val="0"/>
      <w:marRight w:val="0"/>
      <w:marTop w:val="0"/>
      <w:marBottom w:val="0"/>
      <w:divBdr>
        <w:top w:val="none" w:sz="0" w:space="0" w:color="auto"/>
        <w:left w:val="none" w:sz="0" w:space="0" w:color="auto"/>
        <w:bottom w:val="none" w:sz="0" w:space="0" w:color="auto"/>
        <w:right w:val="none" w:sz="0" w:space="0" w:color="auto"/>
      </w:divBdr>
    </w:div>
    <w:div w:id="10810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D1DC-060F-4D87-9E78-7EB7ADB64AC9}">
  <ds:schemaRefs>
    <ds:schemaRef ds:uri="http://schemas.microsoft.com/sharepoint/v3/contenttype/forms"/>
  </ds:schemaRefs>
</ds:datastoreItem>
</file>

<file path=customXml/itemProps2.xml><?xml version="1.0" encoding="utf-8"?>
<ds:datastoreItem xmlns:ds="http://schemas.openxmlformats.org/officeDocument/2006/customXml" ds:itemID="{5F8D4F27-B389-47F4-91E9-77F8B7120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CE56C6-A2E1-4D47-AF4A-626121C7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Mai Do Viet Anh (VP)</cp:lastModifiedBy>
  <cp:revision>21</cp:revision>
  <cp:lastPrinted>2024-07-22T02:37:00Z</cp:lastPrinted>
  <dcterms:created xsi:type="dcterms:W3CDTF">2024-07-18T10:00:00Z</dcterms:created>
  <dcterms:modified xsi:type="dcterms:W3CDTF">2026-01-19T02:10:00Z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