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C7" w:rsidRDefault="007207C7" w:rsidP="007207C7">
      <w:pPr>
        <w:spacing w:before="0"/>
        <w:ind w:right="113"/>
        <w:jc w:val="center"/>
        <w:rPr>
          <w:b/>
          <w:lang w:val="en-US"/>
        </w:rPr>
      </w:pPr>
      <w:r w:rsidRPr="004045E8">
        <w:rPr>
          <w:b/>
          <w:lang w:val="en-US"/>
        </w:rPr>
        <w:t>BẢN SO SÁNH, THUYẾT MINH DỰ THẢO THÔNG TƯ SỬA ĐỔI, BỔ SUNG MỘT SỐ ĐIỀU CỦA</w:t>
      </w:r>
      <w:r>
        <w:rPr>
          <w:b/>
          <w:lang w:val="en-US"/>
        </w:rPr>
        <w:t xml:space="preserve"> </w:t>
      </w:r>
    </w:p>
    <w:p w:rsidR="007207C7" w:rsidRDefault="007207C7" w:rsidP="007207C7">
      <w:pPr>
        <w:spacing w:before="0"/>
        <w:ind w:right="113"/>
        <w:jc w:val="center"/>
        <w:rPr>
          <w:b/>
          <w:lang w:val="en-US"/>
        </w:rPr>
      </w:pPr>
      <w:r w:rsidRPr="008F4CD9">
        <w:rPr>
          <w:b/>
          <w:lang w:val="en-US"/>
        </w:rPr>
        <w:t>THÔNG TƯ</w:t>
      </w:r>
      <w:r>
        <w:rPr>
          <w:b/>
          <w:lang w:val="en-US"/>
        </w:rPr>
        <w:t xml:space="preserve"> SỐ</w:t>
      </w:r>
      <w:r w:rsidRPr="008F4CD9">
        <w:rPr>
          <w:b/>
          <w:lang w:val="en-US"/>
        </w:rPr>
        <w:t xml:space="preserve"> 17/2016/TT-NHNN</w:t>
      </w:r>
      <w:r>
        <w:rPr>
          <w:b/>
          <w:lang w:val="en-US"/>
        </w:rPr>
        <w:t xml:space="preserve"> NGÀY 30/06/2016 QUY ĐỊNH HOẠT ĐỘNG MÔI GIỚI TIỀN TỆ </w:t>
      </w:r>
    </w:p>
    <w:p w:rsidR="00885CE8" w:rsidRPr="00795EA8" w:rsidRDefault="007207C7" w:rsidP="007207C7">
      <w:pPr>
        <w:spacing w:before="0"/>
        <w:ind w:right="113"/>
        <w:jc w:val="center"/>
        <w:rPr>
          <w:b/>
          <w:lang w:val="en-US"/>
        </w:rPr>
      </w:pPr>
      <w:r>
        <w:rPr>
          <w:b/>
          <w:lang w:val="en-US"/>
        </w:rPr>
        <w:t>CỦA NGÂN HÀNG THƯƠNG MẠI, CHI NHÁNH NGÂN HÀNG NƯỚC NGOÀI</w:t>
      </w:r>
    </w:p>
    <w:p w:rsidR="004903BF" w:rsidRPr="00795EA8" w:rsidRDefault="004903BF">
      <w:pPr>
        <w:rPr>
          <w:lang w:val="en-US"/>
        </w:rPr>
      </w:pPr>
    </w:p>
    <w:tbl>
      <w:tblPr>
        <w:tblStyle w:val="TableGrid"/>
        <w:tblW w:w="14743" w:type="dxa"/>
        <w:tblInd w:w="-176" w:type="dxa"/>
        <w:tblLayout w:type="fixed"/>
        <w:tblLook w:val="04A0" w:firstRow="1" w:lastRow="0" w:firstColumn="1" w:lastColumn="0" w:noHBand="0" w:noVBand="1"/>
      </w:tblPr>
      <w:tblGrid>
        <w:gridCol w:w="710"/>
        <w:gridCol w:w="7016"/>
        <w:gridCol w:w="7017"/>
      </w:tblGrid>
      <w:tr w:rsidR="00F67BA8" w:rsidRPr="00BC77D6" w:rsidTr="00A80822">
        <w:trPr>
          <w:trHeight w:val="851"/>
          <w:tblHeader/>
        </w:trPr>
        <w:tc>
          <w:tcPr>
            <w:tcW w:w="710" w:type="dxa"/>
            <w:vAlign w:val="center"/>
          </w:tcPr>
          <w:p w:rsidR="00F67BA8" w:rsidRPr="00BC77D6" w:rsidRDefault="00F67BA8" w:rsidP="00BB76FD">
            <w:pPr>
              <w:jc w:val="center"/>
              <w:rPr>
                <w:rFonts w:asciiTheme="majorHAnsi" w:hAnsiTheme="majorHAnsi" w:cstheme="majorHAnsi"/>
                <w:b/>
                <w:color w:val="auto"/>
                <w:sz w:val="26"/>
                <w:szCs w:val="26"/>
              </w:rPr>
            </w:pPr>
          </w:p>
          <w:p w:rsidR="00F67BA8" w:rsidRPr="00BC77D6" w:rsidRDefault="00F67BA8" w:rsidP="00BB76FD">
            <w:pPr>
              <w:jc w:val="center"/>
              <w:rPr>
                <w:rFonts w:asciiTheme="majorHAnsi" w:hAnsiTheme="majorHAnsi" w:cstheme="majorHAnsi"/>
                <w:b/>
                <w:color w:val="auto"/>
                <w:sz w:val="26"/>
                <w:szCs w:val="26"/>
                <w:lang w:val="en-US"/>
              </w:rPr>
            </w:pPr>
            <w:r w:rsidRPr="00BC77D6">
              <w:rPr>
                <w:rFonts w:asciiTheme="majorHAnsi" w:hAnsiTheme="majorHAnsi" w:cstheme="majorHAnsi"/>
                <w:b/>
                <w:color w:val="auto"/>
                <w:sz w:val="26"/>
                <w:szCs w:val="26"/>
                <w:lang w:val="en-US"/>
              </w:rPr>
              <w:t>STT</w:t>
            </w:r>
          </w:p>
          <w:p w:rsidR="003A6A4B" w:rsidRPr="00BC77D6" w:rsidRDefault="003A6A4B" w:rsidP="00BB76FD">
            <w:pPr>
              <w:jc w:val="center"/>
              <w:rPr>
                <w:rFonts w:asciiTheme="majorHAnsi" w:hAnsiTheme="majorHAnsi" w:cstheme="majorHAnsi"/>
                <w:b/>
                <w:color w:val="auto"/>
                <w:sz w:val="26"/>
                <w:szCs w:val="26"/>
                <w:lang w:val="en-US"/>
              </w:rPr>
            </w:pPr>
          </w:p>
        </w:tc>
        <w:tc>
          <w:tcPr>
            <w:tcW w:w="7016" w:type="dxa"/>
            <w:vAlign w:val="center"/>
          </w:tcPr>
          <w:p w:rsidR="00F67BA8" w:rsidRPr="00BC77D6" w:rsidRDefault="00F67BA8" w:rsidP="00BB76FD">
            <w:pPr>
              <w:jc w:val="center"/>
              <w:rPr>
                <w:rFonts w:asciiTheme="majorHAnsi" w:hAnsiTheme="majorHAnsi" w:cstheme="majorHAnsi"/>
                <w:b/>
                <w:color w:val="auto"/>
                <w:sz w:val="26"/>
                <w:szCs w:val="26"/>
                <w:lang w:val="en-US"/>
              </w:rPr>
            </w:pPr>
            <w:r w:rsidRPr="00BC77D6">
              <w:rPr>
                <w:rFonts w:asciiTheme="majorHAnsi" w:hAnsiTheme="majorHAnsi" w:cstheme="majorHAnsi"/>
                <w:b/>
                <w:color w:val="auto"/>
                <w:sz w:val="26"/>
                <w:szCs w:val="26"/>
                <w:lang w:val="en-US"/>
              </w:rPr>
              <w:t xml:space="preserve">Quy định tại </w:t>
            </w:r>
            <w:r w:rsidR="00A67C94" w:rsidRPr="00BC77D6">
              <w:rPr>
                <w:rFonts w:asciiTheme="majorHAnsi" w:hAnsiTheme="majorHAnsi" w:cstheme="majorHAnsi"/>
                <w:b/>
                <w:color w:val="auto"/>
                <w:sz w:val="26"/>
                <w:szCs w:val="26"/>
                <w:lang w:val="en-US"/>
              </w:rPr>
              <w:t>Thông tư 17/2016/TT-NHNN</w:t>
            </w:r>
          </w:p>
        </w:tc>
        <w:tc>
          <w:tcPr>
            <w:tcW w:w="7017" w:type="dxa"/>
            <w:vAlign w:val="center"/>
          </w:tcPr>
          <w:p w:rsidR="00F67BA8" w:rsidRPr="00BC77D6" w:rsidRDefault="00F67BA8" w:rsidP="00EE7FA2">
            <w:pPr>
              <w:jc w:val="center"/>
              <w:rPr>
                <w:rFonts w:asciiTheme="majorHAnsi" w:hAnsiTheme="majorHAnsi" w:cstheme="majorHAnsi"/>
                <w:b/>
                <w:color w:val="auto"/>
                <w:sz w:val="26"/>
                <w:szCs w:val="26"/>
                <w:lang w:val="en-US"/>
              </w:rPr>
            </w:pPr>
            <w:r w:rsidRPr="00BC77D6">
              <w:rPr>
                <w:rFonts w:asciiTheme="majorHAnsi" w:hAnsiTheme="majorHAnsi" w:cstheme="majorHAnsi"/>
                <w:b/>
                <w:color w:val="auto"/>
                <w:sz w:val="26"/>
                <w:szCs w:val="26"/>
                <w:lang w:val="en-US"/>
              </w:rPr>
              <w:t>Một số nội dung sửa đổi, bổ</w:t>
            </w:r>
            <w:r w:rsidR="00E670FB" w:rsidRPr="00BC77D6">
              <w:rPr>
                <w:rFonts w:asciiTheme="majorHAnsi" w:hAnsiTheme="majorHAnsi" w:cstheme="majorHAnsi"/>
                <w:b/>
                <w:color w:val="auto"/>
                <w:sz w:val="26"/>
                <w:szCs w:val="26"/>
                <w:lang w:val="en-US"/>
              </w:rPr>
              <w:t xml:space="preserve"> sung, thay thế</w:t>
            </w:r>
            <w:r w:rsidR="00EE7FA2" w:rsidRPr="00BC77D6">
              <w:rPr>
                <w:rFonts w:asciiTheme="majorHAnsi" w:hAnsiTheme="majorHAnsi" w:cstheme="majorHAnsi"/>
                <w:b/>
                <w:color w:val="auto"/>
                <w:sz w:val="26"/>
                <w:szCs w:val="26"/>
                <w:lang w:val="en-US"/>
              </w:rPr>
              <w:t xml:space="preserve"> </w:t>
            </w:r>
            <w:r w:rsidRPr="00BC77D6">
              <w:rPr>
                <w:rFonts w:asciiTheme="majorHAnsi" w:hAnsiTheme="majorHAnsi" w:cstheme="majorHAnsi"/>
                <w:b/>
                <w:color w:val="auto"/>
                <w:sz w:val="26"/>
                <w:szCs w:val="26"/>
                <w:lang w:val="en-US"/>
              </w:rPr>
              <w:t>tại dự thả</w:t>
            </w:r>
            <w:r w:rsidR="003A6A4B" w:rsidRPr="00BC77D6">
              <w:rPr>
                <w:rFonts w:asciiTheme="majorHAnsi" w:hAnsiTheme="majorHAnsi" w:cstheme="majorHAnsi"/>
                <w:b/>
                <w:color w:val="auto"/>
                <w:sz w:val="26"/>
                <w:szCs w:val="26"/>
                <w:lang w:val="en-US"/>
              </w:rPr>
              <w:t>o Thông tư</w:t>
            </w:r>
            <w:r w:rsidR="00E670FB" w:rsidRPr="00BC77D6">
              <w:rPr>
                <w:rFonts w:asciiTheme="majorHAnsi" w:hAnsiTheme="majorHAnsi" w:cstheme="majorHAnsi"/>
                <w:b/>
                <w:color w:val="auto"/>
                <w:sz w:val="26"/>
                <w:szCs w:val="26"/>
                <w:lang w:val="en-US"/>
              </w:rPr>
              <w:t xml:space="preserve"> sửa đổi, bổ sung Thông tư 17/2016/TT-NHNN</w:t>
            </w:r>
          </w:p>
        </w:tc>
      </w:tr>
      <w:tr w:rsidR="00BE2E08" w:rsidRPr="00BC77D6" w:rsidTr="00A80822">
        <w:trPr>
          <w:trHeight w:val="4691"/>
        </w:trPr>
        <w:tc>
          <w:tcPr>
            <w:tcW w:w="710" w:type="dxa"/>
            <w:vAlign w:val="center"/>
          </w:tcPr>
          <w:p w:rsidR="00BE2E08" w:rsidRPr="00BC77D6" w:rsidRDefault="00886CC4" w:rsidP="003A6A4B">
            <w:pPr>
              <w:jc w:val="center"/>
              <w:rPr>
                <w:rFonts w:asciiTheme="majorHAnsi" w:hAnsiTheme="majorHAnsi" w:cstheme="majorHAnsi"/>
                <w:color w:val="auto"/>
                <w:sz w:val="26"/>
                <w:szCs w:val="26"/>
                <w:lang w:val="en-US"/>
              </w:rPr>
            </w:pPr>
            <w:r w:rsidRPr="00BC77D6">
              <w:rPr>
                <w:rFonts w:asciiTheme="majorHAnsi" w:hAnsiTheme="majorHAnsi" w:cstheme="majorHAnsi"/>
                <w:color w:val="auto"/>
                <w:sz w:val="26"/>
                <w:szCs w:val="26"/>
                <w:lang w:val="en-US"/>
              </w:rPr>
              <w:t>1</w:t>
            </w:r>
          </w:p>
        </w:tc>
        <w:tc>
          <w:tcPr>
            <w:tcW w:w="7016" w:type="dxa"/>
          </w:tcPr>
          <w:p w:rsidR="00EE7FA2" w:rsidRPr="00BC77D6" w:rsidRDefault="00EE7FA2" w:rsidP="00154E4B">
            <w:pPr>
              <w:spacing w:after="120"/>
              <w:rPr>
                <w:rFonts w:asciiTheme="majorHAnsi" w:hAnsiTheme="majorHAnsi" w:cstheme="majorHAnsi"/>
                <w:b/>
                <w:bCs/>
                <w:color w:val="auto"/>
                <w:sz w:val="26"/>
                <w:szCs w:val="26"/>
                <w:lang w:val="en-US"/>
              </w:rPr>
            </w:pPr>
            <w:r w:rsidRPr="00BC77D6">
              <w:rPr>
                <w:rFonts w:asciiTheme="majorHAnsi" w:hAnsiTheme="majorHAnsi" w:cstheme="majorHAnsi"/>
                <w:b/>
                <w:bCs/>
                <w:color w:val="auto"/>
                <w:sz w:val="26"/>
                <w:szCs w:val="26"/>
                <w:lang w:val="en-US"/>
              </w:rPr>
              <w:t>Điều 4. Nguyên tắc môi giới tiền tệ</w:t>
            </w:r>
          </w:p>
          <w:p w:rsidR="005E58A8" w:rsidRPr="00BC77D6" w:rsidRDefault="005E58A8" w:rsidP="005E58A8">
            <w:pPr>
              <w:spacing w:after="120"/>
              <w:rPr>
                <w:rFonts w:asciiTheme="majorHAnsi" w:hAnsiTheme="majorHAnsi" w:cstheme="majorHAnsi"/>
                <w:color w:val="auto"/>
                <w:sz w:val="26"/>
                <w:szCs w:val="26"/>
              </w:rPr>
            </w:pPr>
            <w:r w:rsidRPr="00BC77D6">
              <w:rPr>
                <w:rFonts w:asciiTheme="majorHAnsi" w:hAnsiTheme="majorHAnsi" w:cstheme="majorHAnsi"/>
                <w:color w:val="auto"/>
                <w:sz w:val="26"/>
                <w:szCs w:val="26"/>
              </w:rPr>
              <w:t>1. Ngân hàng thương mại, chi nhánh ngân hàng nước ngoài phải ban hành quy định nội bộ về hoạt động môi giới tiền tệ phù hợp với quy định tại Thông tư này và các quy định của pháp luật có liên quan, trong đó phải bao gồm tối thiểu các nội dung sau: quy trình, thủ tục thực hiện môi giới tiền tệ; phạm vi trách nhiệm và quyền hạn của những người liên quan đến hoạt động môi giới tiền tệ; quản lý rủi ro đối với hoạt động môi giới tiền tệ.</w:t>
            </w:r>
          </w:p>
          <w:p w:rsidR="00BE2E08" w:rsidRDefault="005E58A8" w:rsidP="005E58A8">
            <w:pPr>
              <w:spacing w:after="120"/>
              <w:rPr>
                <w:rFonts w:asciiTheme="majorHAnsi" w:hAnsiTheme="majorHAnsi" w:cstheme="majorHAnsi"/>
                <w:color w:val="auto"/>
                <w:sz w:val="26"/>
                <w:szCs w:val="26"/>
              </w:rPr>
            </w:pPr>
            <w:r w:rsidRPr="00BC77D6">
              <w:rPr>
                <w:rFonts w:asciiTheme="majorHAnsi" w:hAnsiTheme="majorHAnsi" w:cstheme="majorHAnsi"/>
                <w:color w:val="auto"/>
                <w:sz w:val="26"/>
                <w:szCs w:val="26"/>
              </w:rPr>
              <w:t>Trong thời hạn 10 ngày</w:t>
            </w:r>
            <w:r w:rsidR="00FC5427">
              <w:rPr>
                <w:rFonts w:asciiTheme="majorHAnsi" w:hAnsiTheme="majorHAnsi" w:cstheme="majorHAnsi"/>
                <w:color w:val="auto"/>
                <w:sz w:val="26"/>
                <w:szCs w:val="26"/>
                <w:lang w:val="en-US"/>
              </w:rPr>
              <w:t xml:space="preserve"> </w:t>
            </w:r>
            <w:r w:rsidRPr="00BC77D6">
              <w:rPr>
                <w:rFonts w:asciiTheme="majorHAnsi" w:hAnsiTheme="majorHAnsi" w:cstheme="majorHAnsi"/>
                <w:color w:val="auto"/>
                <w:sz w:val="26"/>
                <w:szCs w:val="26"/>
              </w:rPr>
              <w:t>kể từ ngày ban hành, sửa đổi, bổ sung hoặc thay thế quy định nội bộ về hoạt động môi giới tiền tệ, ngân hàng thương mại, chi nhánh ngân hàng nước ngoài phải gửi trực tiếp hoặc bằng đường bưu điện cho Ngân hàng Nhà nước (Cơ quan Thanh tra, giám sát ngân hàng) quy định nội bộ được ban hành, sửa đổi, bổ sung hoặc thay thế.</w:t>
            </w:r>
          </w:p>
          <w:p w:rsidR="00A41F28" w:rsidRPr="00A41F28" w:rsidRDefault="00A41F28" w:rsidP="005E58A8">
            <w:pPr>
              <w:spacing w:after="120"/>
              <w:rPr>
                <w:rFonts w:asciiTheme="majorHAnsi" w:hAnsiTheme="majorHAnsi" w:cstheme="majorHAnsi"/>
                <w:color w:val="auto"/>
                <w:sz w:val="26"/>
                <w:szCs w:val="26"/>
                <w:lang w:val="en-US"/>
              </w:rPr>
            </w:pPr>
          </w:p>
        </w:tc>
        <w:tc>
          <w:tcPr>
            <w:tcW w:w="7017" w:type="dxa"/>
          </w:tcPr>
          <w:p w:rsidR="00095EEF" w:rsidRPr="00BC77D6" w:rsidRDefault="00095EEF" w:rsidP="00095EEF">
            <w:pPr>
              <w:spacing w:after="120"/>
              <w:rPr>
                <w:rFonts w:asciiTheme="majorHAnsi" w:hAnsiTheme="majorHAnsi" w:cstheme="majorHAnsi"/>
                <w:b/>
                <w:bCs/>
                <w:color w:val="auto"/>
                <w:sz w:val="26"/>
                <w:szCs w:val="26"/>
                <w:lang w:val="en-US"/>
              </w:rPr>
            </w:pPr>
            <w:r w:rsidRPr="00BC77D6">
              <w:rPr>
                <w:rFonts w:asciiTheme="majorHAnsi" w:hAnsiTheme="majorHAnsi" w:cstheme="majorHAnsi"/>
                <w:b/>
                <w:bCs/>
                <w:color w:val="auto"/>
                <w:sz w:val="26"/>
                <w:szCs w:val="26"/>
                <w:lang w:val="en-US"/>
              </w:rPr>
              <w:t>Điều 4. Nguyên tắc môi giới tiền tệ</w:t>
            </w:r>
          </w:p>
          <w:p w:rsidR="00095EEF" w:rsidRPr="00BC77D6" w:rsidRDefault="00095EEF" w:rsidP="00095EEF">
            <w:pPr>
              <w:spacing w:after="120"/>
              <w:rPr>
                <w:rFonts w:asciiTheme="majorHAnsi" w:hAnsiTheme="majorHAnsi" w:cstheme="majorHAnsi"/>
                <w:bCs/>
                <w:color w:val="auto"/>
                <w:sz w:val="26"/>
                <w:szCs w:val="26"/>
                <w:lang w:val="en-US"/>
              </w:rPr>
            </w:pPr>
            <w:r w:rsidRPr="00BC77D6">
              <w:rPr>
                <w:rFonts w:asciiTheme="majorHAnsi" w:hAnsiTheme="majorHAnsi" w:cstheme="majorHAnsi"/>
                <w:bCs/>
                <w:color w:val="auto"/>
                <w:sz w:val="26"/>
                <w:szCs w:val="26"/>
                <w:lang w:val="en-US"/>
              </w:rPr>
              <w:t>1. Ngân hàng thương mại, chi nhánh ngân hàng nước ngoài phải ban hành quy định nội bộ về hoạt động môi giới tiền tệ phù hợp với quy định tại Thông tư này và các quy định của pháp luật có liên quan, trong đó phải bao gồm tối thiểu các nội dung sau: quy trình, thủ tục thực hiện môi giới tiền tệ; phạm vi trách nhiệm và quyền hạn của những người liên quan đến hoạt động môi giới tiền tệ; quản lý rủi ro đối với hoạt động môi giới tiền tệ.</w:t>
            </w:r>
          </w:p>
          <w:p w:rsidR="00095EEF" w:rsidRPr="00BC77D6" w:rsidRDefault="00095EEF" w:rsidP="00095EEF">
            <w:pPr>
              <w:spacing w:after="120"/>
              <w:rPr>
                <w:rFonts w:asciiTheme="majorHAnsi" w:hAnsiTheme="majorHAnsi" w:cstheme="majorHAnsi"/>
                <w:bCs/>
                <w:color w:val="auto"/>
                <w:sz w:val="26"/>
                <w:szCs w:val="26"/>
                <w:lang w:val="en-US"/>
              </w:rPr>
            </w:pPr>
            <w:r w:rsidRPr="00BC77D6">
              <w:rPr>
                <w:rFonts w:asciiTheme="majorHAnsi" w:hAnsiTheme="majorHAnsi" w:cstheme="majorHAnsi"/>
                <w:bCs/>
                <w:color w:val="auto"/>
                <w:sz w:val="26"/>
                <w:szCs w:val="26"/>
                <w:lang w:val="en-US"/>
              </w:rPr>
              <w:t>Trong thời hạn 10 ngày</w:t>
            </w:r>
            <w:r w:rsidR="007801BE">
              <w:rPr>
                <w:rFonts w:asciiTheme="majorHAnsi" w:hAnsiTheme="majorHAnsi" w:cstheme="majorHAnsi"/>
                <w:bCs/>
                <w:color w:val="auto"/>
                <w:sz w:val="26"/>
                <w:szCs w:val="26"/>
                <w:lang w:val="en-US"/>
              </w:rPr>
              <w:t xml:space="preserve"> </w:t>
            </w:r>
            <w:r w:rsidR="00115383">
              <w:rPr>
                <w:rFonts w:asciiTheme="majorHAnsi" w:hAnsiTheme="majorHAnsi" w:cstheme="majorHAnsi"/>
                <w:bCs/>
                <w:color w:val="auto"/>
                <w:sz w:val="26"/>
                <w:szCs w:val="26"/>
                <w:u w:val="single"/>
                <w:lang w:val="en-US"/>
              </w:rPr>
              <w:t>làm việc</w:t>
            </w:r>
            <w:r w:rsidR="00115383" w:rsidRPr="00BC77D6">
              <w:rPr>
                <w:rFonts w:asciiTheme="majorHAnsi" w:hAnsiTheme="majorHAnsi" w:cstheme="majorHAnsi"/>
                <w:bCs/>
                <w:color w:val="auto"/>
                <w:sz w:val="26"/>
                <w:szCs w:val="26"/>
                <w:lang w:val="en-US"/>
              </w:rPr>
              <w:t xml:space="preserve"> </w:t>
            </w:r>
            <w:r w:rsidRPr="00BC77D6">
              <w:rPr>
                <w:rFonts w:asciiTheme="majorHAnsi" w:hAnsiTheme="majorHAnsi" w:cstheme="majorHAnsi"/>
                <w:bCs/>
                <w:color w:val="auto"/>
                <w:sz w:val="26"/>
                <w:szCs w:val="26"/>
                <w:lang w:val="en-US"/>
              </w:rPr>
              <w:t>kể từ ngày ban hành, sửa đổi, bổ sung hoặc thay thế quy định nội bộ về hoạt động môi giới tiền tệ, ngân hàng thương mại, chi nhánh ngân hàng nước ngoài phải gửi trực tiếp hoặc bằng đường bưu điện cho Ngân hàng Nhà nước (</w:t>
            </w:r>
            <w:r w:rsidR="00344AD5" w:rsidRPr="00775179">
              <w:rPr>
                <w:rFonts w:asciiTheme="majorHAnsi" w:hAnsiTheme="majorHAnsi" w:cstheme="majorHAnsi"/>
                <w:bCs/>
                <w:color w:val="auto"/>
                <w:sz w:val="26"/>
                <w:szCs w:val="26"/>
                <w:u w:val="single"/>
                <w:lang w:val="en-US"/>
              </w:rPr>
              <w:t>Cục Quản lý, giám sát tổ chức tín dụng hoặc Ngân hàng Nhà nướ</w:t>
            </w:r>
            <w:r w:rsidR="001A4028">
              <w:rPr>
                <w:rFonts w:asciiTheme="majorHAnsi" w:hAnsiTheme="majorHAnsi" w:cstheme="majorHAnsi"/>
                <w:bCs/>
                <w:color w:val="auto"/>
                <w:sz w:val="26"/>
                <w:szCs w:val="26"/>
                <w:u w:val="single"/>
                <w:lang w:val="en-US"/>
              </w:rPr>
              <w:t xml:space="preserve">c </w:t>
            </w:r>
            <w:r w:rsidR="00344AD5" w:rsidRPr="00775179">
              <w:rPr>
                <w:rFonts w:asciiTheme="majorHAnsi" w:hAnsiTheme="majorHAnsi" w:cstheme="majorHAnsi"/>
                <w:bCs/>
                <w:color w:val="auto"/>
                <w:sz w:val="26"/>
                <w:szCs w:val="26"/>
                <w:u w:val="single"/>
                <w:lang w:val="en-US"/>
              </w:rPr>
              <w:t>Khu vực</w:t>
            </w:r>
            <w:bookmarkStart w:id="0" w:name="_GoBack"/>
            <w:bookmarkEnd w:id="0"/>
            <w:r w:rsidRPr="00BC77D6">
              <w:rPr>
                <w:rFonts w:asciiTheme="majorHAnsi" w:hAnsiTheme="majorHAnsi" w:cstheme="majorHAnsi"/>
                <w:bCs/>
                <w:color w:val="auto"/>
                <w:sz w:val="26"/>
                <w:szCs w:val="26"/>
                <w:lang w:val="en-US"/>
              </w:rPr>
              <w:t>) quy định nội bộ được ban hành, sửa đổi, bổ sung hoặc thay thế.</w:t>
            </w:r>
          </w:p>
          <w:p w:rsidR="002B5C30" w:rsidRDefault="00BE2E08" w:rsidP="00095EEF">
            <w:pPr>
              <w:spacing w:after="120"/>
              <w:rPr>
                <w:rFonts w:asciiTheme="majorHAnsi" w:hAnsiTheme="majorHAnsi" w:cstheme="majorHAnsi"/>
                <w:b/>
                <w:color w:val="auto"/>
                <w:sz w:val="26"/>
                <w:szCs w:val="26"/>
                <w:u w:val="single"/>
                <w:lang w:val="pl-PL"/>
              </w:rPr>
            </w:pPr>
            <w:r w:rsidRPr="00BC77D6">
              <w:rPr>
                <w:rFonts w:asciiTheme="majorHAnsi" w:hAnsiTheme="majorHAnsi" w:cstheme="majorHAnsi"/>
                <w:b/>
                <w:color w:val="auto"/>
                <w:sz w:val="26"/>
                <w:szCs w:val="26"/>
                <w:u w:val="single"/>
                <w:lang w:val="pl-PL"/>
              </w:rPr>
              <w:t>Cơ sở đề xuất:</w:t>
            </w:r>
          </w:p>
          <w:p w:rsidR="000E39BC" w:rsidRDefault="000E39BC" w:rsidP="000E39BC">
            <w:pPr>
              <w:spacing w:after="120"/>
              <w:rPr>
                <w:rFonts w:asciiTheme="majorHAnsi" w:hAnsiTheme="majorHAnsi" w:cstheme="majorHAnsi"/>
                <w:color w:val="auto"/>
                <w:sz w:val="26"/>
                <w:szCs w:val="26"/>
                <w:lang w:val="en-US"/>
              </w:rPr>
            </w:pPr>
            <w:r>
              <w:rPr>
                <w:rFonts w:asciiTheme="majorHAnsi" w:hAnsiTheme="majorHAnsi" w:cstheme="majorHAnsi"/>
                <w:color w:val="auto"/>
                <w:sz w:val="26"/>
                <w:szCs w:val="26"/>
                <w:lang w:val="pl-PL"/>
              </w:rPr>
              <w:t xml:space="preserve">- Điều chỉnh thời hạn gửi quy định nội bộ </w:t>
            </w:r>
            <w:r w:rsidRPr="00A41F28">
              <w:rPr>
                <w:rFonts w:asciiTheme="majorHAnsi" w:hAnsiTheme="majorHAnsi" w:cstheme="majorHAnsi"/>
                <w:color w:val="auto"/>
                <w:sz w:val="26"/>
                <w:szCs w:val="26"/>
                <w:lang w:val="pl-PL"/>
              </w:rPr>
              <w:t>được ban hành, sửa đổi, bổ sung hoặc thay thế</w:t>
            </w:r>
            <w:r>
              <w:rPr>
                <w:rFonts w:asciiTheme="majorHAnsi" w:hAnsiTheme="majorHAnsi" w:cstheme="majorHAnsi"/>
                <w:color w:val="auto"/>
                <w:sz w:val="26"/>
                <w:szCs w:val="26"/>
                <w:lang w:val="pl-PL"/>
              </w:rPr>
              <w:t xml:space="preserve"> từ </w:t>
            </w:r>
            <w:r>
              <w:rPr>
                <w:rFonts w:asciiTheme="majorHAnsi" w:hAnsiTheme="majorHAnsi" w:cstheme="majorHAnsi"/>
                <w:color w:val="auto"/>
                <w:sz w:val="26"/>
                <w:szCs w:val="26"/>
                <w:lang w:val="en-US"/>
              </w:rPr>
              <w:t>“</w:t>
            </w:r>
            <w:r>
              <w:rPr>
                <w:rFonts w:asciiTheme="majorHAnsi" w:hAnsiTheme="majorHAnsi" w:cstheme="majorHAnsi"/>
                <w:color w:val="auto"/>
                <w:sz w:val="26"/>
                <w:szCs w:val="26"/>
                <w:lang w:val="pl-PL"/>
              </w:rPr>
              <w:t>10 ngày</w:t>
            </w:r>
            <w:r>
              <w:rPr>
                <w:rFonts w:asciiTheme="majorHAnsi" w:hAnsiTheme="majorHAnsi" w:cstheme="majorHAnsi"/>
                <w:color w:val="auto"/>
                <w:sz w:val="26"/>
                <w:szCs w:val="26"/>
                <w:lang w:val="en-US"/>
              </w:rPr>
              <w:t>”</w:t>
            </w:r>
            <w:r>
              <w:rPr>
                <w:rFonts w:asciiTheme="majorHAnsi" w:hAnsiTheme="majorHAnsi" w:cstheme="majorHAnsi"/>
                <w:color w:val="auto"/>
                <w:sz w:val="26"/>
                <w:szCs w:val="26"/>
                <w:lang w:val="pl-PL"/>
              </w:rPr>
              <w:t xml:space="preserve"> thành </w:t>
            </w:r>
            <w:r>
              <w:rPr>
                <w:rFonts w:asciiTheme="majorHAnsi" w:hAnsiTheme="majorHAnsi" w:cstheme="majorHAnsi"/>
                <w:color w:val="auto"/>
                <w:sz w:val="26"/>
                <w:szCs w:val="26"/>
                <w:lang w:val="en-US"/>
              </w:rPr>
              <w:t>“10 ngày làm việc” để phù hợp với tình hình thực tế.</w:t>
            </w:r>
          </w:p>
          <w:p w:rsidR="00BE2E08" w:rsidRPr="00BC77D6" w:rsidRDefault="000E39BC" w:rsidP="000E39BC">
            <w:pPr>
              <w:spacing w:after="120"/>
              <w:rPr>
                <w:rFonts w:asciiTheme="majorHAnsi" w:hAnsiTheme="majorHAnsi" w:cstheme="majorHAnsi"/>
                <w:color w:val="auto"/>
                <w:sz w:val="26"/>
                <w:szCs w:val="26"/>
                <w:lang w:val="pl-PL"/>
              </w:rPr>
            </w:pPr>
            <w:r>
              <w:rPr>
                <w:rFonts w:asciiTheme="majorHAnsi" w:hAnsiTheme="majorHAnsi" w:cstheme="majorHAnsi"/>
                <w:color w:val="auto"/>
                <w:sz w:val="26"/>
                <w:szCs w:val="26"/>
                <w:lang w:val="en-US"/>
              </w:rPr>
              <w:t>- Điều chỉnh đơn vị nhận quy định nội bộ của TCTD t</w:t>
            </w:r>
            <w:r>
              <w:rPr>
                <w:rFonts w:asciiTheme="majorHAnsi" w:hAnsiTheme="majorHAnsi" w:cstheme="majorHAnsi"/>
                <w:color w:val="auto"/>
                <w:sz w:val="26"/>
                <w:szCs w:val="26"/>
                <w:lang w:val="pl-PL"/>
              </w:rPr>
              <w:t xml:space="preserve">rên cơ sở chức năng, nhiệm vụ của Cục Quản lý, giám sát tổ chức tín dụng và </w:t>
            </w:r>
            <w:r w:rsidRPr="00344AD5">
              <w:rPr>
                <w:rFonts w:asciiTheme="majorHAnsi" w:hAnsiTheme="majorHAnsi" w:cstheme="majorHAnsi"/>
                <w:bCs/>
                <w:color w:val="auto"/>
                <w:sz w:val="26"/>
                <w:szCs w:val="26"/>
                <w:lang w:val="en-US"/>
              </w:rPr>
              <w:t>Ngân hàng Nhà nướ</w:t>
            </w:r>
            <w:r>
              <w:rPr>
                <w:rFonts w:asciiTheme="majorHAnsi" w:hAnsiTheme="majorHAnsi" w:cstheme="majorHAnsi"/>
                <w:bCs/>
                <w:color w:val="auto"/>
                <w:sz w:val="26"/>
                <w:szCs w:val="26"/>
                <w:lang w:val="en-US"/>
              </w:rPr>
              <w:t>c c</w:t>
            </w:r>
            <w:r w:rsidRPr="00344AD5">
              <w:rPr>
                <w:rFonts w:asciiTheme="majorHAnsi" w:hAnsiTheme="majorHAnsi" w:cstheme="majorHAnsi"/>
                <w:bCs/>
                <w:color w:val="auto"/>
                <w:sz w:val="26"/>
                <w:szCs w:val="26"/>
                <w:lang w:val="en-US"/>
              </w:rPr>
              <w:t>hi nhánh</w:t>
            </w:r>
            <w:r>
              <w:rPr>
                <w:rFonts w:asciiTheme="majorHAnsi" w:hAnsiTheme="majorHAnsi" w:cstheme="majorHAnsi"/>
                <w:bCs/>
                <w:color w:val="auto"/>
                <w:sz w:val="26"/>
                <w:szCs w:val="26"/>
                <w:lang w:val="en-US"/>
              </w:rPr>
              <w:t xml:space="preserve"> tại các</w:t>
            </w:r>
            <w:r w:rsidRPr="00344AD5">
              <w:rPr>
                <w:rFonts w:asciiTheme="majorHAnsi" w:hAnsiTheme="majorHAnsi" w:cstheme="majorHAnsi"/>
                <w:bCs/>
                <w:color w:val="auto"/>
                <w:sz w:val="26"/>
                <w:szCs w:val="26"/>
                <w:lang w:val="en-US"/>
              </w:rPr>
              <w:t xml:space="preserve"> Khu vực</w:t>
            </w:r>
            <w:r>
              <w:rPr>
                <w:rFonts w:asciiTheme="majorHAnsi" w:hAnsiTheme="majorHAnsi" w:cstheme="majorHAnsi"/>
                <w:bCs/>
                <w:color w:val="auto"/>
                <w:sz w:val="26"/>
                <w:szCs w:val="26"/>
                <w:lang w:val="en-US"/>
              </w:rPr>
              <w:t xml:space="preserve"> sau khi thay đổi cơ cấu, tổ chức tại Ngân hàng Nhà nước tại Nghị định 26/2025/NĐ-CP ngày 24/02/2025.</w:t>
            </w:r>
          </w:p>
        </w:tc>
      </w:tr>
      <w:tr w:rsidR="00BE2E08" w:rsidRPr="00BC77D6" w:rsidTr="00A80822">
        <w:trPr>
          <w:trHeight w:val="1705"/>
        </w:trPr>
        <w:tc>
          <w:tcPr>
            <w:tcW w:w="710" w:type="dxa"/>
            <w:vAlign w:val="center"/>
          </w:tcPr>
          <w:p w:rsidR="00BE2E08" w:rsidRPr="00BC77D6" w:rsidRDefault="0098545A" w:rsidP="003A6A4B">
            <w:pPr>
              <w:jc w:val="center"/>
              <w:rPr>
                <w:rFonts w:asciiTheme="majorHAnsi" w:hAnsiTheme="majorHAnsi" w:cstheme="majorHAnsi"/>
                <w:color w:val="auto"/>
                <w:sz w:val="26"/>
                <w:szCs w:val="26"/>
                <w:lang w:val="pl-PL"/>
              </w:rPr>
            </w:pPr>
            <w:r w:rsidRPr="00BC77D6">
              <w:rPr>
                <w:rFonts w:asciiTheme="majorHAnsi" w:hAnsiTheme="majorHAnsi" w:cstheme="majorHAnsi"/>
                <w:color w:val="auto"/>
                <w:sz w:val="26"/>
                <w:szCs w:val="26"/>
                <w:lang w:val="pl-PL"/>
              </w:rPr>
              <w:lastRenderedPageBreak/>
              <w:t>2</w:t>
            </w:r>
          </w:p>
        </w:tc>
        <w:tc>
          <w:tcPr>
            <w:tcW w:w="7016" w:type="dxa"/>
          </w:tcPr>
          <w:p w:rsidR="002620E5" w:rsidRPr="00BC77D6" w:rsidRDefault="002620E5" w:rsidP="00154E4B">
            <w:pPr>
              <w:spacing w:after="120"/>
              <w:rPr>
                <w:rFonts w:asciiTheme="majorHAnsi" w:hAnsiTheme="majorHAnsi" w:cstheme="majorHAnsi"/>
                <w:b/>
                <w:bCs/>
                <w:color w:val="auto"/>
                <w:sz w:val="26"/>
                <w:szCs w:val="26"/>
                <w:lang w:val="en-US"/>
              </w:rPr>
            </w:pPr>
            <w:r w:rsidRPr="00BC77D6">
              <w:rPr>
                <w:rFonts w:asciiTheme="majorHAnsi" w:hAnsiTheme="majorHAnsi" w:cstheme="majorHAnsi"/>
                <w:b/>
                <w:bCs/>
                <w:color w:val="auto"/>
                <w:sz w:val="26"/>
                <w:szCs w:val="26"/>
                <w:lang w:val="en-US"/>
              </w:rPr>
              <w:t>Điều 11. Tổ chức thực hiện</w:t>
            </w:r>
          </w:p>
          <w:p w:rsidR="002620E5" w:rsidRPr="00BC77D6" w:rsidRDefault="002620E5" w:rsidP="002620E5">
            <w:pPr>
              <w:spacing w:after="120"/>
              <w:rPr>
                <w:rFonts w:asciiTheme="majorHAnsi" w:hAnsiTheme="majorHAnsi" w:cstheme="majorHAnsi"/>
                <w:color w:val="auto"/>
                <w:sz w:val="26"/>
                <w:szCs w:val="26"/>
                <w:lang w:val="en-US"/>
              </w:rPr>
            </w:pPr>
            <w:r w:rsidRPr="00BC77D6">
              <w:rPr>
                <w:rFonts w:asciiTheme="majorHAnsi" w:hAnsiTheme="majorHAnsi" w:cstheme="majorHAnsi"/>
                <w:color w:val="auto"/>
                <w:sz w:val="26"/>
                <w:szCs w:val="26"/>
                <w:lang w:val="en-US"/>
              </w:rPr>
              <w:t>1. Cơ quan Thanh tra, giám sát ngân hàng chịu trách nhiệm kiểm tra, thanh tra, giám sát việc thực hiện Thông tư này và xử lý các trường hợp vi phạm theo thẩm quyền.</w:t>
            </w:r>
          </w:p>
          <w:p w:rsidR="00BE2E08" w:rsidRPr="00BC77D6" w:rsidRDefault="002620E5" w:rsidP="002620E5">
            <w:pPr>
              <w:spacing w:before="120" w:after="120"/>
              <w:rPr>
                <w:rFonts w:asciiTheme="majorHAnsi" w:hAnsiTheme="majorHAnsi" w:cstheme="majorHAnsi"/>
                <w:b/>
                <w:color w:val="auto"/>
                <w:sz w:val="26"/>
                <w:szCs w:val="26"/>
              </w:rPr>
            </w:pPr>
            <w:r w:rsidRPr="00BC77D6">
              <w:rPr>
                <w:rFonts w:asciiTheme="majorHAnsi" w:hAnsiTheme="majorHAnsi" w:cstheme="majorHAnsi"/>
                <w:color w:val="auto"/>
                <w:sz w:val="26"/>
                <w:szCs w:val="26"/>
                <w:lang w:val="en-US"/>
              </w:rPr>
              <w:t>2. Chánh Văn phòng, Vụ trưởng Vụ Chính sách tiền tệ,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các ngân hàng thương mại, chi nhánh ngân hàng nước ngoài chịu trách nhiệm tổ chức thực hiện Thông tư này.</w:t>
            </w:r>
          </w:p>
        </w:tc>
        <w:tc>
          <w:tcPr>
            <w:tcW w:w="7017" w:type="dxa"/>
          </w:tcPr>
          <w:p w:rsidR="001B26E5" w:rsidRPr="00BC77D6" w:rsidRDefault="001B26E5" w:rsidP="00154E4B">
            <w:pPr>
              <w:spacing w:after="120"/>
              <w:rPr>
                <w:rFonts w:asciiTheme="majorHAnsi" w:eastAsia="Times New Roman" w:hAnsiTheme="majorHAnsi" w:cstheme="majorHAnsi"/>
                <w:b/>
                <w:bCs/>
                <w:color w:val="auto"/>
                <w:sz w:val="26"/>
                <w:szCs w:val="26"/>
                <w:lang w:val="pl-PL"/>
              </w:rPr>
            </w:pPr>
            <w:r w:rsidRPr="00BC77D6">
              <w:rPr>
                <w:rFonts w:asciiTheme="majorHAnsi" w:eastAsia="Times New Roman" w:hAnsiTheme="majorHAnsi" w:cstheme="majorHAnsi"/>
                <w:b/>
                <w:bCs/>
                <w:color w:val="auto"/>
                <w:sz w:val="26"/>
                <w:szCs w:val="26"/>
                <w:lang w:val="pl-PL"/>
              </w:rPr>
              <w:t>Điều 11. Tổ chức thực hiện</w:t>
            </w:r>
          </w:p>
          <w:p w:rsidR="007F7D2C" w:rsidRPr="007F7D2C" w:rsidRDefault="007F7D2C" w:rsidP="007F7D2C">
            <w:pPr>
              <w:spacing w:after="120"/>
              <w:rPr>
                <w:rFonts w:asciiTheme="majorHAnsi" w:hAnsiTheme="majorHAnsi" w:cstheme="majorHAnsi"/>
                <w:color w:val="auto"/>
                <w:sz w:val="26"/>
                <w:szCs w:val="26"/>
                <w:lang w:val="en-US"/>
              </w:rPr>
            </w:pPr>
            <w:r w:rsidRPr="007F7D2C">
              <w:rPr>
                <w:rFonts w:asciiTheme="majorHAnsi" w:hAnsiTheme="majorHAnsi" w:cstheme="majorHAnsi"/>
                <w:color w:val="auto"/>
                <w:sz w:val="26"/>
                <w:szCs w:val="26"/>
                <w:lang w:val="en-US"/>
              </w:rPr>
              <w:t>1.</w:t>
            </w:r>
            <w:r w:rsidR="00A147DB">
              <w:rPr>
                <w:rFonts w:asciiTheme="majorHAnsi" w:hAnsiTheme="majorHAnsi" w:cstheme="majorHAnsi"/>
                <w:color w:val="auto"/>
                <w:sz w:val="26"/>
                <w:szCs w:val="26"/>
                <w:lang w:val="en-US"/>
              </w:rPr>
              <w:t xml:space="preserve"> </w:t>
            </w:r>
            <w:r w:rsidR="00337C1F" w:rsidRPr="003A619D">
              <w:rPr>
                <w:rFonts w:asciiTheme="majorHAnsi" w:hAnsiTheme="majorHAnsi" w:cstheme="majorHAnsi"/>
                <w:color w:val="auto"/>
                <w:sz w:val="26"/>
                <w:szCs w:val="26"/>
                <w:u w:val="single"/>
                <w:lang w:val="en-US"/>
              </w:rPr>
              <w:t>Thanh tra Ngân hàng Nhà nước, Cụ</w:t>
            </w:r>
            <w:r w:rsidR="00202E6B" w:rsidRPr="003A619D">
              <w:rPr>
                <w:rFonts w:asciiTheme="majorHAnsi" w:hAnsiTheme="majorHAnsi" w:cstheme="majorHAnsi"/>
                <w:color w:val="auto"/>
                <w:sz w:val="26"/>
                <w:szCs w:val="26"/>
                <w:u w:val="single"/>
                <w:lang w:val="en-US"/>
              </w:rPr>
              <w:t>c Q</w:t>
            </w:r>
            <w:r w:rsidR="00337C1F" w:rsidRPr="003A619D">
              <w:rPr>
                <w:rFonts w:asciiTheme="majorHAnsi" w:hAnsiTheme="majorHAnsi" w:cstheme="majorHAnsi"/>
                <w:color w:val="auto"/>
                <w:sz w:val="26"/>
                <w:szCs w:val="26"/>
                <w:u w:val="single"/>
                <w:lang w:val="en-US"/>
              </w:rPr>
              <w:t>uản lý</w:t>
            </w:r>
            <w:r w:rsidR="00202E6B" w:rsidRPr="003A619D">
              <w:rPr>
                <w:rFonts w:asciiTheme="majorHAnsi" w:hAnsiTheme="majorHAnsi" w:cstheme="majorHAnsi"/>
                <w:color w:val="auto"/>
                <w:sz w:val="26"/>
                <w:szCs w:val="26"/>
                <w:u w:val="single"/>
                <w:lang w:val="en-US"/>
              </w:rPr>
              <w:t>,</w:t>
            </w:r>
            <w:r w:rsidR="00337C1F" w:rsidRPr="003A619D">
              <w:rPr>
                <w:rFonts w:asciiTheme="majorHAnsi" w:hAnsiTheme="majorHAnsi" w:cstheme="majorHAnsi"/>
                <w:color w:val="auto"/>
                <w:sz w:val="26"/>
                <w:szCs w:val="26"/>
                <w:u w:val="single"/>
                <w:lang w:val="en-US"/>
              </w:rPr>
              <w:t xml:space="preserve"> giám sát tổ chức tín dụ</w:t>
            </w:r>
            <w:r w:rsidR="00D96940" w:rsidRPr="003A619D">
              <w:rPr>
                <w:rFonts w:asciiTheme="majorHAnsi" w:hAnsiTheme="majorHAnsi" w:cstheme="majorHAnsi"/>
                <w:color w:val="auto"/>
                <w:sz w:val="26"/>
                <w:szCs w:val="26"/>
                <w:u w:val="single"/>
                <w:lang w:val="en-US"/>
              </w:rPr>
              <w:t>ng và</w:t>
            </w:r>
            <w:r w:rsidR="00A80D07" w:rsidRPr="003A619D">
              <w:rPr>
                <w:rFonts w:asciiTheme="majorHAnsi" w:hAnsiTheme="majorHAnsi" w:cstheme="majorHAnsi"/>
                <w:color w:val="auto"/>
                <w:sz w:val="26"/>
                <w:szCs w:val="26"/>
                <w:u w:val="single"/>
                <w:lang w:val="en-US"/>
              </w:rPr>
              <w:t xml:space="preserve"> </w:t>
            </w:r>
            <w:r w:rsidR="00337C1F" w:rsidRPr="003A619D">
              <w:rPr>
                <w:rFonts w:asciiTheme="majorHAnsi" w:hAnsiTheme="majorHAnsi" w:cstheme="majorHAnsi"/>
                <w:color w:val="auto"/>
                <w:sz w:val="26"/>
                <w:szCs w:val="26"/>
                <w:u w:val="single"/>
                <w:lang w:val="en-US"/>
              </w:rPr>
              <w:t>Ngân hàng Nhà nước Chi nhánh</w:t>
            </w:r>
            <w:r w:rsidR="00507EF3" w:rsidRPr="003A619D">
              <w:rPr>
                <w:rFonts w:asciiTheme="majorHAnsi" w:hAnsiTheme="majorHAnsi" w:cstheme="majorHAnsi"/>
                <w:color w:val="auto"/>
                <w:sz w:val="26"/>
                <w:szCs w:val="26"/>
                <w:u w:val="single"/>
                <w:lang w:val="en-US"/>
              </w:rPr>
              <w:t xml:space="preserve"> </w:t>
            </w:r>
            <w:r w:rsidR="001C3088" w:rsidRPr="003A619D">
              <w:rPr>
                <w:rFonts w:asciiTheme="majorHAnsi" w:hAnsiTheme="majorHAnsi" w:cstheme="majorHAnsi"/>
                <w:color w:val="auto"/>
                <w:sz w:val="26"/>
                <w:szCs w:val="26"/>
                <w:u w:val="single"/>
                <w:lang w:val="en-US"/>
              </w:rPr>
              <w:t xml:space="preserve">tại </w:t>
            </w:r>
            <w:r w:rsidR="00507EF3" w:rsidRPr="003A619D">
              <w:rPr>
                <w:rFonts w:asciiTheme="majorHAnsi" w:hAnsiTheme="majorHAnsi" w:cstheme="majorHAnsi"/>
                <w:color w:val="auto"/>
                <w:sz w:val="26"/>
                <w:szCs w:val="26"/>
                <w:u w:val="single"/>
                <w:lang w:val="en-US"/>
              </w:rPr>
              <w:t>các</w:t>
            </w:r>
            <w:r w:rsidR="00337C1F" w:rsidRPr="003A619D">
              <w:rPr>
                <w:rFonts w:asciiTheme="majorHAnsi" w:hAnsiTheme="majorHAnsi" w:cstheme="majorHAnsi"/>
                <w:color w:val="auto"/>
                <w:sz w:val="26"/>
                <w:szCs w:val="26"/>
                <w:u w:val="single"/>
                <w:lang w:val="en-US"/>
              </w:rPr>
              <w:t xml:space="preserve"> Khu vực</w:t>
            </w:r>
            <w:r w:rsidR="00A80D07">
              <w:rPr>
                <w:rFonts w:asciiTheme="majorHAnsi" w:hAnsiTheme="majorHAnsi" w:cstheme="majorHAnsi"/>
                <w:color w:val="auto"/>
                <w:sz w:val="26"/>
                <w:szCs w:val="26"/>
                <w:lang w:val="en-US"/>
              </w:rPr>
              <w:t xml:space="preserve"> </w:t>
            </w:r>
            <w:r w:rsidR="00337C1F" w:rsidRPr="00337C1F">
              <w:rPr>
                <w:rFonts w:asciiTheme="majorHAnsi" w:hAnsiTheme="majorHAnsi" w:cstheme="majorHAnsi"/>
                <w:color w:val="auto"/>
                <w:sz w:val="26"/>
                <w:szCs w:val="26"/>
                <w:lang w:val="en-US"/>
              </w:rPr>
              <w:t xml:space="preserve">chịu trách nhiệm </w:t>
            </w:r>
            <w:r w:rsidR="00337C1F" w:rsidRPr="0035302D">
              <w:rPr>
                <w:rFonts w:asciiTheme="majorHAnsi" w:hAnsiTheme="majorHAnsi" w:cstheme="majorHAnsi"/>
                <w:color w:val="auto"/>
                <w:sz w:val="26"/>
                <w:szCs w:val="26"/>
                <w:lang w:val="en-US"/>
              </w:rPr>
              <w:t>giám sát, kiểm tra, thanh tra</w:t>
            </w:r>
            <w:r w:rsidR="00337C1F" w:rsidRPr="00337C1F">
              <w:rPr>
                <w:rFonts w:asciiTheme="majorHAnsi" w:hAnsiTheme="majorHAnsi" w:cstheme="majorHAnsi"/>
                <w:color w:val="auto"/>
                <w:sz w:val="26"/>
                <w:szCs w:val="26"/>
                <w:lang w:val="en-US"/>
              </w:rPr>
              <w:t xml:space="preserve"> việc thực hiện Thông tư này và xử lý các trường hợp vi phạm theo thẩm quyền.</w:t>
            </w:r>
          </w:p>
          <w:p w:rsidR="007F7D2C" w:rsidRDefault="007F7D2C" w:rsidP="007F7D2C">
            <w:pPr>
              <w:pStyle w:val="NormalWeb"/>
              <w:spacing w:before="120" w:beforeAutospacing="0" w:after="120" w:afterAutospacing="0"/>
              <w:jc w:val="both"/>
              <w:rPr>
                <w:rFonts w:asciiTheme="majorHAnsi" w:hAnsiTheme="majorHAnsi" w:cstheme="majorHAnsi"/>
                <w:sz w:val="26"/>
                <w:szCs w:val="26"/>
              </w:rPr>
            </w:pPr>
            <w:r w:rsidRPr="007F7D2C">
              <w:rPr>
                <w:rFonts w:asciiTheme="majorHAnsi" w:hAnsiTheme="majorHAnsi" w:cstheme="majorHAnsi"/>
                <w:sz w:val="26"/>
                <w:szCs w:val="26"/>
              </w:rPr>
              <w:t xml:space="preserve">2. </w:t>
            </w:r>
            <w:r w:rsidRPr="003A619D">
              <w:rPr>
                <w:rFonts w:asciiTheme="majorHAnsi" w:hAnsiTheme="majorHAnsi" w:cstheme="majorHAnsi"/>
                <w:sz w:val="26"/>
                <w:szCs w:val="26"/>
                <w:u w:val="single"/>
              </w:rPr>
              <w:t>Thủ trưởng các đơn vị thuộc Ngân hàng Nhà nước Việt Nam, các tổ chức tín dụng, chi nhánh ngân hàng nước ngoài</w:t>
            </w:r>
            <w:r w:rsidRPr="007F7D2C">
              <w:rPr>
                <w:rFonts w:asciiTheme="majorHAnsi" w:hAnsiTheme="majorHAnsi" w:cstheme="majorHAnsi"/>
                <w:sz w:val="26"/>
                <w:szCs w:val="26"/>
              </w:rPr>
              <w:t xml:space="preserve"> chịu trách nhiệm tổ chức thực hiện Thông tư này.</w:t>
            </w:r>
          </w:p>
          <w:p w:rsidR="00BE2E08" w:rsidRPr="00BC77D6" w:rsidRDefault="00BE2E08" w:rsidP="007F7D2C">
            <w:pPr>
              <w:pStyle w:val="NormalWeb"/>
              <w:spacing w:before="120" w:beforeAutospacing="0" w:after="120" w:afterAutospacing="0"/>
              <w:jc w:val="both"/>
              <w:rPr>
                <w:rFonts w:asciiTheme="majorHAnsi" w:hAnsiTheme="majorHAnsi" w:cstheme="majorHAnsi"/>
                <w:b/>
                <w:bCs/>
                <w:sz w:val="26"/>
                <w:szCs w:val="26"/>
                <w:u w:val="single"/>
                <w:lang w:val="vi-VN"/>
              </w:rPr>
            </w:pPr>
            <w:r w:rsidRPr="00BC77D6">
              <w:rPr>
                <w:rFonts w:asciiTheme="majorHAnsi" w:hAnsiTheme="majorHAnsi" w:cstheme="majorHAnsi"/>
                <w:b/>
                <w:bCs/>
                <w:sz w:val="26"/>
                <w:szCs w:val="26"/>
                <w:u w:val="single"/>
                <w:lang w:val="vi-VN"/>
              </w:rPr>
              <w:t>Cơ sở đề xuất:</w:t>
            </w:r>
          </w:p>
          <w:p w:rsidR="00EB7CF6" w:rsidRPr="00BC77D6" w:rsidRDefault="001E3CC5" w:rsidP="00154E4B">
            <w:pPr>
              <w:tabs>
                <w:tab w:val="left" w:pos="0"/>
              </w:tabs>
              <w:spacing w:before="120" w:after="120"/>
              <w:ind w:firstLine="34"/>
              <w:rPr>
                <w:rFonts w:asciiTheme="majorHAnsi" w:hAnsiTheme="majorHAnsi" w:cstheme="majorHAnsi"/>
                <w:bCs/>
                <w:sz w:val="26"/>
                <w:szCs w:val="26"/>
                <w:lang w:val="en-US"/>
              </w:rPr>
            </w:pPr>
            <w:r w:rsidRPr="00BC77D6">
              <w:rPr>
                <w:rFonts w:asciiTheme="majorHAnsi" w:eastAsia="Times New Roman" w:hAnsiTheme="majorHAnsi" w:cstheme="majorHAnsi"/>
                <w:bCs/>
                <w:color w:val="auto"/>
                <w:sz w:val="26"/>
                <w:szCs w:val="26"/>
              </w:rPr>
              <w:t xml:space="preserve">Để phù hợp với cơ cấu tổ </w:t>
            </w:r>
            <w:r w:rsidR="00DD725F">
              <w:rPr>
                <w:rFonts w:asciiTheme="majorHAnsi" w:eastAsia="Times New Roman" w:hAnsiTheme="majorHAnsi" w:cstheme="majorHAnsi"/>
                <w:bCs/>
                <w:color w:val="auto"/>
                <w:sz w:val="26"/>
                <w:szCs w:val="26"/>
              </w:rPr>
              <w:t xml:space="preserve">chức mới tại Ngân hàng Nhà nước quy định tại </w:t>
            </w:r>
            <w:r w:rsidR="00DD725F">
              <w:rPr>
                <w:rFonts w:asciiTheme="majorHAnsi" w:hAnsiTheme="majorHAnsi" w:cstheme="majorHAnsi"/>
                <w:bCs/>
                <w:color w:val="auto"/>
                <w:sz w:val="26"/>
                <w:szCs w:val="26"/>
                <w:lang w:val="en-US"/>
              </w:rPr>
              <w:t>Nghị định 26/2025/NĐ-CP ngày 24/02/2025.</w:t>
            </w:r>
          </w:p>
        </w:tc>
      </w:tr>
    </w:tbl>
    <w:p w:rsidR="004903BF" w:rsidRPr="00795EA8" w:rsidRDefault="004903BF" w:rsidP="004A2D4A">
      <w:pPr>
        <w:rPr>
          <w:color w:val="FF0000"/>
          <w:lang w:val="pl-PL"/>
        </w:rPr>
      </w:pPr>
    </w:p>
    <w:sectPr w:rsidR="004903BF" w:rsidRPr="00795EA8" w:rsidSect="00BF3F96">
      <w:headerReference w:type="default" r:id="rId11"/>
      <w:pgSz w:w="16840" w:h="11907" w:orient="landscape" w:code="9"/>
      <w:pgMar w:top="568" w:right="1134" w:bottom="851" w:left="1134"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389" w:rsidRDefault="00875389" w:rsidP="00E17A98">
      <w:pPr>
        <w:spacing w:before="0"/>
      </w:pPr>
      <w:r>
        <w:separator/>
      </w:r>
    </w:p>
  </w:endnote>
  <w:endnote w:type="continuationSeparator" w:id="0">
    <w:p w:rsidR="00875389" w:rsidRDefault="00875389" w:rsidP="00E17A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389" w:rsidRDefault="00875389" w:rsidP="00E17A98">
      <w:pPr>
        <w:spacing w:before="0"/>
      </w:pPr>
      <w:r>
        <w:separator/>
      </w:r>
    </w:p>
  </w:footnote>
  <w:footnote w:type="continuationSeparator" w:id="0">
    <w:p w:rsidR="00875389" w:rsidRDefault="00875389" w:rsidP="00E17A9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9960"/>
      <w:docPartObj>
        <w:docPartGallery w:val="Page Numbers (Top of Page)"/>
        <w:docPartUnique/>
      </w:docPartObj>
    </w:sdtPr>
    <w:sdtEndPr>
      <w:rPr>
        <w:noProof/>
      </w:rPr>
    </w:sdtEndPr>
    <w:sdtContent>
      <w:p w:rsidR="00BF3F96" w:rsidRDefault="00BF3F96">
        <w:pPr>
          <w:pStyle w:val="Header"/>
          <w:jc w:val="center"/>
        </w:pPr>
        <w:r>
          <w:fldChar w:fldCharType="begin"/>
        </w:r>
        <w:r>
          <w:instrText xml:space="preserve"> PAGE   \* MERGEFORMAT </w:instrText>
        </w:r>
        <w:r>
          <w:fldChar w:fldCharType="separate"/>
        </w:r>
        <w:r w:rsidR="0000125A">
          <w:rPr>
            <w:noProof/>
          </w:rPr>
          <w:t>2</w:t>
        </w:r>
        <w:r>
          <w:rPr>
            <w:noProof/>
          </w:rPr>
          <w:fldChar w:fldCharType="end"/>
        </w:r>
      </w:p>
    </w:sdtContent>
  </w:sdt>
  <w:p w:rsidR="00BF3F96" w:rsidRDefault="00BF3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133D0"/>
    <w:multiLevelType w:val="hybridMultilevel"/>
    <w:tmpl w:val="29BC98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30F31C1"/>
    <w:multiLevelType w:val="hybridMultilevel"/>
    <w:tmpl w:val="ED628652"/>
    <w:lvl w:ilvl="0" w:tplc="0B809E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312E7"/>
    <w:multiLevelType w:val="hybridMultilevel"/>
    <w:tmpl w:val="6D18A7EE"/>
    <w:lvl w:ilvl="0" w:tplc="68785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BF"/>
    <w:rsid w:val="0000125A"/>
    <w:rsid w:val="0000714D"/>
    <w:rsid w:val="00010DAE"/>
    <w:rsid w:val="00011F14"/>
    <w:rsid w:val="00011F9F"/>
    <w:rsid w:val="00012232"/>
    <w:rsid w:val="000132DB"/>
    <w:rsid w:val="00015554"/>
    <w:rsid w:val="00015566"/>
    <w:rsid w:val="000169E7"/>
    <w:rsid w:val="00020E55"/>
    <w:rsid w:val="00022F95"/>
    <w:rsid w:val="000247EE"/>
    <w:rsid w:val="0002495E"/>
    <w:rsid w:val="000340EE"/>
    <w:rsid w:val="000443DB"/>
    <w:rsid w:val="000563D2"/>
    <w:rsid w:val="00095EEF"/>
    <w:rsid w:val="00096380"/>
    <w:rsid w:val="000969C4"/>
    <w:rsid w:val="000A3A3B"/>
    <w:rsid w:val="000A64A1"/>
    <w:rsid w:val="000B580F"/>
    <w:rsid w:val="000E39BC"/>
    <w:rsid w:val="000F5B61"/>
    <w:rsid w:val="000F7593"/>
    <w:rsid w:val="00107974"/>
    <w:rsid w:val="001143D2"/>
    <w:rsid w:val="00114445"/>
    <w:rsid w:val="00115383"/>
    <w:rsid w:val="00120F85"/>
    <w:rsid w:val="00126907"/>
    <w:rsid w:val="001355DD"/>
    <w:rsid w:val="00135C3F"/>
    <w:rsid w:val="001457DE"/>
    <w:rsid w:val="00150D0F"/>
    <w:rsid w:val="00153765"/>
    <w:rsid w:val="00154E4B"/>
    <w:rsid w:val="00160C35"/>
    <w:rsid w:val="00164CF9"/>
    <w:rsid w:val="001724EB"/>
    <w:rsid w:val="00172E9F"/>
    <w:rsid w:val="00176A8A"/>
    <w:rsid w:val="00181E57"/>
    <w:rsid w:val="001832C8"/>
    <w:rsid w:val="00183896"/>
    <w:rsid w:val="00191D5A"/>
    <w:rsid w:val="00194F7B"/>
    <w:rsid w:val="001957BD"/>
    <w:rsid w:val="001A4028"/>
    <w:rsid w:val="001A7995"/>
    <w:rsid w:val="001B26E5"/>
    <w:rsid w:val="001B7E9B"/>
    <w:rsid w:val="001C3088"/>
    <w:rsid w:val="001C51BA"/>
    <w:rsid w:val="001E0C68"/>
    <w:rsid w:val="001E3CC5"/>
    <w:rsid w:val="001F2656"/>
    <w:rsid w:val="001F3AA6"/>
    <w:rsid w:val="001F462A"/>
    <w:rsid w:val="001F5C0C"/>
    <w:rsid w:val="00202E6B"/>
    <w:rsid w:val="00206BA9"/>
    <w:rsid w:val="0020715E"/>
    <w:rsid w:val="00217643"/>
    <w:rsid w:val="002204E4"/>
    <w:rsid w:val="002209D4"/>
    <w:rsid w:val="002218B3"/>
    <w:rsid w:val="002239A5"/>
    <w:rsid w:val="00224857"/>
    <w:rsid w:val="0023070D"/>
    <w:rsid w:val="00234ACC"/>
    <w:rsid w:val="00234D3E"/>
    <w:rsid w:val="0023668B"/>
    <w:rsid w:val="002436FE"/>
    <w:rsid w:val="00244C57"/>
    <w:rsid w:val="00245AD3"/>
    <w:rsid w:val="00251B27"/>
    <w:rsid w:val="00252358"/>
    <w:rsid w:val="00255859"/>
    <w:rsid w:val="002564E5"/>
    <w:rsid w:val="0026103B"/>
    <w:rsid w:val="002620E5"/>
    <w:rsid w:val="002628F3"/>
    <w:rsid w:val="00264951"/>
    <w:rsid w:val="00271879"/>
    <w:rsid w:val="00272EC9"/>
    <w:rsid w:val="00281BAE"/>
    <w:rsid w:val="00284CAF"/>
    <w:rsid w:val="002859B2"/>
    <w:rsid w:val="00290113"/>
    <w:rsid w:val="00291627"/>
    <w:rsid w:val="00292103"/>
    <w:rsid w:val="002A25AD"/>
    <w:rsid w:val="002B4EEE"/>
    <w:rsid w:val="002B5C30"/>
    <w:rsid w:val="002B6995"/>
    <w:rsid w:val="002B7BEC"/>
    <w:rsid w:val="002C0925"/>
    <w:rsid w:val="002C470D"/>
    <w:rsid w:val="002C791A"/>
    <w:rsid w:val="002D1F5A"/>
    <w:rsid w:val="002D5DB0"/>
    <w:rsid w:val="002E0D7A"/>
    <w:rsid w:val="002E79EE"/>
    <w:rsid w:val="002F5498"/>
    <w:rsid w:val="00300C64"/>
    <w:rsid w:val="003037D2"/>
    <w:rsid w:val="003042FD"/>
    <w:rsid w:val="0030682E"/>
    <w:rsid w:val="0031698B"/>
    <w:rsid w:val="00320355"/>
    <w:rsid w:val="003211D2"/>
    <w:rsid w:val="00321547"/>
    <w:rsid w:val="00322195"/>
    <w:rsid w:val="00323F53"/>
    <w:rsid w:val="00333754"/>
    <w:rsid w:val="00333AD5"/>
    <w:rsid w:val="00337C1F"/>
    <w:rsid w:val="00344AD5"/>
    <w:rsid w:val="0035302D"/>
    <w:rsid w:val="0036218F"/>
    <w:rsid w:val="003628E5"/>
    <w:rsid w:val="00362B94"/>
    <w:rsid w:val="00364EEF"/>
    <w:rsid w:val="00366889"/>
    <w:rsid w:val="003774A5"/>
    <w:rsid w:val="00386170"/>
    <w:rsid w:val="00387D66"/>
    <w:rsid w:val="003A2694"/>
    <w:rsid w:val="003A4668"/>
    <w:rsid w:val="003A555E"/>
    <w:rsid w:val="003A619D"/>
    <w:rsid w:val="003A6A4B"/>
    <w:rsid w:val="003A6DD7"/>
    <w:rsid w:val="003A7EAB"/>
    <w:rsid w:val="003B32AD"/>
    <w:rsid w:val="003B3FF5"/>
    <w:rsid w:val="003C1DE0"/>
    <w:rsid w:val="003C7639"/>
    <w:rsid w:val="003D18F7"/>
    <w:rsid w:val="003D2947"/>
    <w:rsid w:val="003D7900"/>
    <w:rsid w:val="003E2B42"/>
    <w:rsid w:val="003F14FA"/>
    <w:rsid w:val="003F293C"/>
    <w:rsid w:val="00401E0F"/>
    <w:rsid w:val="00406541"/>
    <w:rsid w:val="00412572"/>
    <w:rsid w:val="00413D7A"/>
    <w:rsid w:val="00415327"/>
    <w:rsid w:val="004176B6"/>
    <w:rsid w:val="004177E5"/>
    <w:rsid w:val="00425A3E"/>
    <w:rsid w:val="00441EC4"/>
    <w:rsid w:val="004446AD"/>
    <w:rsid w:val="00455826"/>
    <w:rsid w:val="00460F08"/>
    <w:rsid w:val="004623A7"/>
    <w:rsid w:val="004632B4"/>
    <w:rsid w:val="004639D2"/>
    <w:rsid w:val="0046506F"/>
    <w:rsid w:val="0047472D"/>
    <w:rsid w:val="0047510A"/>
    <w:rsid w:val="004857D9"/>
    <w:rsid w:val="0048741D"/>
    <w:rsid w:val="00487A56"/>
    <w:rsid w:val="00490341"/>
    <w:rsid w:val="004903BF"/>
    <w:rsid w:val="00491C56"/>
    <w:rsid w:val="00497782"/>
    <w:rsid w:val="004A2D4A"/>
    <w:rsid w:val="004A4419"/>
    <w:rsid w:val="004A556F"/>
    <w:rsid w:val="004A5FFA"/>
    <w:rsid w:val="004A739B"/>
    <w:rsid w:val="004A7B04"/>
    <w:rsid w:val="004D1F98"/>
    <w:rsid w:val="004D20EC"/>
    <w:rsid w:val="004D29E3"/>
    <w:rsid w:val="004E0071"/>
    <w:rsid w:val="004E19AD"/>
    <w:rsid w:val="004E1D81"/>
    <w:rsid w:val="004F03EB"/>
    <w:rsid w:val="004F54A5"/>
    <w:rsid w:val="004F60B9"/>
    <w:rsid w:val="004F71CD"/>
    <w:rsid w:val="00503DA9"/>
    <w:rsid w:val="00507EF3"/>
    <w:rsid w:val="00513D07"/>
    <w:rsid w:val="005239EF"/>
    <w:rsid w:val="00524C9C"/>
    <w:rsid w:val="00526C84"/>
    <w:rsid w:val="00536A27"/>
    <w:rsid w:val="00545B61"/>
    <w:rsid w:val="005521AB"/>
    <w:rsid w:val="0055293E"/>
    <w:rsid w:val="005532F6"/>
    <w:rsid w:val="005551EC"/>
    <w:rsid w:val="00556453"/>
    <w:rsid w:val="00561626"/>
    <w:rsid w:val="00563241"/>
    <w:rsid w:val="00563B18"/>
    <w:rsid w:val="0057097D"/>
    <w:rsid w:val="0058079E"/>
    <w:rsid w:val="00585FBD"/>
    <w:rsid w:val="00590176"/>
    <w:rsid w:val="0059421C"/>
    <w:rsid w:val="0059474A"/>
    <w:rsid w:val="00594B61"/>
    <w:rsid w:val="005A12EC"/>
    <w:rsid w:val="005A2635"/>
    <w:rsid w:val="005B6116"/>
    <w:rsid w:val="005B6E70"/>
    <w:rsid w:val="005B7805"/>
    <w:rsid w:val="005C717D"/>
    <w:rsid w:val="005D22E7"/>
    <w:rsid w:val="005E58A8"/>
    <w:rsid w:val="005E59BF"/>
    <w:rsid w:val="005F43A8"/>
    <w:rsid w:val="006008D6"/>
    <w:rsid w:val="0061034E"/>
    <w:rsid w:val="0061200E"/>
    <w:rsid w:val="00613F87"/>
    <w:rsid w:val="00614246"/>
    <w:rsid w:val="00617971"/>
    <w:rsid w:val="00620D69"/>
    <w:rsid w:val="0062164C"/>
    <w:rsid w:val="00622941"/>
    <w:rsid w:val="00634C9D"/>
    <w:rsid w:val="00635CD3"/>
    <w:rsid w:val="00637112"/>
    <w:rsid w:val="0064330C"/>
    <w:rsid w:val="00643FCE"/>
    <w:rsid w:val="00644CAE"/>
    <w:rsid w:val="00647A37"/>
    <w:rsid w:val="006503CE"/>
    <w:rsid w:val="00651873"/>
    <w:rsid w:val="00652B0F"/>
    <w:rsid w:val="00654B3F"/>
    <w:rsid w:val="00656AAA"/>
    <w:rsid w:val="0066699E"/>
    <w:rsid w:val="00666C24"/>
    <w:rsid w:val="006817B1"/>
    <w:rsid w:val="006828FB"/>
    <w:rsid w:val="00685757"/>
    <w:rsid w:val="00696F1C"/>
    <w:rsid w:val="0069749B"/>
    <w:rsid w:val="006B1537"/>
    <w:rsid w:val="006B383C"/>
    <w:rsid w:val="006B6940"/>
    <w:rsid w:val="006C7FA0"/>
    <w:rsid w:val="006D015D"/>
    <w:rsid w:val="006E1FC8"/>
    <w:rsid w:val="006E7508"/>
    <w:rsid w:val="006F5EBE"/>
    <w:rsid w:val="00701DA0"/>
    <w:rsid w:val="007128ED"/>
    <w:rsid w:val="00715272"/>
    <w:rsid w:val="007207C7"/>
    <w:rsid w:val="00722390"/>
    <w:rsid w:val="00730649"/>
    <w:rsid w:val="00731072"/>
    <w:rsid w:val="00731BF2"/>
    <w:rsid w:val="00731F8E"/>
    <w:rsid w:val="007328C4"/>
    <w:rsid w:val="007346C7"/>
    <w:rsid w:val="007400D7"/>
    <w:rsid w:val="00741387"/>
    <w:rsid w:val="00747570"/>
    <w:rsid w:val="0075429A"/>
    <w:rsid w:val="007550C3"/>
    <w:rsid w:val="00761924"/>
    <w:rsid w:val="00762789"/>
    <w:rsid w:val="00771268"/>
    <w:rsid w:val="0077346D"/>
    <w:rsid w:val="00775179"/>
    <w:rsid w:val="0077717D"/>
    <w:rsid w:val="007801BE"/>
    <w:rsid w:val="007848EF"/>
    <w:rsid w:val="0079201C"/>
    <w:rsid w:val="00794FE6"/>
    <w:rsid w:val="00795EA8"/>
    <w:rsid w:val="007A00F3"/>
    <w:rsid w:val="007A210C"/>
    <w:rsid w:val="007B09B6"/>
    <w:rsid w:val="007B6AE3"/>
    <w:rsid w:val="007B7785"/>
    <w:rsid w:val="007C6376"/>
    <w:rsid w:val="007D3094"/>
    <w:rsid w:val="007E7BA1"/>
    <w:rsid w:val="007F2348"/>
    <w:rsid w:val="007F4615"/>
    <w:rsid w:val="007F6DD5"/>
    <w:rsid w:val="007F7D2C"/>
    <w:rsid w:val="007F7D7E"/>
    <w:rsid w:val="00801056"/>
    <w:rsid w:val="00801583"/>
    <w:rsid w:val="00807525"/>
    <w:rsid w:val="00811900"/>
    <w:rsid w:val="00813149"/>
    <w:rsid w:val="00813F32"/>
    <w:rsid w:val="0081614D"/>
    <w:rsid w:val="00821213"/>
    <w:rsid w:val="008233DE"/>
    <w:rsid w:val="00826A69"/>
    <w:rsid w:val="00830051"/>
    <w:rsid w:val="00831F15"/>
    <w:rsid w:val="0083460C"/>
    <w:rsid w:val="00837ADB"/>
    <w:rsid w:val="0084197B"/>
    <w:rsid w:val="008448AE"/>
    <w:rsid w:val="00855780"/>
    <w:rsid w:val="0086133B"/>
    <w:rsid w:val="00861CF8"/>
    <w:rsid w:val="0086319E"/>
    <w:rsid w:val="00873726"/>
    <w:rsid w:val="00873D31"/>
    <w:rsid w:val="00874E8B"/>
    <w:rsid w:val="00875389"/>
    <w:rsid w:val="00877688"/>
    <w:rsid w:val="00885CE8"/>
    <w:rsid w:val="00885EA6"/>
    <w:rsid w:val="00886CC4"/>
    <w:rsid w:val="008A1599"/>
    <w:rsid w:val="008A38B3"/>
    <w:rsid w:val="008A406A"/>
    <w:rsid w:val="008A4567"/>
    <w:rsid w:val="008B1449"/>
    <w:rsid w:val="008B7132"/>
    <w:rsid w:val="008C2AB7"/>
    <w:rsid w:val="008C38DB"/>
    <w:rsid w:val="008C61E8"/>
    <w:rsid w:val="008E0297"/>
    <w:rsid w:val="008E116A"/>
    <w:rsid w:val="008F020F"/>
    <w:rsid w:val="008F0D50"/>
    <w:rsid w:val="008F4CD9"/>
    <w:rsid w:val="008F7C53"/>
    <w:rsid w:val="009008CB"/>
    <w:rsid w:val="00901CFB"/>
    <w:rsid w:val="00913AAF"/>
    <w:rsid w:val="00920153"/>
    <w:rsid w:val="009231D8"/>
    <w:rsid w:val="00932485"/>
    <w:rsid w:val="00932CE0"/>
    <w:rsid w:val="0093345A"/>
    <w:rsid w:val="0094369F"/>
    <w:rsid w:val="00957054"/>
    <w:rsid w:val="009709FF"/>
    <w:rsid w:val="009714B2"/>
    <w:rsid w:val="00972BC7"/>
    <w:rsid w:val="00977B3E"/>
    <w:rsid w:val="0098036F"/>
    <w:rsid w:val="009812C1"/>
    <w:rsid w:val="0098545A"/>
    <w:rsid w:val="0099321E"/>
    <w:rsid w:val="009A0E0E"/>
    <w:rsid w:val="009A1F18"/>
    <w:rsid w:val="009B124E"/>
    <w:rsid w:val="009B35A6"/>
    <w:rsid w:val="009C0670"/>
    <w:rsid w:val="009C3EEA"/>
    <w:rsid w:val="009C636A"/>
    <w:rsid w:val="009D10BC"/>
    <w:rsid w:val="009D2682"/>
    <w:rsid w:val="009D74BE"/>
    <w:rsid w:val="009E3D88"/>
    <w:rsid w:val="009E3E3A"/>
    <w:rsid w:val="009F5E34"/>
    <w:rsid w:val="009F753F"/>
    <w:rsid w:val="009F7CC3"/>
    <w:rsid w:val="00A03D68"/>
    <w:rsid w:val="00A147DB"/>
    <w:rsid w:val="00A200A4"/>
    <w:rsid w:val="00A21584"/>
    <w:rsid w:val="00A22765"/>
    <w:rsid w:val="00A22CF2"/>
    <w:rsid w:val="00A32365"/>
    <w:rsid w:val="00A326CC"/>
    <w:rsid w:val="00A33215"/>
    <w:rsid w:val="00A33A24"/>
    <w:rsid w:val="00A41F28"/>
    <w:rsid w:val="00A44B2E"/>
    <w:rsid w:val="00A45B91"/>
    <w:rsid w:val="00A467C5"/>
    <w:rsid w:val="00A50EA0"/>
    <w:rsid w:val="00A55FD1"/>
    <w:rsid w:val="00A57BB0"/>
    <w:rsid w:val="00A61A5A"/>
    <w:rsid w:val="00A63E23"/>
    <w:rsid w:val="00A6482C"/>
    <w:rsid w:val="00A662B0"/>
    <w:rsid w:val="00A67C94"/>
    <w:rsid w:val="00A70448"/>
    <w:rsid w:val="00A74510"/>
    <w:rsid w:val="00A80822"/>
    <w:rsid w:val="00A80D07"/>
    <w:rsid w:val="00A875DD"/>
    <w:rsid w:val="00A924C9"/>
    <w:rsid w:val="00AA1C43"/>
    <w:rsid w:val="00AA3AB2"/>
    <w:rsid w:val="00AB04DA"/>
    <w:rsid w:val="00AB664C"/>
    <w:rsid w:val="00AB7734"/>
    <w:rsid w:val="00AC220F"/>
    <w:rsid w:val="00AC2434"/>
    <w:rsid w:val="00AD473B"/>
    <w:rsid w:val="00AE1D85"/>
    <w:rsid w:val="00AE3C1F"/>
    <w:rsid w:val="00AF1719"/>
    <w:rsid w:val="00AF28E1"/>
    <w:rsid w:val="00B0000F"/>
    <w:rsid w:val="00B03332"/>
    <w:rsid w:val="00B07768"/>
    <w:rsid w:val="00B102D8"/>
    <w:rsid w:val="00B13386"/>
    <w:rsid w:val="00B14777"/>
    <w:rsid w:val="00B1683E"/>
    <w:rsid w:val="00B412BC"/>
    <w:rsid w:val="00B41B59"/>
    <w:rsid w:val="00B47199"/>
    <w:rsid w:val="00B534E9"/>
    <w:rsid w:val="00B65D25"/>
    <w:rsid w:val="00B73493"/>
    <w:rsid w:val="00B736EA"/>
    <w:rsid w:val="00B77038"/>
    <w:rsid w:val="00B8527C"/>
    <w:rsid w:val="00B865DA"/>
    <w:rsid w:val="00B949D2"/>
    <w:rsid w:val="00BA37BD"/>
    <w:rsid w:val="00BB02C5"/>
    <w:rsid w:val="00BB1164"/>
    <w:rsid w:val="00BB76FD"/>
    <w:rsid w:val="00BC055E"/>
    <w:rsid w:val="00BC77D6"/>
    <w:rsid w:val="00BD7006"/>
    <w:rsid w:val="00BE17A6"/>
    <w:rsid w:val="00BE2E08"/>
    <w:rsid w:val="00BE7167"/>
    <w:rsid w:val="00BF3F96"/>
    <w:rsid w:val="00C02413"/>
    <w:rsid w:val="00C163B6"/>
    <w:rsid w:val="00C16DE3"/>
    <w:rsid w:val="00C20860"/>
    <w:rsid w:val="00C233D8"/>
    <w:rsid w:val="00C2524B"/>
    <w:rsid w:val="00C3059D"/>
    <w:rsid w:val="00C30759"/>
    <w:rsid w:val="00C3334D"/>
    <w:rsid w:val="00C34D0C"/>
    <w:rsid w:val="00C4691C"/>
    <w:rsid w:val="00C53089"/>
    <w:rsid w:val="00C60CF1"/>
    <w:rsid w:val="00C632B0"/>
    <w:rsid w:val="00C70B05"/>
    <w:rsid w:val="00C741C2"/>
    <w:rsid w:val="00C8616B"/>
    <w:rsid w:val="00C875CC"/>
    <w:rsid w:val="00C93B3A"/>
    <w:rsid w:val="00C9453E"/>
    <w:rsid w:val="00C95349"/>
    <w:rsid w:val="00C95BB1"/>
    <w:rsid w:val="00CA16AA"/>
    <w:rsid w:val="00CA22BD"/>
    <w:rsid w:val="00CB7930"/>
    <w:rsid w:val="00CC1305"/>
    <w:rsid w:val="00CC3A1D"/>
    <w:rsid w:val="00CC3A50"/>
    <w:rsid w:val="00CD30DF"/>
    <w:rsid w:val="00CD4CF6"/>
    <w:rsid w:val="00CD61B7"/>
    <w:rsid w:val="00CD64D9"/>
    <w:rsid w:val="00CD6764"/>
    <w:rsid w:val="00CF237D"/>
    <w:rsid w:val="00CF637D"/>
    <w:rsid w:val="00CF6D66"/>
    <w:rsid w:val="00D0538C"/>
    <w:rsid w:val="00D14E07"/>
    <w:rsid w:val="00D274D1"/>
    <w:rsid w:val="00D3189C"/>
    <w:rsid w:val="00D3231F"/>
    <w:rsid w:val="00D35FDB"/>
    <w:rsid w:val="00D4271A"/>
    <w:rsid w:val="00D4465F"/>
    <w:rsid w:val="00D61467"/>
    <w:rsid w:val="00D62858"/>
    <w:rsid w:val="00D67D20"/>
    <w:rsid w:val="00D765A4"/>
    <w:rsid w:val="00D80900"/>
    <w:rsid w:val="00D82740"/>
    <w:rsid w:val="00D90C13"/>
    <w:rsid w:val="00D92378"/>
    <w:rsid w:val="00D96940"/>
    <w:rsid w:val="00D96DEA"/>
    <w:rsid w:val="00DA5CD9"/>
    <w:rsid w:val="00DC0E9A"/>
    <w:rsid w:val="00DC1EEC"/>
    <w:rsid w:val="00DC529B"/>
    <w:rsid w:val="00DD30E6"/>
    <w:rsid w:val="00DD4104"/>
    <w:rsid w:val="00DD725F"/>
    <w:rsid w:val="00DE1D5A"/>
    <w:rsid w:val="00DE2C25"/>
    <w:rsid w:val="00DE6B7A"/>
    <w:rsid w:val="00E108A9"/>
    <w:rsid w:val="00E17A98"/>
    <w:rsid w:val="00E21628"/>
    <w:rsid w:val="00E25370"/>
    <w:rsid w:val="00E367BC"/>
    <w:rsid w:val="00E5243B"/>
    <w:rsid w:val="00E53EAE"/>
    <w:rsid w:val="00E53F61"/>
    <w:rsid w:val="00E62CEC"/>
    <w:rsid w:val="00E66599"/>
    <w:rsid w:val="00E66EE7"/>
    <w:rsid w:val="00E670FB"/>
    <w:rsid w:val="00E718FB"/>
    <w:rsid w:val="00E82FF4"/>
    <w:rsid w:val="00E84C0B"/>
    <w:rsid w:val="00E8718F"/>
    <w:rsid w:val="00EA19AF"/>
    <w:rsid w:val="00EA3318"/>
    <w:rsid w:val="00EB08D4"/>
    <w:rsid w:val="00EB2441"/>
    <w:rsid w:val="00EB7CF6"/>
    <w:rsid w:val="00EC6703"/>
    <w:rsid w:val="00EE21D9"/>
    <w:rsid w:val="00EE57F0"/>
    <w:rsid w:val="00EE7483"/>
    <w:rsid w:val="00EE7FA2"/>
    <w:rsid w:val="00EF5517"/>
    <w:rsid w:val="00EF7B11"/>
    <w:rsid w:val="00F05413"/>
    <w:rsid w:val="00F102E5"/>
    <w:rsid w:val="00F10D6A"/>
    <w:rsid w:val="00F118D7"/>
    <w:rsid w:val="00F1341D"/>
    <w:rsid w:val="00F14631"/>
    <w:rsid w:val="00F202DB"/>
    <w:rsid w:val="00F20763"/>
    <w:rsid w:val="00F21AA5"/>
    <w:rsid w:val="00F247D6"/>
    <w:rsid w:val="00F24DA8"/>
    <w:rsid w:val="00F30906"/>
    <w:rsid w:val="00F31E6D"/>
    <w:rsid w:val="00F33C61"/>
    <w:rsid w:val="00F33E61"/>
    <w:rsid w:val="00F41617"/>
    <w:rsid w:val="00F45E9A"/>
    <w:rsid w:val="00F539F3"/>
    <w:rsid w:val="00F55632"/>
    <w:rsid w:val="00F5702B"/>
    <w:rsid w:val="00F574E4"/>
    <w:rsid w:val="00F6368A"/>
    <w:rsid w:val="00F63CCB"/>
    <w:rsid w:val="00F63FDA"/>
    <w:rsid w:val="00F67BA8"/>
    <w:rsid w:val="00F72D8F"/>
    <w:rsid w:val="00F81FDF"/>
    <w:rsid w:val="00F82791"/>
    <w:rsid w:val="00F831AC"/>
    <w:rsid w:val="00F8329C"/>
    <w:rsid w:val="00F9544C"/>
    <w:rsid w:val="00F9723D"/>
    <w:rsid w:val="00FA2881"/>
    <w:rsid w:val="00FA6C42"/>
    <w:rsid w:val="00FC15AC"/>
    <w:rsid w:val="00FC2693"/>
    <w:rsid w:val="00FC5167"/>
    <w:rsid w:val="00FC5427"/>
    <w:rsid w:val="00FD17ED"/>
    <w:rsid w:val="00FD2BF6"/>
    <w:rsid w:val="00FD5963"/>
    <w:rsid w:val="00FD77CE"/>
    <w:rsid w:val="00FE1334"/>
    <w:rsid w:val="00FE3E20"/>
    <w:rsid w:val="00FE4BD8"/>
    <w:rsid w:val="00FF272E"/>
    <w:rsid w:val="00FF7E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C05C4-357E-4832-9867-4BA4ABB5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vi-VN"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3B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link w:val="NormalWebChar"/>
    <w:rsid w:val="007128ED"/>
    <w:pPr>
      <w:spacing w:before="100" w:beforeAutospacing="1" w:after="100" w:afterAutospacing="1"/>
      <w:jc w:val="left"/>
    </w:pPr>
    <w:rPr>
      <w:rFonts w:eastAsia="Times New Roman"/>
      <w:color w:val="auto"/>
      <w:sz w:val="24"/>
      <w:szCs w:val="24"/>
      <w:lang w:val="en-US"/>
    </w:rPr>
  </w:style>
  <w:style w:type="character" w:customStyle="1" w:styleId="NormalWebChar">
    <w:name w:val="Normal (Web) Char"/>
    <w:basedOn w:val="DefaultParagraphFont"/>
    <w:link w:val="NormalWeb"/>
    <w:rsid w:val="004D1F98"/>
    <w:rPr>
      <w:rFonts w:eastAsia="Times New Roman"/>
      <w:color w:val="auto"/>
      <w:sz w:val="24"/>
      <w:szCs w:val="24"/>
      <w:lang w:val="en-US"/>
    </w:rPr>
  </w:style>
  <w:style w:type="character" w:styleId="PlaceholderText">
    <w:name w:val="Placeholder Text"/>
    <w:basedOn w:val="DefaultParagraphFont"/>
    <w:uiPriority w:val="99"/>
    <w:semiHidden/>
    <w:rsid w:val="008E116A"/>
    <w:rPr>
      <w:color w:val="808080"/>
    </w:rPr>
  </w:style>
  <w:style w:type="paragraph" w:styleId="BalloonText">
    <w:name w:val="Balloon Text"/>
    <w:basedOn w:val="Normal"/>
    <w:link w:val="BalloonTextChar"/>
    <w:uiPriority w:val="99"/>
    <w:semiHidden/>
    <w:unhideWhenUsed/>
    <w:rsid w:val="008E116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16A"/>
    <w:rPr>
      <w:rFonts w:ascii="Tahoma" w:hAnsi="Tahoma" w:cs="Tahoma"/>
      <w:sz w:val="16"/>
      <w:szCs w:val="16"/>
    </w:rPr>
  </w:style>
  <w:style w:type="paragraph" w:styleId="ListParagraph">
    <w:name w:val="List Paragraph"/>
    <w:basedOn w:val="Normal"/>
    <w:uiPriority w:val="34"/>
    <w:qFormat/>
    <w:rsid w:val="00290113"/>
    <w:pPr>
      <w:ind w:left="720"/>
      <w:contextualSpacing/>
    </w:pPr>
  </w:style>
  <w:style w:type="paragraph" w:styleId="Footer">
    <w:name w:val="footer"/>
    <w:basedOn w:val="Normal"/>
    <w:link w:val="FooterChar"/>
    <w:uiPriority w:val="99"/>
    <w:rsid w:val="0099321E"/>
    <w:pPr>
      <w:tabs>
        <w:tab w:val="center" w:pos="4320"/>
        <w:tab w:val="right" w:pos="8640"/>
      </w:tabs>
      <w:spacing w:before="0"/>
      <w:jc w:val="left"/>
    </w:pPr>
    <w:rPr>
      <w:rFonts w:eastAsia="Times New Roman"/>
      <w:color w:val="auto"/>
      <w:sz w:val="24"/>
      <w:szCs w:val="24"/>
      <w:lang w:val="en-US"/>
    </w:rPr>
  </w:style>
  <w:style w:type="character" w:customStyle="1" w:styleId="FooterChar">
    <w:name w:val="Footer Char"/>
    <w:basedOn w:val="DefaultParagraphFont"/>
    <w:link w:val="Footer"/>
    <w:uiPriority w:val="99"/>
    <w:rsid w:val="0099321E"/>
    <w:rPr>
      <w:rFonts w:eastAsia="Times New Roman"/>
      <w:color w:val="auto"/>
      <w:sz w:val="24"/>
      <w:szCs w:val="24"/>
      <w:lang w:val="en-US"/>
    </w:rPr>
  </w:style>
  <w:style w:type="paragraph" w:styleId="Header">
    <w:name w:val="header"/>
    <w:basedOn w:val="Normal"/>
    <w:link w:val="HeaderChar"/>
    <w:uiPriority w:val="99"/>
    <w:unhideWhenUsed/>
    <w:rsid w:val="00E17A98"/>
    <w:pPr>
      <w:tabs>
        <w:tab w:val="center" w:pos="4513"/>
        <w:tab w:val="right" w:pos="9026"/>
      </w:tabs>
      <w:spacing w:before="0"/>
    </w:pPr>
  </w:style>
  <w:style w:type="character" w:customStyle="1" w:styleId="HeaderChar">
    <w:name w:val="Header Char"/>
    <w:basedOn w:val="DefaultParagraphFont"/>
    <w:link w:val="Header"/>
    <w:uiPriority w:val="99"/>
    <w:rsid w:val="00E17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027">
      <w:bodyDiv w:val="1"/>
      <w:marLeft w:val="0"/>
      <w:marRight w:val="0"/>
      <w:marTop w:val="0"/>
      <w:marBottom w:val="0"/>
      <w:divBdr>
        <w:top w:val="none" w:sz="0" w:space="0" w:color="auto"/>
        <w:left w:val="none" w:sz="0" w:space="0" w:color="auto"/>
        <w:bottom w:val="none" w:sz="0" w:space="0" w:color="auto"/>
        <w:right w:val="none" w:sz="0" w:space="0" w:color="auto"/>
      </w:divBdr>
    </w:div>
    <w:div w:id="349600722">
      <w:bodyDiv w:val="1"/>
      <w:marLeft w:val="0"/>
      <w:marRight w:val="0"/>
      <w:marTop w:val="0"/>
      <w:marBottom w:val="0"/>
      <w:divBdr>
        <w:top w:val="none" w:sz="0" w:space="0" w:color="auto"/>
        <w:left w:val="none" w:sz="0" w:space="0" w:color="auto"/>
        <w:bottom w:val="none" w:sz="0" w:space="0" w:color="auto"/>
        <w:right w:val="none" w:sz="0" w:space="0" w:color="auto"/>
      </w:divBdr>
    </w:div>
    <w:div w:id="380128615">
      <w:bodyDiv w:val="1"/>
      <w:marLeft w:val="0"/>
      <w:marRight w:val="0"/>
      <w:marTop w:val="0"/>
      <w:marBottom w:val="0"/>
      <w:divBdr>
        <w:top w:val="none" w:sz="0" w:space="0" w:color="auto"/>
        <w:left w:val="none" w:sz="0" w:space="0" w:color="auto"/>
        <w:bottom w:val="none" w:sz="0" w:space="0" w:color="auto"/>
        <w:right w:val="none" w:sz="0" w:space="0" w:color="auto"/>
      </w:divBdr>
    </w:div>
    <w:div w:id="696008666">
      <w:bodyDiv w:val="1"/>
      <w:marLeft w:val="0"/>
      <w:marRight w:val="0"/>
      <w:marTop w:val="0"/>
      <w:marBottom w:val="0"/>
      <w:divBdr>
        <w:top w:val="none" w:sz="0" w:space="0" w:color="auto"/>
        <w:left w:val="none" w:sz="0" w:space="0" w:color="auto"/>
        <w:bottom w:val="none" w:sz="0" w:space="0" w:color="auto"/>
        <w:right w:val="none" w:sz="0" w:space="0" w:color="auto"/>
      </w:divBdr>
    </w:div>
    <w:div w:id="836652829">
      <w:bodyDiv w:val="1"/>
      <w:marLeft w:val="0"/>
      <w:marRight w:val="0"/>
      <w:marTop w:val="0"/>
      <w:marBottom w:val="0"/>
      <w:divBdr>
        <w:top w:val="none" w:sz="0" w:space="0" w:color="auto"/>
        <w:left w:val="none" w:sz="0" w:space="0" w:color="auto"/>
        <w:bottom w:val="none" w:sz="0" w:space="0" w:color="auto"/>
        <w:right w:val="none" w:sz="0" w:space="0" w:color="auto"/>
      </w:divBdr>
    </w:div>
    <w:div w:id="864439216">
      <w:bodyDiv w:val="1"/>
      <w:marLeft w:val="0"/>
      <w:marRight w:val="0"/>
      <w:marTop w:val="0"/>
      <w:marBottom w:val="0"/>
      <w:divBdr>
        <w:top w:val="none" w:sz="0" w:space="0" w:color="auto"/>
        <w:left w:val="none" w:sz="0" w:space="0" w:color="auto"/>
        <w:bottom w:val="none" w:sz="0" w:space="0" w:color="auto"/>
        <w:right w:val="none" w:sz="0" w:space="0" w:color="auto"/>
      </w:divBdr>
    </w:div>
    <w:div w:id="938023670">
      <w:bodyDiv w:val="1"/>
      <w:marLeft w:val="0"/>
      <w:marRight w:val="0"/>
      <w:marTop w:val="0"/>
      <w:marBottom w:val="0"/>
      <w:divBdr>
        <w:top w:val="none" w:sz="0" w:space="0" w:color="auto"/>
        <w:left w:val="none" w:sz="0" w:space="0" w:color="auto"/>
        <w:bottom w:val="none" w:sz="0" w:space="0" w:color="auto"/>
        <w:right w:val="none" w:sz="0" w:space="0" w:color="auto"/>
      </w:divBdr>
    </w:div>
    <w:div w:id="1247105217">
      <w:bodyDiv w:val="1"/>
      <w:marLeft w:val="0"/>
      <w:marRight w:val="0"/>
      <w:marTop w:val="0"/>
      <w:marBottom w:val="0"/>
      <w:divBdr>
        <w:top w:val="none" w:sz="0" w:space="0" w:color="auto"/>
        <w:left w:val="none" w:sz="0" w:space="0" w:color="auto"/>
        <w:bottom w:val="none" w:sz="0" w:space="0" w:color="auto"/>
        <w:right w:val="none" w:sz="0" w:space="0" w:color="auto"/>
      </w:divBdr>
    </w:div>
    <w:div w:id="14592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21AB-583A-42D6-8810-B5094B566077}">
  <ds:schemaRefs>
    <ds:schemaRef ds:uri="http://schemas.microsoft.com/sharepoint/v3/contenttype/forms"/>
  </ds:schemaRefs>
</ds:datastoreItem>
</file>

<file path=customXml/itemProps2.xml><?xml version="1.0" encoding="utf-8"?>
<ds:datastoreItem xmlns:ds="http://schemas.openxmlformats.org/officeDocument/2006/customXml" ds:itemID="{8EF0ECED-CE5B-488B-900A-68A43A3004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EA80B2-BDF3-431F-B367-74723C5C2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FEB3B3-5CF6-4173-BC7F-C1CDD697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Thi Thuy Duong (CSTT)</cp:lastModifiedBy>
  <cp:revision>111</cp:revision>
  <cp:lastPrinted>2024-02-22T09:05:00Z</cp:lastPrinted>
  <dcterms:created xsi:type="dcterms:W3CDTF">2024-02-22T03:14:00Z</dcterms:created>
  <dcterms:modified xsi:type="dcterms:W3CDTF">2026-01-07T08:36:00Z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