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5" w:type="dxa"/>
        <w:tblLayout w:type="fixed"/>
        <w:tblCellMar>
          <w:left w:w="85" w:type="dxa"/>
          <w:right w:w="85" w:type="dxa"/>
        </w:tblCellMar>
        <w:tblLook w:val="0000" w:firstRow="0" w:lastRow="0" w:firstColumn="0" w:lastColumn="0" w:noHBand="0" w:noVBand="0"/>
      </w:tblPr>
      <w:tblGrid>
        <w:gridCol w:w="3685"/>
        <w:gridCol w:w="5670"/>
      </w:tblGrid>
      <w:tr w:rsidR="00E873AC" w:rsidTr="002173AD">
        <w:trPr>
          <w:cantSplit/>
          <w:trHeight w:val="985"/>
        </w:trPr>
        <w:tc>
          <w:tcPr>
            <w:tcW w:w="3685" w:type="dxa"/>
            <w:vMerge w:val="restart"/>
            <w:tcBorders>
              <w:top w:val="nil"/>
              <w:left w:val="nil"/>
              <w:right w:val="nil"/>
            </w:tcBorders>
          </w:tcPr>
          <w:p w:rsidR="00E873AC" w:rsidRPr="001404E0" w:rsidRDefault="00E873AC" w:rsidP="002173AD">
            <w:pPr>
              <w:jc w:val="center"/>
              <w:rPr>
                <w:b/>
                <w:bCs/>
                <w:sz w:val="26"/>
                <w:szCs w:val="26"/>
              </w:rPr>
            </w:pPr>
            <w:bookmarkStart w:id="0" w:name="_GoBack"/>
            <w:bookmarkEnd w:id="0"/>
            <w:r w:rsidRPr="001404E0">
              <w:rPr>
                <w:b/>
                <w:bCs/>
                <w:sz w:val="26"/>
                <w:szCs w:val="26"/>
              </w:rPr>
              <w:t xml:space="preserve">NGÂN HÀNG NHÀ NƯỚC  </w:t>
            </w:r>
          </w:p>
          <w:p w:rsidR="00E873AC" w:rsidRPr="001404E0" w:rsidRDefault="00E873AC" w:rsidP="002173AD">
            <w:pPr>
              <w:jc w:val="center"/>
              <w:rPr>
                <w:b/>
                <w:bCs/>
                <w:sz w:val="26"/>
                <w:szCs w:val="26"/>
              </w:rPr>
            </w:pPr>
            <w:r w:rsidRPr="001404E0">
              <w:rPr>
                <w:b/>
                <w:bCs/>
                <w:sz w:val="26"/>
                <w:szCs w:val="26"/>
              </w:rPr>
              <w:t>VIỆT NAM</w:t>
            </w:r>
          </w:p>
          <w:p w:rsidR="00E873AC" w:rsidRPr="00595A53" w:rsidRDefault="00141CE6" w:rsidP="002173AD">
            <w:pPr>
              <w:pStyle w:val="Heading5"/>
              <w:spacing w:before="120" w:after="240"/>
              <w:jc w:val="center"/>
              <w:rPr>
                <w:b w:val="0"/>
                <w:bCs w:val="0"/>
                <w:sz w:val="24"/>
                <w:szCs w:val="24"/>
              </w:rPr>
            </w:pPr>
            <w:r>
              <w:rPr>
                <w:b w:val="0"/>
                <w:bCs w:val="0"/>
                <w:noProof/>
                <w:sz w:val="10"/>
                <w:szCs w:val="10"/>
              </w:rPr>
              <mc:AlternateContent>
                <mc:Choice Requires="wps">
                  <w:drawing>
                    <wp:anchor distT="4294967295" distB="4294967295" distL="114300" distR="114300" simplePos="0" relativeHeight="251660288" behindDoc="0" locked="0" layoutInCell="1" allowOverlap="1">
                      <wp:simplePos x="0" y="0"/>
                      <wp:positionH relativeFrom="margin">
                        <wp:posOffset>803275</wp:posOffset>
                      </wp:positionH>
                      <wp:positionV relativeFrom="paragraph">
                        <wp:posOffset>45084</wp:posOffset>
                      </wp:positionV>
                      <wp:extent cx="624840" cy="0"/>
                      <wp:effectExtent l="0" t="0" r="2286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6AFC2"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63.25pt,3.55pt" to="112.4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9+7HAIAADU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">
                      <w10:wrap anchorx="margin"/>
                    </v:line>
                  </w:pict>
                </mc:Fallback>
              </mc:AlternateContent>
            </w:r>
          </w:p>
        </w:tc>
        <w:tc>
          <w:tcPr>
            <w:tcW w:w="5670" w:type="dxa"/>
            <w:tcBorders>
              <w:top w:val="nil"/>
              <w:left w:val="nil"/>
              <w:bottom w:val="nil"/>
              <w:right w:val="nil"/>
            </w:tcBorders>
          </w:tcPr>
          <w:p w:rsidR="00E873AC" w:rsidRPr="00C06FDE" w:rsidRDefault="00E873AC" w:rsidP="002173AD">
            <w:pPr>
              <w:jc w:val="center"/>
              <w:rPr>
                <w:b/>
                <w:bCs/>
                <w:sz w:val="26"/>
                <w:szCs w:val="26"/>
              </w:rPr>
            </w:pPr>
            <w:r w:rsidRPr="00C06FDE">
              <w:rPr>
                <w:b/>
                <w:bCs/>
                <w:sz w:val="26"/>
                <w:szCs w:val="26"/>
              </w:rPr>
              <w:t>CỘNG HOÀ XÃ HỘI CHỦ NGHĨA VIỆT NAM</w:t>
            </w:r>
          </w:p>
          <w:p w:rsidR="00E873AC" w:rsidRPr="00C06FDE" w:rsidRDefault="00E873AC" w:rsidP="002173AD">
            <w:pPr>
              <w:jc w:val="center"/>
              <w:rPr>
                <w:b/>
                <w:bCs/>
                <w:sz w:val="28"/>
                <w:szCs w:val="28"/>
              </w:rPr>
            </w:pPr>
            <w:r w:rsidRPr="00C06FDE">
              <w:rPr>
                <w:b/>
                <w:bCs/>
                <w:sz w:val="28"/>
                <w:szCs w:val="28"/>
              </w:rPr>
              <w:t>Độc lập - Tự do - Hạnh phúc</w:t>
            </w:r>
          </w:p>
          <w:p w:rsidR="00E873AC" w:rsidRDefault="00141CE6" w:rsidP="002173AD">
            <w:pPr>
              <w:jc w:val="center"/>
              <w:rPr>
                <w:i/>
                <w:iCs/>
                <w:sz w:val="28"/>
                <w:szCs w:val="28"/>
              </w:rPr>
            </w:pPr>
            <w:r>
              <w:rPr>
                <w:noProof/>
                <w:sz w:val="20"/>
              </w:rPr>
              <mc:AlternateContent>
                <mc:Choice Requires="wps">
                  <w:drawing>
                    <wp:anchor distT="4294967295" distB="4294967295" distL="114300" distR="114300" simplePos="0" relativeHeight="251659264" behindDoc="0" locked="0" layoutInCell="1" allowOverlap="1">
                      <wp:simplePos x="0" y="0"/>
                      <wp:positionH relativeFrom="margin">
                        <wp:posOffset>755650</wp:posOffset>
                      </wp:positionH>
                      <wp:positionV relativeFrom="paragraph">
                        <wp:posOffset>30479</wp:posOffset>
                      </wp:positionV>
                      <wp:extent cx="2064385" cy="0"/>
                      <wp:effectExtent l="0" t="0" r="12065"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4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EAC0B"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59.5pt,2.4pt" to="222.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P+0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">
                      <w10:wrap anchorx="margin"/>
                    </v:line>
                  </w:pict>
                </mc:Fallback>
              </mc:AlternateContent>
            </w:r>
          </w:p>
          <w:p w:rsidR="00E873AC" w:rsidRPr="00C06FDE" w:rsidRDefault="00E873AC" w:rsidP="001404E0">
            <w:pPr>
              <w:jc w:val="center"/>
              <w:rPr>
                <w:b/>
                <w:bCs/>
                <w:sz w:val="28"/>
                <w:szCs w:val="28"/>
              </w:rPr>
            </w:pPr>
            <w:r>
              <w:rPr>
                <w:i/>
                <w:iCs/>
                <w:sz w:val="28"/>
                <w:szCs w:val="28"/>
              </w:rPr>
              <w:t xml:space="preserve">                  </w:t>
            </w:r>
          </w:p>
        </w:tc>
      </w:tr>
      <w:tr w:rsidR="00E873AC" w:rsidTr="002173AD">
        <w:trPr>
          <w:cantSplit/>
          <w:trHeight w:val="74"/>
        </w:trPr>
        <w:tc>
          <w:tcPr>
            <w:tcW w:w="3685" w:type="dxa"/>
            <w:vMerge/>
            <w:tcBorders>
              <w:left w:val="nil"/>
              <w:bottom w:val="nil"/>
              <w:right w:val="nil"/>
            </w:tcBorders>
          </w:tcPr>
          <w:p w:rsidR="00E873AC" w:rsidRPr="003A744F" w:rsidRDefault="00E873AC" w:rsidP="00E873AC">
            <w:pPr>
              <w:pStyle w:val="Heading5"/>
              <w:spacing w:before="0"/>
              <w:jc w:val="center"/>
              <w:rPr>
                <w:b w:val="0"/>
                <w:bCs w:val="0"/>
                <w:sz w:val="28"/>
                <w:szCs w:val="28"/>
              </w:rPr>
            </w:pPr>
          </w:p>
        </w:tc>
        <w:tc>
          <w:tcPr>
            <w:tcW w:w="5670" w:type="dxa"/>
            <w:tcBorders>
              <w:top w:val="nil"/>
              <w:left w:val="nil"/>
              <w:bottom w:val="nil"/>
              <w:right w:val="nil"/>
            </w:tcBorders>
          </w:tcPr>
          <w:p w:rsidR="00E873AC" w:rsidRPr="001D782E" w:rsidRDefault="00E873AC" w:rsidP="00E873AC">
            <w:pPr>
              <w:jc w:val="center"/>
              <w:rPr>
                <w:i/>
                <w:iCs/>
                <w:sz w:val="26"/>
                <w:szCs w:val="26"/>
              </w:rPr>
            </w:pPr>
          </w:p>
        </w:tc>
      </w:tr>
    </w:tbl>
    <w:p w:rsidR="00E873AC" w:rsidRPr="00B97CFF" w:rsidRDefault="00141CE6" w:rsidP="007D5AFB">
      <w:pPr>
        <w:spacing w:before="240" w:after="60"/>
        <w:ind w:left="2340"/>
        <w:rPr>
          <w:b/>
          <w:sz w:val="32"/>
          <w:szCs w:val="32"/>
        </w:rPr>
      </w:pPr>
      <w:r>
        <w:rPr>
          <w:b/>
          <w:noProof/>
          <w:sz w:val="32"/>
          <w:szCs w:val="32"/>
        </w:rPr>
        <mc:AlternateContent>
          <mc:Choice Requires="wps">
            <w:drawing>
              <wp:anchor distT="0" distB="0" distL="114300" distR="114300" simplePos="0" relativeHeight="251661312" behindDoc="0" locked="0" layoutInCell="1" allowOverlap="1">
                <wp:simplePos x="0" y="0"/>
                <wp:positionH relativeFrom="column">
                  <wp:posOffset>-387985</wp:posOffset>
                </wp:positionH>
                <wp:positionV relativeFrom="paragraph">
                  <wp:posOffset>-55880</wp:posOffset>
                </wp:positionV>
                <wp:extent cx="984250" cy="304800"/>
                <wp:effectExtent l="12065" t="10795" r="13335" b="825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84250" cy="304800"/>
                        </a:xfrm>
                        <a:prstGeom prst="rect">
                          <a:avLst/>
                        </a:prstGeom>
                        <a:solidFill>
                          <a:srgbClr val="FFFFFF"/>
                        </a:solidFill>
                        <a:ln w="9525">
                          <a:solidFill>
                            <a:srgbClr val="000000"/>
                          </a:solidFill>
                          <a:miter lim="800000"/>
                          <a:headEnd/>
                          <a:tailEnd/>
                        </a:ln>
                      </wps:spPr>
                      <wps:txbx>
                        <w:txbxContent>
                          <w:p w:rsidR="00297435" w:rsidRPr="006906B1" w:rsidRDefault="00297435" w:rsidP="006958B4">
                            <w:pPr>
                              <w:jc w:val="center"/>
                              <w:rPr>
                                <w:b/>
                              </w:rPr>
                            </w:pPr>
                            <w:r w:rsidRPr="006906B1">
                              <w:rPr>
                                <w:b/>
                              </w:rPr>
                              <w:t xml:space="preserve">DỰ THẢO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30.55pt;margin-top:-4.4pt;width:77.5pt;height:24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">
                <v:textbox>
                  <w:txbxContent>
                    <w:p w:rsidR="00297435" w:rsidRPr="006906B1" w:rsidRDefault="00297435" w:rsidP="006958B4">
                      <w:pPr>
                        <w:jc w:val="center"/>
                        <w:rPr>
                          <w:b/>
                        </w:rPr>
                      </w:pPr>
                      <w:r w:rsidRPr="006906B1">
                        <w:rPr>
                          <w:b/>
                        </w:rPr>
                        <w:t xml:space="preserve">DỰ THẢO </w:t>
                      </w:r>
                    </w:p>
                  </w:txbxContent>
                </v:textbox>
              </v:rect>
            </w:pict>
          </mc:Fallback>
        </mc:AlternateContent>
      </w:r>
      <w:r w:rsidR="00B97CFF">
        <w:rPr>
          <w:b/>
          <w:sz w:val="32"/>
          <w:szCs w:val="32"/>
        </w:rPr>
        <w:t xml:space="preserve">               </w:t>
      </w:r>
      <w:r w:rsidR="001404E0" w:rsidRPr="00B97CFF">
        <w:rPr>
          <w:b/>
          <w:sz w:val="32"/>
          <w:szCs w:val="32"/>
        </w:rPr>
        <w:t>Bản Thuyết minh</w:t>
      </w:r>
    </w:p>
    <w:tbl>
      <w:tblPr>
        <w:tblW w:w="9394" w:type="dxa"/>
        <w:tblInd w:w="56" w:type="dxa"/>
        <w:tblLayout w:type="fixed"/>
        <w:tblCellMar>
          <w:left w:w="56" w:type="dxa"/>
          <w:right w:w="56" w:type="dxa"/>
        </w:tblCellMar>
        <w:tblLook w:val="0000" w:firstRow="0" w:lastRow="0" w:firstColumn="0" w:lastColumn="0" w:noHBand="0" w:noVBand="0"/>
      </w:tblPr>
      <w:tblGrid>
        <w:gridCol w:w="9394"/>
      </w:tblGrid>
      <w:tr w:rsidR="00E873AC" w:rsidRPr="00BC6395" w:rsidTr="007D5AFB">
        <w:tc>
          <w:tcPr>
            <w:tcW w:w="9394" w:type="dxa"/>
          </w:tcPr>
          <w:p w:rsidR="00B97CFF" w:rsidRDefault="001404E0" w:rsidP="00B97CFF">
            <w:pPr>
              <w:spacing w:before="60" w:line="360" w:lineRule="exact"/>
              <w:ind w:right="-17" w:firstLine="720"/>
              <w:jc w:val="center"/>
              <w:rPr>
                <w:b/>
                <w:sz w:val="32"/>
                <w:szCs w:val="32"/>
                <w:lang w:val="es-MX"/>
              </w:rPr>
            </w:pPr>
            <w:r w:rsidRPr="00B97CFF">
              <w:rPr>
                <w:b/>
                <w:sz w:val="32"/>
                <w:szCs w:val="32"/>
                <w:lang w:val="es-MX"/>
              </w:rPr>
              <w:t xml:space="preserve">Dự thảo Thông tư bãi bỏ một số văn bản quy phạm pháp luật </w:t>
            </w:r>
          </w:p>
          <w:p w:rsidR="001404E0" w:rsidRPr="00B97CFF" w:rsidRDefault="001404E0" w:rsidP="00B97CFF">
            <w:pPr>
              <w:spacing w:before="60" w:line="360" w:lineRule="exact"/>
              <w:ind w:right="-17" w:firstLine="720"/>
              <w:jc w:val="center"/>
              <w:rPr>
                <w:b/>
                <w:sz w:val="32"/>
                <w:szCs w:val="32"/>
                <w:lang w:val="es-MX"/>
              </w:rPr>
            </w:pPr>
            <w:r w:rsidRPr="00B97CFF">
              <w:rPr>
                <w:b/>
                <w:sz w:val="32"/>
                <w:szCs w:val="32"/>
                <w:lang w:val="es-MX"/>
              </w:rPr>
              <w:t>do Thống đốc Ngân hàng Nhà nước Việt Nam ban hành.</w:t>
            </w:r>
          </w:p>
          <w:p w:rsidR="00E873AC" w:rsidRPr="00B97CFF" w:rsidRDefault="00E873AC" w:rsidP="00E873AC">
            <w:pPr>
              <w:spacing w:before="240" w:after="120"/>
              <w:jc w:val="center"/>
              <w:rPr>
                <w:sz w:val="32"/>
                <w:szCs w:val="32"/>
                <w:lang w:val="es-MX"/>
              </w:rPr>
            </w:pPr>
          </w:p>
        </w:tc>
      </w:tr>
    </w:tbl>
    <w:p w:rsidR="00E873AC" w:rsidRPr="00B97CFF" w:rsidRDefault="00E873AC" w:rsidP="00B97CFF">
      <w:pPr>
        <w:spacing w:before="60" w:after="60" w:line="360" w:lineRule="exact"/>
        <w:ind w:right="58" w:firstLine="709"/>
        <w:rPr>
          <w:b/>
          <w:sz w:val="28"/>
          <w:szCs w:val="28"/>
          <w:lang w:val="es-MX"/>
        </w:rPr>
      </w:pPr>
      <w:r w:rsidRPr="00B97CFF">
        <w:rPr>
          <w:b/>
          <w:sz w:val="28"/>
          <w:szCs w:val="28"/>
          <w:lang w:val="es-MX"/>
        </w:rPr>
        <w:t xml:space="preserve">I. SỰ CẦN THIẾT VÀ CĂN CỨ BAN HÀNH </w:t>
      </w:r>
    </w:p>
    <w:p w:rsidR="00077C4C" w:rsidRPr="00077C4C" w:rsidRDefault="00077C4C" w:rsidP="00077C4C">
      <w:pPr>
        <w:spacing w:before="60" w:after="60" w:line="360" w:lineRule="exact"/>
        <w:ind w:firstLine="709"/>
        <w:jc w:val="both"/>
        <w:rPr>
          <w:sz w:val="28"/>
          <w:szCs w:val="28"/>
          <w:lang w:val="pt-BR"/>
        </w:rPr>
      </w:pPr>
      <w:r w:rsidRPr="00077C4C">
        <w:rPr>
          <w:sz w:val="28"/>
          <w:szCs w:val="28"/>
          <w:lang w:val="pt-BR"/>
        </w:rPr>
        <w:t>- Theo quy định tại khoản</w:t>
      </w:r>
      <w:r w:rsidR="00C111D7">
        <w:rPr>
          <w:sz w:val="28"/>
          <w:szCs w:val="28"/>
          <w:lang w:val="pt-BR"/>
        </w:rPr>
        <w:t xml:space="preserve"> </w:t>
      </w:r>
      <w:r w:rsidRPr="00077C4C">
        <w:rPr>
          <w:sz w:val="28"/>
          <w:szCs w:val="28"/>
          <w:lang w:val="pt-BR"/>
        </w:rPr>
        <w:t>2 Điều 64 Luật Ban hành văn bản quy phạm pháp luật năm 2025 (đã được sửa đổi, bổ sung) về rà soát, hệ thống hóa văn bản quy phạm pháp luật “</w:t>
      </w:r>
      <w:r w:rsidRPr="008B42CA">
        <w:rPr>
          <w:i/>
          <w:sz w:val="28"/>
          <w:szCs w:val="28"/>
          <w:lang w:val="pt-BR"/>
        </w:rPr>
        <w:t>Bộ, cơ quan ngang Bộ thực hiện rà soát, hệ thống hóa văn bản do Bộ trưởng, Thủ trưởng cơ quan ngang Bộ ban hành hoặc liên tịch ban hành; văn bản do Bộ trưởng, Thủ trưởng cơ quan ngang Bộ chủ trì soạn thảo; văn bản khác của Quốc hội, Ủy ban Thường vụ Quốc hội có nội dung điều chỉnh vấn đề thuộc lĩnh vực quản lý nhà nước của Bộ, cơ quan ngang Bộ”.</w:t>
      </w:r>
      <w:r w:rsidRPr="00077C4C">
        <w:rPr>
          <w:sz w:val="28"/>
          <w:szCs w:val="28"/>
          <w:lang w:val="pt-BR"/>
        </w:rPr>
        <w:t xml:space="preserve"> </w:t>
      </w:r>
    </w:p>
    <w:p w:rsidR="00077C4C" w:rsidRPr="008B42CA" w:rsidRDefault="00077C4C" w:rsidP="008B42CA">
      <w:pPr>
        <w:spacing w:before="60" w:after="60" w:line="360" w:lineRule="exact"/>
        <w:ind w:firstLine="709"/>
        <w:jc w:val="both"/>
        <w:rPr>
          <w:i/>
          <w:sz w:val="28"/>
          <w:szCs w:val="28"/>
          <w:lang w:val="pt-BR"/>
        </w:rPr>
      </w:pPr>
      <w:r w:rsidRPr="00077C4C">
        <w:rPr>
          <w:sz w:val="28"/>
          <w:szCs w:val="28"/>
          <w:lang w:val="pt-BR"/>
        </w:rPr>
        <w:tab/>
        <w:t>Tại điểm b khoản 1 Điều 35 Nghị định số 79/2025/NĐ-CP ngày 01/4/2025 của Chính phủ về kiểm tra, rà soát, hệ thống hóa và xử lý văn bản quy phạm pháp luật (đã được sửa đổi, bổ sung bởi Nghị định  187/2025/NĐ-CP ngày 1/7/</w:t>
      </w:r>
      <w:r w:rsidR="008B42CA">
        <w:rPr>
          <w:sz w:val="28"/>
          <w:szCs w:val="28"/>
          <w:lang w:val="pt-BR"/>
        </w:rPr>
        <w:t xml:space="preserve">2025) quy định trách nhiệm của </w:t>
      </w:r>
      <w:r w:rsidRPr="00077C4C">
        <w:rPr>
          <w:sz w:val="28"/>
          <w:szCs w:val="28"/>
          <w:lang w:val="pt-BR"/>
        </w:rPr>
        <w:t xml:space="preserve">các cơ quan, đơn vị, cá nhân trong tổ chức rà soát, hệ thống hóa văn bản quy phạm pháp luật trong đó có quy định: </w:t>
      </w:r>
      <w:r w:rsidRPr="008B42CA">
        <w:rPr>
          <w:i/>
          <w:sz w:val="28"/>
          <w:szCs w:val="28"/>
          <w:lang w:val="pt-BR"/>
        </w:rPr>
        <w:t xml:space="preserve">“b) Tổ chức pháp chế thuộc bộ, cơ quan ngang bộ, đơn vị được giao nhiệm vụ tham mưu, giúp Bộ trưởng Bộ Tư pháp quản lý nhà nước về rà soát, hệ thống hóa văn bản có trách nhiệm đôn đốc, hướng dẫn các tổ chức thuộc bộ, cơ quan ngang bộ thực hiện rà soát, hệ thống hóa văn bản.” </w:t>
      </w:r>
    </w:p>
    <w:p w:rsidR="00077C4C" w:rsidRPr="00077C4C" w:rsidRDefault="00077C4C" w:rsidP="00077C4C">
      <w:pPr>
        <w:spacing w:before="60" w:after="60" w:line="360" w:lineRule="exact"/>
        <w:ind w:firstLine="709"/>
        <w:jc w:val="both"/>
        <w:rPr>
          <w:sz w:val="28"/>
          <w:szCs w:val="28"/>
          <w:lang w:val="pt-BR"/>
        </w:rPr>
      </w:pPr>
      <w:r w:rsidRPr="00077C4C">
        <w:rPr>
          <w:sz w:val="28"/>
          <w:szCs w:val="28"/>
          <w:lang w:val="pt-BR"/>
        </w:rPr>
        <w:t xml:space="preserve"> Trên cơ sở kết quả rà soát Tập hệ thống hóa văn bản QPPL trong kỳ  hệ thống hóa 2019-2023 của NHNN, kết quả rà soát văn bản QPPL năm 2024, kết quả rà soát văn bản QPPL cần phải thực hiện bãi bỏ do chịu sự tác động của việc sắp xếp tổ chức bộ máy nhà nước theo Nghị quyết số 190/2025/QH15, hiện nay vẫn còn một số văn bản QPPL do Thống đốc Ngân hàng Nhà nước ban hành còn hiệu lực nhưng không còn được áp dụng trên thực tế cần được rà soát, bãi bỏ để đảm bảo tính đồng bộ của hệ thống pháp luật và phù hợp với tình hình kinh tế- xã hội. </w:t>
      </w:r>
    </w:p>
    <w:p w:rsidR="00077C4C" w:rsidRPr="00077C4C" w:rsidRDefault="00077C4C" w:rsidP="00077C4C">
      <w:pPr>
        <w:spacing w:before="60" w:after="60" w:line="360" w:lineRule="exact"/>
        <w:ind w:firstLine="709"/>
        <w:jc w:val="both"/>
        <w:rPr>
          <w:sz w:val="28"/>
          <w:szCs w:val="28"/>
          <w:lang w:val="pt-BR"/>
        </w:rPr>
      </w:pPr>
      <w:r w:rsidRPr="00077C4C">
        <w:rPr>
          <w:sz w:val="28"/>
          <w:szCs w:val="28"/>
          <w:lang w:val="pt-BR"/>
        </w:rPr>
        <w:t xml:space="preserve">- Về hình thức bãi bỏ văn bản QPPL, tại khoản 2 Điều 8 Luật ban hành văn bản QPPL năm 2025 (đã được sửa đổi, bổ sung) quy định: </w:t>
      </w:r>
      <w:r w:rsidRPr="00077C4C">
        <w:rPr>
          <w:i/>
          <w:sz w:val="28"/>
          <w:szCs w:val="28"/>
          <w:lang w:val="pt-BR"/>
        </w:rPr>
        <w:t xml:space="preserve">“Văn bản quy phạm pháp luật bị bãi bỏ bằng văn bản của chính cơ quan, người có thẩm quyền đã ban </w:t>
      </w:r>
      <w:r w:rsidRPr="00077C4C">
        <w:rPr>
          <w:i/>
          <w:sz w:val="28"/>
          <w:szCs w:val="28"/>
          <w:lang w:val="pt-BR"/>
        </w:rPr>
        <w:lastRenderedPageBreak/>
        <w:t>hành văn bản đó hoặc bằng văn bản của cơ quan, người có thẩm quyền, trừ trường hợp quy định tại điểm a và điểm b khoản 2 Điều 54 của Luật này.”</w:t>
      </w:r>
      <w:r w:rsidRPr="00077C4C">
        <w:rPr>
          <w:sz w:val="28"/>
          <w:szCs w:val="28"/>
          <w:lang w:val="pt-BR"/>
        </w:rPr>
        <w:t xml:space="preserve"> .</w:t>
      </w:r>
    </w:p>
    <w:p w:rsidR="00077C4C" w:rsidRPr="00077C4C" w:rsidRDefault="00077C4C" w:rsidP="00077C4C">
      <w:pPr>
        <w:spacing w:before="60" w:after="60" w:line="360" w:lineRule="exact"/>
        <w:ind w:firstLine="709"/>
        <w:jc w:val="both"/>
        <w:rPr>
          <w:sz w:val="28"/>
          <w:szCs w:val="28"/>
          <w:lang w:val="pt-BR"/>
        </w:rPr>
      </w:pPr>
      <w:r w:rsidRPr="00077C4C">
        <w:rPr>
          <w:sz w:val="28"/>
          <w:szCs w:val="28"/>
          <w:lang w:val="pt-BR"/>
        </w:rPr>
        <w:t>Khoản 2 và khoản 3 Điều 4 Nghị định số 78/2025/NĐ-CP ngày 1/4/2025 quy định chi tiết một số điều và biện pháp để tổ chức, hướng dẫn thi hành Luật Ban hành văn bản quy phạm pháp luật (được sửa đổi, bổ sung bởi Nghị định  187/2025/NĐ-CP ngày 1/7/2025) “</w:t>
      </w:r>
      <w:r w:rsidRPr="00077C4C">
        <w:rPr>
          <w:i/>
          <w:sz w:val="28"/>
          <w:szCs w:val="28"/>
          <w:lang w:val="pt-BR"/>
        </w:rPr>
        <w:t>2. Cơ quan, người có thẩm quyền ban hành văn bản quy phạm pháp luật để bãi bỏ toàn bộ hoặc một phần văn bản do mình ban hành, trừ trường hợp quy định tại khoản 3 Điều này; 3. Cơ quan, người có thẩm quyền có thể ban hành nghị quyết hoặc quyết định hành chính để bãi bỏ toàn bộ hoặc một phần văn bản quy phạm pháp luật do mình ban hành trong trường hợp toàn bộ hoặc một phần nội dung văn bản trái pháp luật hoặc trường hợp thay đổi về thẩm quyền do việc sắp xếp, tổ chức bộ máy hoặc trường hợp không còn đối tượng áp dụng.”</w:t>
      </w:r>
    </w:p>
    <w:p w:rsidR="00077C4C" w:rsidRPr="00077C4C" w:rsidRDefault="00077C4C" w:rsidP="00077C4C">
      <w:pPr>
        <w:spacing w:before="60" w:after="60" w:line="360" w:lineRule="exact"/>
        <w:ind w:firstLine="709"/>
        <w:jc w:val="both"/>
        <w:rPr>
          <w:sz w:val="28"/>
          <w:szCs w:val="28"/>
          <w:lang w:val="pt-BR"/>
        </w:rPr>
      </w:pPr>
      <w:r w:rsidRPr="00077C4C">
        <w:rPr>
          <w:sz w:val="28"/>
          <w:szCs w:val="28"/>
          <w:lang w:val="pt-BR"/>
        </w:rPr>
        <w:t xml:space="preserve">Căn cứ tại khoản 2 và khoản 3 Điều 4 Nghị định số 78/2025/NĐ-CP nêu trên, hình thức thức bãi bỏ văn bản QPPL bằng hình thức thông tư do văn bản bãi bỏ bằng hình thức nghị quyết hoặc quyết định hành chính chỉ trong trường hợp toàn bộ hoặc một phần nội dung văn bản trái pháp luật hoặc trường hợp thay đổi về thẩm quyền do việc sắp xếp, tổ chức bộ máy hoặc trường hợp không còn đối tượng áp dụng. </w:t>
      </w:r>
    </w:p>
    <w:p w:rsidR="00077C4C" w:rsidRDefault="00077C4C" w:rsidP="00077C4C">
      <w:pPr>
        <w:spacing w:before="60" w:after="60" w:line="360" w:lineRule="exact"/>
        <w:ind w:firstLine="709"/>
        <w:jc w:val="both"/>
        <w:rPr>
          <w:sz w:val="28"/>
          <w:szCs w:val="28"/>
          <w:lang w:val="pt-BR"/>
        </w:rPr>
      </w:pPr>
      <w:r>
        <w:rPr>
          <w:sz w:val="28"/>
          <w:szCs w:val="28"/>
          <w:lang w:val="pt-BR"/>
        </w:rPr>
        <w:t>Do đó</w:t>
      </w:r>
      <w:r w:rsidRPr="00077C4C">
        <w:rPr>
          <w:sz w:val="28"/>
          <w:szCs w:val="28"/>
          <w:lang w:val="pt-BR"/>
        </w:rPr>
        <w:t xml:space="preserve">, việc ban hành một thông tư để bãi bỏ các văn bản QPPL do Thống đốc Ngân hàng Nhà nước ban hành không còn áp dụng trên thực tế là hết sức cần thiết nhằm đảm bảo tính thống nhất, đồng bộ của hệ thống pháp luật. </w:t>
      </w:r>
    </w:p>
    <w:p w:rsidR="00E873AC" w:rsidRPr="00263478" w:rsidRDefault="00E873AC" w:rsidP="00CF2895">
      <w:pPr>
        <w:spacing w:before="120" w:after="120" w:line="380" w:lineRule="exact"/>
        <w:ind w:firstLine="709"/>
        <w:jc w:val="both"/>
        <w:rPr>
          <w:b/>
          <w:color w:val="000000"/>
          <w:sz w:val="28"/>
          <w:szCs w:val="28"/>
          <w:lang w:val="pt-BR"/>
        </w:rPr>
      </w:pPr>
      <w:r w:rsidRPr="00263478">
        <w:rPr>
          <w:b/>
          <w:color w:val="000000"/>
          <w:sz w:val="28"/>
          <w:szCs w:val="28"/>
          <w:lang w:val="pt-BR"/>
        </w:rPr>
        <w:t>II. QUAN ĐIỂM CHỈ ĐẠO VIỆC XÂY DỰNG DỰ THẢO THÔNG TƯ</w:t>
      </w:r>
    </w:p>
    <w:p w:rsidR="00E873AC" w:rsidRPr="00263478" w:rsidRDefault="00E873AC" w:rsidP="00CF2895">
      <w:pPr>
        <w:spacing w:before="120" w:after="120" w:line="380" w:lineRule="exact"/>
        <w:ind w:firstLine="709"/>
        <w:jc w:val="both"/>
        <w:rPr>
          <w:sz w:val="28"/>
          <w:szCs w:val="28"/>
          <w:lang w:val="pt-BR"/>
        </w:rPr>
      </w:pPr>
      <w:r w:rsidRPr="00263478">
        <w:rPr>
          <w:sz w:val="28"/>
          <w:szCs w:val="28"/>
          <w:lang w:val="pt-BR"/>
        </w:rPr>
        <w:t xml:space="preserve">Việc xây dựng Thông tư nhằm loại bỏ những văn bản không còn phù hợp đảm bảo sự đồng bộ, minh bạch của pháp luật và </w:t>
      </w:r>
      <w:r w:rsidRPr="001B5468">
        <w:rPr>
          <w:sz w:val="28"/>
          <w:szCs w:val="28"/>
          <w:lang w:val="nl-NL"/>
        </w:rPr>
        <w:t xml:space="preserve">tạo điều kiện thuận lợi cho các tổ chức, cá nhân trong việc áp dụng quy định của pháp luật trong ngành ngân hàng. </w:t>
      </w:r>
    </w:p>
    <w:p w:rsidR="00A750B1" w:rsidRPr="00A750B1" w:rsidRDefault="00E873AC" w:rsidP="00CF2895">
      <w:pPr>
        <w:spacing w:before="120" w:after="120" w:line="380" w:lineRule="exact"/>
        <w:ind w:firstLine="709"/>
        <w:jc w:val="both"/>
        <w:rPr>
          <w:b/>
          <w:bCs/>
          <w:sz w:val="28"/>
          <w:szCs w:val="28"/>
          <w:lang w:val="pt-BR"/>
        </w:rPr>
      </w:pPr>
      <w:r w:rsidRPr="001B5468">
        <w:rPr>
          <w:b/>
          <w:bCs/>
          <w:sz w:val="28"/>
          <w:szCs w:val="28"/>
          <w:lang w:val="vi-VN"/>
        </w:rPr>
        <w:t>II</w:t>
      </w:r>
      <w:r w:rsidRPr="00263478">
        <w:rPr>
          <w:b/>
          <w:bCs/>
          <w:sz w:val="28"/>
          <w:szCs w:val="28"/>
          <w:lang w:val="pt-BR"/>
        </w:rPr>
        <w:t>I</w:t>
      </w:r>
      <w:r w:rsidRPr="001B5468">
        <w:rPr>
          <w:b/>
          <w:bCs/>
          <w:sz w:val="28"/>
          <w:szCs w:val="28"/>
          <w:lang w:val="vi-VN"/>
        </w:rPr>
        <w:t>.</w:t>
      </w:r>
      <w:r w:rsidR="00A750B1" w:rsidRPr="00A750B1">
        <w:rPr>
          <w:b/>
          <w:bCs/>
          <w:sz w:val="28"/>
          <w:szCs w:val="28"/>
          <w:lang w:val="pt-BR"/>
        </w:rPr>
        <w:t xml:space="preserve"> </w:t>
      </w:r>
      <w:r w:rsidR="00A750B1">
        <w:rPr>
          <w:b/>
          <w:bCs/>
          <w:sz w:val="28"/>
          <w:szCs w:val="28"/>
          <w:lang w:val="pt-BR"/>
        </w:rPr>
        <w:t>BỐ CỤC, NỘI DUNG CƠ BẢN CỦA DỰ THẢO THÔNG TƯ</w:t>
      </w:r>
    </w:p>
    <w:p w:rsidR="00E873AC" w:rsidRPr="00263478" w:rsidRDefault="00E873AC" w:rsidP="00CF2895">
      <w:pPr>
        <w:tabs>
          <w:tab w:val="right" w:leader="dot" w:pos="7920"/>
        </w:tabs>
        <w:spacing w:before="120" w:after="120" w:line="380" w:lineRule="exact"/>
        <w:ind w:firstLine="709"/>
        <w:jc w:val="both"/>
        <w:rPr>
          <w:b/>
          <w:sz w:val="28"/>
          <w:szCs w:val="28"/>
          <w:lang w:val="pt-BR"/>
        </w:rPr>
      </w:pPr>
      <w:r w:rsidRPr="00263478">
        <w:rPr>
          <w:b/>
          <w:sz w:val="28"/>
          <w:szCs w:val="28"/>
          <w:lang w:val="pt-BR"/>
        </w:rPr>
        <w:t>1. Bố cục:</w:t>
      </w:r>
    </w:p>
    <w:p w:rsidR="00E873AC" w:rsidRPr="004161EA" w:rsidRDefault="008E153F" w:rsidP="00CF2895">
      <w:pPr>
        <w:spacing w:before="120" w:after="120" w:line="380" w:lineRule="exact"/>
        <w:ind w:firstLine="709"/>
        <w:jc w:val="both"/>
        <w:rPr>
          <w:i/>
          <w:sz w:val="28"/>
          <w:szCs w:val="28"/>
          <w:lang w:val="es-MX"/>
        </w:rPr>
      </w:pPr>
      <w:r>
        <w:rPr>
          <w:sz w:val="28"/>
          <w:szCs w:val="28"/>
          <w:lang w:val="pt-BR"/>
        </w:rPr>
        <w:t xml:space="preserve">Dự thảo Thông tư được kết cấu 03 Điều phù hợp với kết cấu, bố cục của văn bản bãi bỏ các văn bản QPPL quy định tại Điều </w:t>
      </w:r>
      <w:r w:rsidR="00196CC4">
        <w:rPr>
          <w:sz w:val="28"/>
          <w:szCs w:val="28"/>
          <w:lang w:val="pt-BR"/>
        </w:rPr>
        <w:t>63</w:t>
      </w:r>
      <w:r>
        <w:rPr>
          <w:sz w:val="28"/>
          <w:szCs w:val="28"/>
          <w:lang w:val="pt-BR"/>
        </w:rPr>
        <w:t xml:space="preserve">, Điều </w:t>
      </w:r>
      <w:r w:rsidR="00196CC4">
        <w:rPr>
          <w:sz w:val="28"/>
          <w:szCs w:val="28"/>
          <w:lang w:val="pt-BR"/>
        </w:rPr>
        <w:t>70</w:t>
      </w:r>
      <w:r>
        <w:rPr>
          <w:sz w:val="28"/>
          <w:szCs w:val="28"/>
          <w:lang w:val="pt-BR"/>
        </w:rPr>
        <w:t xml:space="preserve"> </w:t>
      </w:r>
      <w:r w:rsidR="00196CC4" w:rsidRPr="00196CC4">
        <w:rPr>
          <w:sz w:val="28"/>
          <w:szCs w:val="28"/>
          <w:lang w:val="pt-BR"/>
        </w:rPr>
        <w:t>Nghị định số 78/2025/NĐ-CP</w:t>
      </w:r>
      <w:r>
        <w:rPr>
          <w:sz w:val="28"/>
          <w:szCs w:val="28"/>
          <w:lang w:val="pt-BR"/>
        </w:rPr>
        <w:t xml:space="preserve"> </w:t>
      </w:r>
      <w:r w:rsidR="00196CC4" w:rsidRPr="00196CC4">
        <w:rPr>
          <w:sz w:val="28"/>
          <w:szCs w:val="28"/>
          <w:lang w:val="pt-BR"/>
        </w:rPr>
        <w:t>ngày 1/4/2025 quy định chi tiết một số điều và biện pháp để tổ chức, hướng dẫn thi hành Luật Ban hành văn bản quy phạm pháp luật (được sửa đổi, bổ sung bởi Nghị định  187/2025/NĐ-CP ngày 1/7/2025)</w:t>
      </w:r>
    </w:p>
    <w:p w:rsidR="00E873AC" w:rsidRDefault="00E873AC" w:rsidP="00CF2895">
      <w:pPr>
        <w:spacing w:before="120" w:after="120" w:line="380" w:lineRule="exact"/>
        <w:ind w:right="-204" w:firstLine="709"/>
        <w:jc w:val="both"/>
        <w:rPr>
          <w:b/>
          <w:sz w:val="28"/>
          <w:szCs w:val="28"/>
          <w:lang w:val="es-MX"/>
        </w:rPr>
      </w:pPr>
      <w:r w:rsidRPr="001404E0">
        <w:rPr>
          <w:b/>
          <w:sz w:val="28"/>
          <w:szCs w:val="28"/>
          <w:lang w:val="es-MX"/>
        </w:rPr>
        <w:t>2. Nội dung cơ bản:</w:t>
      </w:r>
    </w:p>
    <w:p w:rsidR="00920229" w:rsidRDefault="00EB643A" w:rsidP="00CF2895">
      <w:pPr>
        <w:spacing w:before="120" w:after="120" w:line="380" w:lineRule="exact"/>
        <w:ind w:right="-18" w:firstLine="709"/>
        <w:jc w:val="both"/>
        <w:rPr>
          <w:bCs/>
          <w:sz w:val="28"/>
          <w:szCs w:val="28"/>
          <w:lang w:val="es-MX"/>
        </w:rPr>
      </w:pPr>
      <w:r>
        <w:rPr>
          <w:bCs/>
          <w:sz w:val="28"/>
          <w:szCs w:val="28"/>
          <w:lang w:val="es-MX"/>
        </w:rPr>
        <w:lastRenderedPageBreak/>
        <w:t xml:space="preserve">(i) </w:t>
      </w:r>
      <w:r w:rsidR="008E153F" w:rsidRPr="008E153F">
        <w:rPr>
          <w:rFonts w:hint="eastAsia"/>
          <w:bCs/>
          <w:sz w:val="28"/>
          <w:szCs w:val="28"/>
          <w:lang w:val="es-MX"/>
        </w:rPr>
        <w:t>Đ</w:t>
      </w:r>
      <w:r w:rsidR="008E153F">
        <w:rPr>
          <w:bCs/>
          <w:sz w:val="28"/>
          <w:szCs w:val="28"/>
          <w:lang w:val="es-MX"/>
        </w:rPr>
        <w:t xml:space="preserve">iều 1- Bãi bỏ toàn bộ văn bản quy phạm pháp luật </w:t>
      </w:r>
      <w:r w:rsidR="008E153F" w:rsidRPr="001B5468">
        <w:rPr>
          <w:bCs/>
          <w:sz w:val="28"/>
          <w:szCs w:val="28"/>
          <w:lang w:val="es-MX"/>
        </w:rPr>
        <w:t xml:space="preserve">do Thống đốc </w:t>
      </w:r>
      <w:r w:rsidR="008E153F" w:rsidRPr="00263478">
        <w:rPr>
          <w:spacing w:val="-2"/>
          <w:sz w:val="28"/>
          <w:szCs w:val="28"/>
          <w:lang w:val="pt-BR"/>
        </w:rPr>
        <w:t>Ngân hàng Nhà nước</w:t>
      </w:r>
      <w:r w:rsidR="005A2B48">
        <w:rPr>
          <w:spacing w:val="-2"/>
          <w:sz w:val="28"/>
          <w:szCs w:val="28"/>
          <w:lang w:val="pt-BR"/>
        </w:rPr>
        <w:t xml:space="preserve"> </w:t>
      </w:r>
      <w:r w:rsidR="008E153F">
        <w:rPr>
          <w:bCs/>
          <w:sz w:val="28"/>
          <w:szCs w:val="28"/>
          <w:lang w:val="es-MX"/>
        </w:rPr>
        <w:t>Việt Nam ban hành</w:t>
      </w:r>
      <w:r w:rsidR="00374965">
        <w:rPr>
          <w:bCs/>
          <w:sz w:val="28"/>
          <w:szCs w:val="28"/>
          <w:lang w:val="es-MX"/>
        </w:rPr>
        <w:t xml:space="preserve"> không còn phù hợp: </w:t>
      </w:r>
    </w:p>
    <w:p w:rsidR="00EC723C" w:rsidRPr="00EC723C" w:rsidRDefault="00EC723C" w:rsidP="00EC723C">
      <w:pPr>
        <w:spacing w:before="120" w:after="120" w:line="360" w:lineRule="exact"/>
        <w:ind w:right="-18" w:firstLine="720"/>
        <w:jc w:val="both"/>
        <w:rPr>
          <w:sz w:val="28"/>
          <w:szCs w:val="28"/>
          <w:lang w:val="es-MX"/>
        </w:rPr>
      </w:pPr>
      <w:r w:rsidRPr="00EC723C">
        <w:rPr>
          <w:sz w:val="28"/>
          <w:szCs w:val="28"/>
          <w:lang w:val="es-MX"/>
        </w:rPr>
        <w:t>1. Quyết định số 96/1997/QĐ-NH2 ngày 19 tháng 4 năm 1997 của Thống đốc Ngân hàng Nhà nước Việt Nam về việc ban hành mẫu giấy lĩnh tiền mặt.</w:t>
      </w:r>
      <w:r>
        <w:rPr>
          <w:sz w:val="28"/>
          <w:szCs w:val="28"/>
          <w:lang w:val="es-MX"/>
        </w:rPr>
        <w:t xml:space="preserve"> Lý do: căn cứ ban hành văn bản đã hết hiệu lực thi hành và nội dung quy định đã lỗi thời, không còn phù hợp với thực tiễn.</w:t>
      </w:r>
    </w:p>
    <w:p w:rsidR="00EC723C" w:rsidRPr="00EC723C" w:rsidRDefault="00EC723C" w:rsidP="00EC723C">
      <w:pPr>
        <w:spacing w:before="120" w:after="120" w:line="360" w:lineRule="exact"/>
        <w:ind w:right="-18" w:firstLine="720"/>
        <w:jc w:val="both"/>
        <w:rPr>
          <w:sz w:val="28"/>
          <w:szCs w:val="28"/>
          <w:lang w:val="es-MX"/>
        </w:rPr>
      </w:pPr>
      <w:r w:rsidRPr="00EC723C">
        <w:rPr>
          <w:sz w:val="28"/>
          <w:szCs w:val="28"/>
          <w:lang w:val="es-MX"/>
        </w:rPr>
        <w:t>2. Quyết định số 353/1997/QĐ-NHNN2 ngày 22 tháng 10 năm 1997 của Thống đốc Ngân hàng Nhà nước Việt Nam ban hành “quy chế chuyển tiền điện tử”.</w:t>
      </w:r>
      <w:r w:rsidRPr="00EC723C">
        <w:rPr>
          <w:sz w:val="28"/>
          <w:szCs w:val="28"/>
        </w:rPr>
        <w:t xml:space="preserve"> Lý do: </w:t>
      </w:r>
      <w:r w:rsidRPr="00EC723C">
        <w:rPr>
          <w:sz w:val="28"/>
          <w:szCs w:val="28"/>
          <w:lang w:val="es-MX"/>
        </w:rPr>
        <w:t>căn cứ ban hành văn bản đã hết hiệu lực thi hành và nội dung quy định đã lỗi thời, không còn phù hợp với thực tiễn.</w:t>
      </w:r>
    </w:p>
    <w:p w:rsidR="00EC723C" w:rsidRPr="00EC723C" w:rsidRDefault="00EC723C" w:rsidP="00EC723C">
      <w:pPr>
        <w:spacing w:before="120" w:after="120" w:line="360" w:lineRule="exact"/>
        <w:ind w:right="-18" w:firstLine="720"/>
        <w:jc w:val="both"/>
        <w:rPr>
          <w:sz w:val="28"/>
          <w:szCs w:val="28"/>
          <w:lang w:val="es-MX"/>
        </w:rPr>
      </w:pPr>
      <w:r w:rsidRPr="00EC723C">
        <w:rPr>
          <w:sz w:val="28"/>
          <w:szCs w:val="28"/>
          <w:lang w:val="es-MX"/>
        </w:rPr>
        <w:t>3. Quyết định số 543/2002/QĐ-NHNN ngày 29 tháng 5 năm 2002 của Thống đốc Ngân hàng Nhà nước Việt Nam ban hành quy định về xây dựng, cấp phát, quản lý và sử dụng chữ ký điện tử trên chứng từ điện tử trong thanh toán điện tử liên Ngân hàng.</w:t>
      </w:r>
      <w:r>
        <w:rPr>
          <w:sz w:val="28"/>
          <w:szCs w:val="28"/>
          <w:lang w:val="es-MX"/>
        </w:rPr>
        <w:t xml:space="preserve"> </w:t>
      </w:r>
      <w:r w:rsidRPr="00EC723C">
        <w:rPr>
          <w:sz w:val="28"/>
          <w:szCs w:val="28"/>
          <w:lang w:val="es-MX"/>
        </w:rPr>
        <w:t>Lý do: căn cứ ban hành văn bản đã hết hiệu lực thi hành và nội dung quy định đã lỗi thời, không còn phù hợp với thực tiễn.</w:t>
      </w:r>
    </w:p>
    <w:p w:rsidR="00EC723C" w:rsidRPr="00EC723C" w:rsidRDefault="00EC723C" w:rsidP="00EC723C">
      <w:pPr>
        <w:spacing w:before="120" w:after="120" w:line="360" w:lineRule="exact"/>
        <w:ind w:right="-18" w:firstLine="720"/>
        <w:jc w:val="both"/>
        <w:rPr>
          <w:sz w:val="28"/>
          <w:szCs w:val="28"/>
          <w:lang w:val="es-MX"/>
        </w:rPr>
      </w:pPr>
      <w:r w:rsidRPr="00EC723C">
        <w:rPr>
          <w:sz w:val="28"/>
          <w:szCs w:val="28"/>
          <w:lang w:val="es-MX"/>
        </w:rPr>
        <w:t>4. Quyết định số 674/2002/QĐ-NHNN ngày 27 tháng 06 năm 2002 của Thống đốc Ngân hàng Nhà nước Việt Nam về việc cho phép 06 (sáu) đơn vị Ngân hàng Nhà nước tham gia trực tiếp vào hệ thống thanh toán điện tử liên ngân hàng được sử dụng tài khoản thanh toán liên hàng để hạch toán các khoản thanh toán chuyển tiền với nhau thông qua hệ thống thanh toán điện tử liên ngân hàng.</w:t>
      </w:r>
      <w:r w:rsidRPr="00EC723C">
        <w:t xml:space="preserve"> </w:t>
      </w:r>
      <w:r w:rsidRPr="00EC723C">
        <w:rPr>
          <w:sz w:val="28"/>
          <w:szCs w:val="28"/>
          <w:lang w:val="es-MX"/>
        </w:rPr>
        <w:t>Lý do: căn cứ ban hành văn bản đã hết hiệu lực thi hành và nội dung quy định đã lỗi thời, không còn phù hợp với thực tiễn.</w:t>
      </w:r>
    </w:p>
    <w:p w:rsidR="00EC723C" w:rsidRPr="00EC723C" w:rsidRDefault="00EC723C" w:rsidP="00EC723C">
      <w:pPr>
        <w:spacing w:before="120" w:after="120" w:line="360" w:lineRule="exact"/>
        <w:ind w:right="-18" w:firstLine="720"/>
        <w:jc w:val="both"/>
        <w:rPr>
          <w:sz w:val="28"/>
          <w:szCs w:val="28"/>
          <w:lang w:val="es-MX"/>
        </w:rPr>
      </w:pPr>
      <w:r w:rsidRPr="00EC723C">
        <w:rPr>
          <w:sz w:val="28"/>
          <w:szCs w:val="28"/>
          <w:lang w:val="es-MX"/>
        </w:rPr>
        <w:t>5. Quyết định số 376/2003/QĐ-NHNN ngày 22 tháng 04 năm 2003 của Thống đốc Ngân hàng Nhà nước Việt Nam ban hành quy định về bảo quản, lưu trữ chứng từ điện tử đã sử dụng để hạch toán và thanh toán vốn của các tổ chức cung ứng dịch vụ thanh toán.</w:t>
      </w:r>
      <w:r>
        <w:rPr>
          <w:sz w:val="28"/>
          <w:szCs w:val="28"/>
          <w:lang w:val="es-MX"/>
        </w:rPr>
        <w:t xml:space="preserve"> </w:t>
      </w:r>
      <w:r w:rsidRPr="00EC723C">
        <w:rPr>
          <w:sz w:val="28"/>
          <w:szCs w:val="28"/>
          <w:lang w:val="es-MX"/>
        </w:rPr>
        <w:t>Lý do: căn cứ ban hành văn bản đã hết hiệu lực thi hành và nội dung quy định đã lỗi thời, không còn phù hợp với thực tiễn.</w:t>
      </w:r>
    </w:p>
    <w:p w:rsidR="00EC723C" w:rsidRPr="00EC723C" w:rsidRDefault="00EC723C" w:rsidP="00EC723C">
      <w:pPr>
        <w:spacing w:before="120" w:after="120" w:line="360" w:lineRule="exact"/>
        <w:ind w:right="-18" w:firstLine="720"/>
        <w:jc w:val="both"/>
        <w:rPr>
          <w:sz w:val="28"/>
          <w:szCs w:val="28"/>
          <w:lang w:val="es-MX"/>
        </w:rPr>
      </w:pPr>
      <w:r w:rsidRPr="00EC723C">
        <w:rPr>
          <w:sz w:val="28"/>
          <w:szCs w:val="28"/>
          <w:lang w:val="es-MX"/>
        </w:rPr>
        <w:t xml:space="preserve">6. Quyết định số 1509/2003/QĐ-NHNN ngày 14 tháng 11 năm 2003 của Thống đốc Ngân hàng Nhà nước Việt Nam về việc ban hành quy chế cho vay của Ngân hàng Nhà nước đối với các Ngân hàng thương mại Nhà nước có bảo đảm bằng cầm cố trái phiếu đặc biệt. Lý do: </w:t>
      </w:r>
      <w:r>
        <w:rPr>
          <w:sz w:val="28"/>
          <w:szCs w:val="28"/>
          <w:lang w:val="es-MX"/>
        </w:rPr>
        <w:t>không còn đối tượng áp dụng và nội dung</w:t>
      </w:r>
      <w:r w:rsidRPr="00EC723C">
        <w:rPr>
          <w:sz w:val="28"/>
          <w:szCs w:val="28"/>
          <w:lang w:val="es-MX"/>
        </w:rPr>
        <w:t xml:space="preserve"> không còn phù hợp.</w:t>
      </w:r>
    </w:p>
    <w:p w:rsidR="00EC723C" w:rsidRPr="00EC723C" w:rsidRDefault="00EC723C" w:rsidP="00EC723C">
      <w:pPr>
        <w:spacing w:before="120" w:after="120" w:line="360" w:lineRule="exact"/>
        <w:ind w:right="-18" w:firstLine="720"/>
        <w:jc w:val="both"/>
        <w:rPr>
          <w:sz w:val="28"/>
          <w:szCs w:val="28"/>
          <w:lang w:val="es-MX"/>
        </w:rPr>
      </w:pPr>
      <w:r w:rsidRPr="00EC723C">
        <w:rPr>
          <w:sz w:val="28"/>
          <w:szCs w:val="28"/>
          <w:lang w:val="es-MX"/>
        </w:rPr>
        <w:t>7. Quyết định số 457/2003/QĐ-NHNN ngày 12 tháng 05 năm 2003 của Thống đốc Ngân hàng Nhà nước Việt Nam ban hành quy trình kỹ thuật nghiệp vụ thanh toán bù trừ điện tử liên Ngân hàng.</w:t>
      </w:r>
      <w:r w:rsidRPr="00EC723C">
        <w:t xml:space="preserve"> </w:t>
      </w:r>
      <w:r w:rsidRPr="00EC723C">
        <w:rPr>
          <w:sz w:val="28"/>
          <w:szCs w:val="28"/>
          <w:lang w:val="es-MX"/>
        </w:rPr>
        <w:t>Lý do: căn cứ ban hành văn bản đã hết hiệu lực thi hành và nội dung quy định đã lỗi thời, không còn phù hợp với thực tiễn.</w:t>
      </w:r>
    </w:p>
    <w:p w:rsidR="00EC723C" w:rsidRPr="00EC723C" w:rsidRDefault="00EC723C" w:rsidP="00EC723C">
      <w:pPr>
        <w:spacing w:before="120" w:after="120" w:line="360" w:lineRule="exact"/>
        <w:ind w:right="-18" w:firstLine="720"/>
        <w:jc w:val="both"/>
        <w:rPr>
          <w:sz w:val="28"/>
          <w:szCs w:val="28"/>
          <w:lang w:val="es-MX"/>
        </w:rPr>
      </w:pPr>
      <w:r w:rsidRPr="00EC723C">
        <w:rPr>
          <w:sz w:val="28"/>
          <w:szCs w:val="28"/>
          <w:lang w:val="es-MX"/>
        </w:rPr>
        <w:lastRenderedPageBreak/>
        <w:t>8. Quyết định số 35/2006/QĐ-NHNN ngày 31 tháng 7 năm 2006 của Thống đốc Ngân hàng Nhà nước Việt Nam ban hành quy định về nguyên tắc quản lý rủi ro trong hoạt động ngân hàng điện tử.</w:t>
      </w:r>
      <w:r>
        <w:rPr>
          <w:sz w:val="28"/>
          <w:szCs w:val="28"/>
          <w:lang w:val="es-MX"/>
        </w:rPr>
        <w:t xml:space="preserve"> Lý do: </w:t>
      </w:r>
      <w:r w:rsidRPr="00EC723C">
        <w:rPr>
          <w:sz w:val="28"/>
          <w:szCs w:val="28"/>
          <w:lang w:val="es-MX"/>
        </w:rPr>
        <w:t xml:space="preserve">căn cứ ban hành văn bản đã hết hiệu lực </w:t>
      </w:r>
      <w:r w:rsidR="002B0092">
        <w:rPr>
          <w:sz w:val="28"/>
          <w:szCs w:val="28"/>
          <w:lang w:val="es-MX"/>
        </w:rPr>
        <w:t xml:space="preserve">thị hành </w:t>
      </w:r>
      <w:r w:rsidRPr="00EC723C">
        <w:rPr>
          <w:sz w:val="28"/>
          <w:szCs w:val="28"/>
          <w:lang w:val="es-MX"/>
        </w:rPr>
        <w:t xml:space="preserve">và nội dung quy định </w:t>
      </w:r>
      <w:r>
        <w:rPr>
          <w:sz w:val="28"/>
          <w:szCs w:val="28"/>
          <w:lang w:val="es-MX"/>
        </w:rPr>
        <w:t>đã</w:t>
      </w:r>
      <w:r w:rsidRPr="00EC723C">
        <w:rPr>
          <w:sz w:val="28"/>
          <w:szCs w:val="28"/>
          <w:lang w:val="es-MX"/>
        </w:rPr>
        <w:t xml:space="preserve"> không còn phù hợp.</w:t>
      </w:r>
    </w:p>
    <w:p w:rsidR="00EC723C" w:rsidRDefault="00EC723C" w:rsidP="00EC723C">
      <w:pPr>
        <w:spacing w:before="120" w:after="120" w:line="360" w:lineRule="exact"/>
        <w:ind w:right="-18" w:firstLine="720"/>
        <w:jc w:val="both"/>
        <w:rPr>
          <w:sz w:val="28"/>
          <w:szCs w:val="28"/>
          <w:lang w:val="es-MX"/>
        </w:rPr>
      </w:pPr>
      <w:r w:rsidRPr="00EC723C">
        <w:rPr>
          <w:sz w:val="28"/>
          <w:szCs w:val="28"/>
          <w:lang w:val="es-MX"/>
        </w:rPr>
        <w:t>9. Thông tư số 23/2011/TT-NHNN ngày 31 tháng 08 năm 2011 của Thống đốc Ngân hàng Nhà nước Việt Nam về việc thực thi phương án đơn giản hóa thủ tục hành chính lĩnh vực hoạt động thanh toán và các lĩnh vực khác theo Nghị quyết của Chính phủ về đơn giản hóa thủ tục hành chính thuộc phạm vi chức năng quản lý của Ngân hàng Nhà nước Việt Nam. Lý do: các quy định tại Thông tư đã hết hiệu lực và không còn phù hợp.</w:t>
      </w:r>
    </w:p>
    <w:p w:rsidR="00D24E5C" w:rsidRPr="00EC723C" w:rsidRDefault="00D24E5C" w:rsidP="00EC723C">
      <w:pPr>
        <w:spacing w:before="120" w:after="120" w:line="360" w:lineRule="exact"/>
        <w:ind w:right="-18" w:firstLine="720"/>
        <w:jc w:val="both"/>
        <w:rPr>
          <w:sz w:val="28"/>
          <w:szCs w:val="28"/>
          <w:lang w:val="es-MX"/>
        </w:rPr>
      </w:pPr>
      <w:r w:rsidRPr="00D24E5C">
        <w:rPr>
          <w:sz w:val="28"/>
          <w:szCs w:val="28"/>
          <w:lang w:val="es-MX"/>
        </w:rPr>
        <w:t>10. Thông tư số 03/2015/TT-NHNN ngày 20 tháng 03 năm 2015 của Thống đốc Ngân hàng Nhà nước Việt Nam hướng dẫn thực hiện một số điều của Nghị định số 26/2014/NĐ-CP ngày 07 tháng 4 năm 2014 của Chính phủ về tổ chức và hoạt động của Thanh tra, giám sát ngành ngân hàng.</w:t>
      </w:r>
      <w:r>
        <w:rPr>
          <w:sz w:val="28"/>
          <w:szCs w:val="28"/>
          <w:lang w:val="es-MX"/>
        </w:rPr>
        <w:t xml:space="preserve"> </w:t>
      </w:r>
      <w:r w:rsidRPr="00D24E5C">
        <w:rPr>
          <w:sz w:val="28"/>
          <w:szCs w:val="28"/>
          <w:lang w:val="es-MX"/>
        </w:rPr>
        <w:t>Lý do:</w:t>
      </w:r>
      <w:r>
        <w:rPr>
          <w:sz w:val="28"/>
          <w:szCs w:val="28"/>
          <w:lang w:val="es-MX"/>
        </w:rPr>
        <w:t xml:space="preserve"> </w:t>
      </w:r>
      <w:r w:rsidRPr="00D24E5C">
        <w:rPr>
          <w:sz w:val="28"/>
          <w:szCs w:val="28"/>
          <w:lang w:val="es-MX"/>
        </w:rPr>
        <w:t>Nghị định số 26/2014/NĐ-CP đã hết hiệu lực thi hành</w:t>
      </w:r>
      <w:r>
        <w:rPr>
          <w:sz w:val="28"/>
          <w:szCs w:val="28"/>
          <w:lang w:val="es-MX"/>
        </w:rPr>
        <w:t xml:space="preserve"> và nội dung tại</w:t>
      </w:r>
      <w:r w:rsidRPr="00D24E5C">
        <w:rPr>
          <w:sz w:val="28"/>
          <w:szCs w:val="28"/>
          <w:lang w:val="es-MX"/>
        </w:rPr>
        <w:t xml:space="preserve"> Thông tư không còn phù hợp</w:t>
      </w:r>
      <w:r>
        <w:rPr>
          <w:sz w:val="28"/>
          <w:szCs w:val="28"/>
          <w:lang w:val="es-MX"/>
        </w:rPr>
        <w:t>.</w:t>
      </w:r>
    </w:p>
    <w:p w:rsidR="00EC723C" w:rsidRPr="00EC723C" w:rsidRDefault="00D24E5C" w:rsidP="00041FE2">
      <w:pPr>
        <w:spacing w:before="120" w:after="120" w:line="360" w:lineRule="exact"/>
        <w:ind w:right="-18" w:firstLine="720"/>
        <w:jc w:val="both"/>
        <w:rPr>
          <w:sz w:val="28"/>
          <w:szCs w:val="28"/>
          <w:lang w:val="es-MX"/>
        </w:rPr>
      </w:pPr>
      <w:r>
        <w:rPr>
          <w:sz w:val="28"/>
          <w:szCs w:val="28"/>
          <w:lang w:val="es-MX"/>
        </w:rPr>
        <w:t>11</w:t>
      </w:r>
      <w:r w:rsidR="00EC723C" w:rsidRPr="00EC723C">
        <w:rPr>
          <w:sz w:val="28"/>
          <w:szCs w:val="28"/>
          <w:lang w:val="es-MX"/>
        </w:rPr>
        <w:t>. Thông tư số 25/2015/TT-NHNN ngày 09 tháng 12 năm 2015 của Thống đốc Ngân hàng Nhà nước Việt Nam hướng dẫn cho vay vốn ưu đãi thực hiện chính sách nhà ở xã hội.</w:t>
      </w:r>
      <w:r w:rsidR="00041FE2">
        <w:rPr>
          <w:sz w:val="28"/>
          <w:szCs w:val="28"/>
          <w:lang w:val="es-MX"/>
        </w:rPr>
        <w:t xml:space="preserve"> Lý do: </w:t>
      </w:r>
      <w:r w:rsidR="00CB4F56" w:rsidRPr="00CB4F56">
        <w:rPr>
          <w:sz w:val="28"/>
          <w:szCs w:val="28"/>
          <w:lang w:val="es-MX"/>
        </w:rPr>
        <w:t>căn cứ ban hành văn bản đã hết hiệu lực</w:t>
      </w:r>
      <w:r w:rsidR="002B0092">
        <w:rPr>
          <w:sz w:val="28"/>
          <w:szCs w:val="28"/>
          <w:lang w:val="es-MX"/>
        </w:rPr>
        <w:t xml:space="preserve"> thi hành</w:t>
      </w:r>
      <w:r w:rsidR="00CB4F56" w:rsidRPr="00CB4F56">
        <w:rPr>
          <w:sz w:val="28"/>
          <w:szCs w:val="28"/>
          <w:lang w:val="es-MX"/>
        </w:rPr>
        <w:t xml:space="preserve"> </w:t>
      </w:r>
      <w:r w:rsidR="00CB4F56">
        <w:rPr>
          <w:sz w:val="28"/>
          <w:szCs w:val="28"/>
          <w:lang w:val="es-MX"/>
        </w:rPr>
        <w:t xml:space="preserve">và Nghị định 100/2024/NĐ-CP thay thế Nghị định số 100/2015/NĐ-CP ngày 20/10/2015 về phát triển và quản lý nhà ở xã hội </w:t>
      </w:r>
      <w:r w:rsidR="00041FE2" w:rsidRPr="00041FE2">
        <w:rPr>
          <w:sz w:val="28"/>
          <w:szCs w:val="28"/>
          <w:lang w:val="es-MX"/>
        </w:rPr>
        <w:t xml:space="preserve">không còn quy định trách nhiệm của Ngân hàng Nhà nước về </w:t>
      </w:r>
      <w:r w:rsidR="00CB4F56">
        <w:rPr>
          <w:sz w:val="28"/>
          <w:szCs w:val="28"/>
          <w:lang w:val="es-MX"/>
        </w:rPr>
        <w:t>hướng dẫn các Tổ chức tín dụng cho vay vốn thực hiện chính sách ưu đãi nhà ở xã hội</w:t>
      </w:r>
      <w:r w:rsidR="00041FE2" w:rsidRPr="00041FE2">
        <w:rPr>
          <w:sz w:val="28"/>
          <w:szCs w:val="28"/>
          <w:lang w:val="es-MX"/>
        </w:rPr>
        <w:t>.</w:t>
      </w:r>
    </w:p>
    <w:p w:rsidR="00EC723C" w:rsidRDefault="00D24E5C" w:rsidP="00EC723C">
      <w:pPr>
        <w:spacing w:before="120" w:after="120" w:line="360" w:lineRule="exact"/>
        <w:ind w:right="-18" w:firstLine="720"/>
        <w:jc w:val="both"/>
        <w:rPr>
          <w:sz w:val="28"/>
          <w:szCs w:val="28"/>
          <w:lang w:val="es-MX"/>
        </w:rPr>
      </w:pPr>
      <w:r>
        <w:rPr>
          <w:sz w:val="28"/>
          <w:szCs w:val="28"/>
          <w:lang w:val="es-MX"/>
        </w:rPr>
        <w:t>12</w:t>
      </w:r>
      <w:r w:rsidR="00EC723C" w:rsidRPr="00EC723C">
        <w:rPr>
          <w:sz w:val="28"/>
          <w:szCs w:val="28"/>
          <w:lang w:val="es-MX"/>
        </w:rPr>
        <w:t>. Thông tư số 26/2015/TT-NHNN ngày 09 tháng 12 năm 2015 của Thống đốc Ngân hàng Nhà nước Việt Nam hướng dẫn trình tự, thủ tục thế chấp và giải chấp tài sản là dự án đầu tư xây dựng nhà ở, nhà ở hình thành trong tương lai.</w:t>
      </w:r>
      <w:r w:rsidR="00373466" w:rsidRPr="00373466">
        <w:t xml:space="preserve"> </w:t>
      </w:r>
      <w:r w:rsidR="00373466" w:rsidRPr="00373466">
        <w:rPr>
          <w:sz w:val="28"/>
          <w:szCs w:val="28"/>
          <w:lang w:val="es-MX"/>
        </w:rPr>
        <w:t>Lý do: Nội dung không còn phù hợp và Nghị định 95/2024/NĐ-CP thay thế Nghị định 99/2015/NĐ-CP không còn giao giao NHNN quy định và hướng dẫn cụ thể trình tự, thủ tục thế chấp và giải chấp tài sản là dự án đầu tư xây dựng nhà ở, nhà ở hình thành trong tương lai và các quyền tài sản có liên quan đến dự án đầu tư xây dựng nhà ở, nhà ở hình thành trong tương lai.</w:t>
      </w:r>
    </w:p>
    <w:p w:rsidR="00D24E5C" w:rsidRPr="00EC723C" w:rsidRDefault="00D24E5C" w:rsidP="00EC723C">
      <w:pPr>
        <w:spacing w:before="120" w:after="120" w:line="360" w:lineRule="exact"/>
        <w:ind w:right="-18" w:firstLine="720"/>
        <w:jc w:val="both"/>
        <w:rPr>
          <w:sz w:val="28"/>
          <w:szCs w:val="28"/>
          <w:lang w:val="es-MX"/>
        </w:rPr>
      </w:pPr>
      <w:r w:rsidRPr="00D24E5C">
        <w:rPr>
          <w:sz w:val="28"/>
          <w:szCs w:val="28"/>
          <w:lang w:val="es-MX"/>
        </w:rPr>
        <w:t>13. Thông tư số 08/2019/TT-NHNN ngày 04 tháng 7 năm 2019 của Thống đốc Ngân hàng Nhà nước Việt Nam sửa đổi, bổ sung một số điều của Thông tư số 03/2015/TT-NHNN ngày 20 tháng 03 năm 2015 của Thống đốc Ngân hàng Nhà nước Việt Nam hướng dẫn thực hiện một số điều của Nghị định số 26/2014/NĐ-CP ngày 07 tháng 4 năm 2014 của Chính phủ về tổ chức và hoạt động của Thanh tra, giám sát ngành ngân hàng.</w:t>
      </w:r>
      <w:r w:rsidRPr="00D24E5C">
        <w:t xml:space="preserve"> </w:t>
      </w:r>
      <w:r w:rsidRPr="00D24E5C">
        <w:rPr>
          <w:sz w:val="28"/>
          <w:szCs w:val="28"/>
          <w:lang w:val="es-MX"/>
        </w:rPr>
        <w:t>Lý do: Nghị định số 26/2014/NĐ-CP đã hết hiệu lực thi hành và nội dung tại Thông tư không còn phù hợp.</w:t>
      </w:r>
    </w:p>
    <w:p w:rsidR="00EC723C" w:rsidRPr="00EC723C" w:rsidRDefault="00D24E5C" w:rsidP="00EC723C">
      <w:pPr>
        <w:spacing w:before="120" w:after="120" w:line="360" w:lineRule="exact"/>
        <w:ind w:right="-18" w:firstLine="720"/>
        <w:jc w:val="both"/>
        <w:rPr>
          <w:sz w:val="28"/>
          <w:szCs w:val="28"/>
          <w:lang w:val="es-MX"/>
        </w:rPr>
      </w:pPr>
      <w:r>
        <w:rPr>
          <w:sz w:val="28"/>
          <w:szCs w:val="28"/>
          <w:lang w:val="es-MX"/>
        </w:rPr>
        <w:lastRenderedPageBreak/>
        <w:t>14</w:t>
      </w:r>
      <w:r w:rsidR="00EC723C" w:rsidRPr="00EC723C">
        <w:rPr>
          <w:sz w:val="28"/>
          <w:szCs w:val="28"/>
          <w:lang w:val="es-MX"/>
        </w:rPr>
        <w:t>. Thông tư số 13/2019/TT-NHNN ngày 21 tháng 8 năm 2019 của Thống đốc Ngân hàng Nhà nước Việt Nam sửa đổi, bổ sung một số điều của các Thông tư có liên quan đến việc cấp giấy phép, tổ chức và hoạt động của tổ chức tín dụng, chi nhánh ngân hàng nước ngoài.</w:t>
      </w:r>
      <w:r w:rsidR="0090343A">
        <w:rPr>
          <w:sz w:val="28"/>
          <w:szCs w:val="28"/>
          <w:lang w:val="es-MX"/>
        </w:rPr>
        <w:t xml:space="preserve"> </w:t>
      </w:r>
      <w:r w:rsidR="0090343A" w:rsidRPr="0090343A">
        <w:rPr>
          <w:sz w:val="28"/>
          <w:szCs w:val="28"/>
          <w:lang w:val="es-MX"/>
        </w:rPr>
        <w:t>Lý do: các quy định tại Thông tư đã hết hiệu lực.</w:t>
      </w:r>
    </w:p>
    <w:p w:rsidR="00EC723C" w:rsidRPr="00EC723C" w:rsidRDefault="00D24E5C" w:rsidP="00EC723C">
      <w:pPr>
        <w:spacing w:before="120" w:after="120" w:line="360" w:lineRule="exact"/>
        <w:ind w:right="-18" w:firstLine="720"/>
        <w:jc w:val="both"/>
        <w:rPr>
          <w:sz w:val="28"/>
          <w:szCs w:val="28"/>
          <w:lang w:val="es-MX"/>
        </w:rPr>
      </w:pPr>
      <w:r>
        <w:rPr>
          <w:sz w:val="28"/>
          <w:szCs w:val="28"/>
          <w:lang w:val="es-MX"/>
        </w:rPr>
        <w:t>15</w:t>
      </w:r>
      <w:r w:rsidR="00EC723C" w:rsidRPr="00EC723C">
        <w:rPr>
          <w:sz w:val="28"/>
          <w:szCs w:val="28"/>
          <w:lang w:val="es-MX"/>
        </w:rPr>
        <w:t xml:space="preserve">. Thông tư số 21/2019/TT-NHNN ngày 14 tháng 11 năm 2019 của Thống đốc Ngân hàng Nhà nước Việt Nam sửa đổi, bổ sung một số điều của các Thông tư quy định về ngân hàng hợp tác xã, quỹ tín dụng nhân dân và quỹ bảo đảm an toàn hệ thống quỹ tín dụng nhân dân. </w:t>
      </w:r>
      <w:r w:rsidR="00373466" w:rsidRPr="00373466">
        <w:rPr>
          <w:sz w:val="28"/>
          <w:szCs w:val="28"/>
          <w:lang w:val="es-MX"/>
        </w:rPr>
        <w:t>Lý do: các quy định tại Thông tư đã hết hiệu lực.</w:t>
      </w:r>
    </w:p>
    <w:p w:rsidR="00EC723C" w:rsidRPr="00EC723C" w:rsidRDefault="00D24E5C" w:rsidP="00EC723C">
      <w:pPr>
        <w:spacing w:before="120" w:after="120" w:line="360" w:lineRule="exact"/>
        <w:ind w:right="-18" w:firstLine="720"/>
        <w:jc w:val="both"/>
        <w:rPr>
          <w:sz w:val="28"/>
          <w:szCs w:val="28"/>
          <w:lang w:val="es-MX"/>
        </w:rPr>
      </w:pPr>
      <w:r>
        <w:rPr>
          <w:sz w:val="28"/>
          <w:szCs w:val="28"/>
          <w:lang w:val="es-MX"/>
        </w:rPr>
        <w:t>16</w:t>
      </w:r>
      <w:r w:rsidR="00EC723C" w:rsidRPr="00EC723C">
        <w:rPr>
          <w:sz w:val="28"/>
          <w:szCs w:val="28"/>
          <w:lang w:val="es-MX"/>
        </w:rPr>
        <w:t>. Thông tư số 05/2020/TT-NHNN ngày 07 tháng 05 năm 2020 của Thống đốc Ngân hàng Nhà nước Việt Nam quy định về tái cấp vốn đối với Ngân hàng Chính sách xã hội theo Quyết định số 15/2020/QĐ-TTg ngày 24 tháng 4 năm 2020 của Thủ tướng Chính phủ quy định về việc thực hiện các chính sách hỗ trợ người dân gặp khó khăn do đại dịch COVID-19.</w:t>
      </w:r>
      <w:r w:rsidR="00CB4F56">
        <w:rPr>
          <w:sz w:val="28"/>
          <w:szCs w:val="28"/>
          <w:lang w:val="es-MX"/>
        </w:rPr>
        <w:t xml:space="preserve"> </w:t>
      </w:r>
      <w:r w:rsidR="00CB4F56" w:rsidRPr="00CB4F56">
        <w:rPr>
          <w:sz w:val="28"/>
          <w:szCs w:val="28"/>
          <w:lang w:val="es-MX"/>
        </w:rPr>
        <w:t>Lý do: do đã kết thức chương trình hỗ trợ theo tái cấp vốn và đã thu hết nợ vay tái cấp vốn.</w:t>
      </w:r>
    </w:p>
    <w:p w:rsidR="00EC723C" w:rsidRPr="00EC723C" w:rsidRDefault="00D24E5C" w:rsidP="00EC723C">
      <w:pPr>
        <w:spacing w:before="120" w:after="120" w:line="360" w:lineRule="exact"/>
        <w:ind w:right="-18" w:firstLine="720"/>
        <w:jc w:val="both"/>
        <w:rPr>
          <w:sz w:val="28"/>
          <w:szCs w:val="28"/>
          <w:lang w:val="es-MX"/>
        </w:rPr>
      </w:pPr>
      <w:r>
        <w:rPr>
          <w:sz w:val="28"/>
          <w:szCs w:val="28"/>
          <w:lang w:val="es-MX"/>
        </w:rPr>
        <w:t>17</w:t>
      </w:r>
      <w:r w:rsidR="00EC723C" w:rsidRPr="00EC723C">
        <w:rPr>
          <w:sz w:val="28"/>
          <w:szCs w:val="28"/>
          <w:lang w:val="es-MX"/>
        </w:rPr>
        <w:t>. Thông tư số 12/2020/TT-NHNN ngày 11 tháng 11 năm 2020 của Thống đốc Ngân hàng Nhà nước Việt Nam sửa đổi, bổ sung một số điều của Thông tư số 05/2020/TT-NHNN ngày 07 tháng 5 năm 2020 quy định về tái cấp vốn đối với Ngân hàng Chính sách xã hội theo Quyết định số 15/2020/QĐ-TTg ngày 24 tháng 4 năm 2020 của Thủ tướng Chính phủ quy định về việc thực hiện các chính sách hỗ trợ người dân gặp khó khăn do đại dịch COVID-19.</w:t>
      </w:r>
      <w:r w:rsidR="00CB4F56">
        <w:rPr>
          <w:sz w:val="28"/>
          <w:szCs w:val="28"/>
          <w:lang w:val="es-MX"/>
        </w:rPr>
        <w:t xml:space="preserve"> Lý do: do đã kết thức chương trình hỗ trợ theo tái cấp vốn và đã thu hết nợ vay tái cấp vốn.</w:t>
      </w:r>
    </w:p>
    <w:p w:rsidR="00BC6AA0" w:rsidRDefault="00D24E5C" w:rsidP="00373466">
      <w:pPr>
        <w:spacing w:before="120" w:after="120" w:line="360" w:lineRule="exact"/>
        <w:ind w:right="-18" w:firstLine="720"/>
        <w:jc w:val="both"/>
        <w:rPr>
          <w:sz w:val="28"/>
          <w:szCs w:val="28"/>
          <w:lang w:val="es-MX"/>
        </w:rPr>
      </w:pPr>
      <w:r>
        <w:rPr>
          <w:sz w:val="28"/>
          <w:szCs w:val="28"/>
          <w:lang w:val="es-MX"/>
        </w:rPr>
        <w:t>18</w:t>
      </w:r>
      <w:r w:rsidR="00EC723C" w:rsidRPr="00EC723C">
        <w:rPr>
          <w:sz w:val="28"/>
          <w:szCs w:val="28"/>
          <w:lang w:val="es-MX"/>
        </w:rPr>
        <w:t>. Thông tư số 20/2021/TT-NHNN ngày 30 tháng 11 năm 2021 của Thống đốc Ngân hàng Nhà nước Việt Nam sửa đổi, bổ sung một số điều của Thông tư số 25/2015/TT-NHNN ngày 09 tháng 12 năm 2015 của Thống đốc Ngân hàng Nhà nước Việt Nam hướng dẫn cho vay vốn ưu đãi thực hiện chính sách nhà ở xã hội.</w:t>
      </w:r>
      <w:r w:rsidR="00CB4F56">
        <w:rPr>
          <w:sz w:val="28"/>
          <w:szCs w:val="28"/>
          <w:lang w:val="es-MX"/>
        </w:rPr>
        <w:t xml:space="preserve"> </w:t>
      </w:r>
      <w:r w:rsidR="00CB4F56" w:rsidRPr="00CB4F56">
        <w:rPr>
          <w:sz w:val="28"/>
          <w:szCs w:val="28"/>
          <w:lang w:val="es-MX"/>
        </w:rPr>
        <w:t>Lý do: căn cứ ban hành văn bản đã hết hiệu lực</w:t>
      </w:r>
      <w:r w:rsidR="002B0092">
        <w:rPr>
          <w:sz w:val="28"/>
          <w:szCs w:val="28"/>
          <w:lang w:val="es-MX"/>
        </w:rPr>
        <w:t xml:space="preserve"> thi hành</w:t>
      </w:r>
      <w:r w:rsidR="00CB4F56" w:rsidRPr="00CB4F56">
        <w:rPr>
          <w:sz w:val="28"/>
          <w:szCs w:val="28"/>
          <w:lang w:val="es-MX"/>
        </w:rPr>
        <w:t xml:space="preserve"> và Nghị định 100/2024/NĐ-CP thay thế Nghị định số 100/2015/NĐ-CP ngày 20/10/2015 về phát triển và quản lý nhà ở xã hội không còn quy định trách nhiệm của Ngân hàng Nhà nước về hướng dẫn các Tổ chức tín dụng cho vay vốn thực hiện chính sách ưu đãi nhà ở xã hội.</w:t>
      </w:r>
    </w:p>
    <w:p w:rsidR="008E153F" w:rsidRPr="008E153F" w:rsidRDefault="00EB643A" w:rsidP="00EB643A">
      <w:pPr>
        <w:spacing w:before="120" w:after="120" w:line="380" w:lineRule="exact"/>
        <w:jc w:val="both"/>
        <w:rPr>
          <w:bCs/>
          <w:spacing w:val="-4"/>
          <w:sz w:val="28"/>
          <w:szCs w:val="28"/>
          <w:lang w:val="es-MX"/>
        </w:rPr>
      </w:pPr>
      <w:r>
        <w:rPr>
          <w:bCs/>
          <w:sz w:val="28"/>
          <w:szCs w:val="28"/>
          <w:lang w:val="es-MX"/>
        </w:rPr>
        <w:t xml:space="preserve">         (ii) </w:t>
      </w:r>
      <w:r w:rsidR="008E153F">
        <w:rPr>
          <w:bCs/>
          <w:sz w:val="28"/>
          <w:szCs w:val="28"/>
          <w:lang w:val="es-MX"/>
        </w:rPr>
        <w:t>Điều 2 -</w:t>
      </w:r>
      <w:r w:rsidR="008E153F" w:rsidRPr="008E153F">
        <w:rPr>
          <w:bCs/>
          <w:sz w:val="28"/>
          <w:szCs w:val="28"/>
          <w:lang w:val="es-MX"/>
        </w:rPr>
        <w:t xml:space="preserve"> Quy định về hiệu lực thi hành</w:t>
      </w:r>
      <w:r w:rsidR="00A96D40">
        <w:rPr>
          <w:bCs/>
          <w:sz w:val="28"/>
          <w:szCs w:val="28"/>
          <w:lang w:val="es-MX"/>
        </w:rPr>
        <w:t>.</w:t>
      </w:r>
      <w:r w:rsidR="008E153F" w:rsidRPr="008E153F">
        <w:rPr>
          <w:bCs/>
          <w:sz w:val="28"/>
          <w:szCs w:val="28"/>
          <w:lang w:val="es-MX"/>
        </w:rPr>
        <w:t xml:space="preserve"> </w:t>
      </w:r>
    </w:p>
    <w:p w:rsidR="008E153F" w:rsidRPr="008E153F" w:rsidRDefault="00EB643A" w:rsidP="00EB643A">
      <w:pPr>
        <w:spacing w:before="120" w:after="120" w:line="380" w:lineRule="exact"/>
        <w:jc w:val="both"/>
        <w:rPr>
          <w:sz w:val="28"/>
          <w:szCs w:val="28"/>
          <w:lang w:val="es-MX"/>
        </w:rPr>
      </w:pPr>
      <w:r>
        <w:rPr>
          <w:bCs/>
          <w:sz w:val="28"/>
          <w:szCs w:val="28"/>
          <w:lang w:val="es-MX"/>
        </w:rPr>
        <w:t xml:space="preserve">         (iii) </w:t>
      </w:r>
      <w:r w:rsidR="008E153F">
        <w:rPr>
          <w:bCs/>
          <w:sz w:val="28"/>
          <w:szCs w:val="28"/>
          <w:lang w:val="es-MX"/>
        </w:rPr>
        <w:t>Điều 3 -</w:t>
      </w:r>
      <w:r w:rsidR="008E153F" w:rsidRPr="008E153F">
        <w:rPr>
          <w:sz w:val="28"/>
          <w:szCs w:val="28"/>
          <w:lang w:val="es-MX"/>
        </w:rPr>
        <w:t xml:space="preserve"> Quy định về tổ chức thực hiện</w:t>
      </w:r>
      <w:r w:rsidR="00A96D40">
        <w:rPr>
          <w:sz w:val="28"/>
          <w:szCs w:val="28"/>
          <w:lang w:val="es-MX"/>
        </w:rPr>
        <w:t>.</w:t>
      </w:r>
    </w:p>
    <w:p w:rsidR="002173AD" w:rsidRPr="001404E0" w:rsidRDefault="002173AD">
      <w:pPr>
        <w:rPr>
          <w:lang w:val="pt-BR"/>
        </w:rPr>
      </w:pPr>
    </w:p>
    <w:sectPr w:rsidR="002173AD" w:rsidRPr="001404E0" w:rsidSect="005E422D">
      <w:headerReference w:type="default" r:id="rId7"/>
      <w:footerReference w:type="default" r:id="rId8"/>
      <w:pgSz w:w="11907" w:h="16840" w:code="9"/>
      <w:pgMar w:top="1134" w:right="1134" w:bottom="1134" w:left="1701" w:header="510" w:footer="16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3F5" w:rsidRDefault="005003F5" w:rsidP="00525820">
      <w:r>
        <w:separator/>
      </w:r>
    </w:p>
  </w:endnote>
  <w:endnote w:type="continuationSeparator" w:id="0">
    <w:p w:rsidR="005003F5" w:rsidRDefault="005003F5" w:rsidP="00525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435" w:rsidRDefault="00297435">
    <w:pPr>
      <w:pStyle w:val="Footer"/>
      <w:jc w:val="center"/>
    </w:pPr>
  </w:p>
  <w:p w:rsidR="00297435" w:rsidRDefault="002974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3F5" w:rsidRDefault="005003F5" w:rsidP="00525820">
      <w:r>
        <w:separator/>
      </w:r>
    </w:p>
  </w:footnote>
  <w:footnote w:type="continuationSeparator" w:id="0">
    <w:p w:rsidR="005003F5" w:rsidRDefault="005003F5" w:rsidP="005258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37054"/>
      <w:docPartObj>
        <w:docPartGallery w:val="Page Numbers (Top of Page)"/>
        <w:docPartUnique/>
      </w:docPartObj>
    </w:sdtPr>
    <w:sdtEndPr/>
    <w:sdtContent>
      <w:p w:rsidR="00297435" w:rsidRDefault="00096105">
        <w:pPr>
          <w:pStyle w:val="Header"/>
          <w:jc w:val="center"/>
        </w:pPr>
        <w:r>
          <w:fldChar w:fldCharType="begin"/>
        </w:r>
        <w:r>
          <w:instrText xml:space="preserve"> PAGE   \* MERGEFORMAT </w:instrText>
        </w:r>
        <w:r>
          <w:fldChar w:fldCharType="separate"/>
        </w:r>
        <w:r w:rsidR="006C314B">
          <w:rPr>
            <w:noProof/>
          </w:rPr>
          <w:t>5</w:t>
        </w:r>
        <w:r>
          <w:rPr>
            <w:noProof/>
          </w:rPr>
          <w:fldChar w:fldCharType="end"/>
        </w:r>
      </w:p>
    </w:sdtContent>
  </w:sdt>
  <w:p w:rsidR="00297435" w:rsidRDefault="002974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3AC"/>
    <w:rsid w:val="00041FE2"/>
    <w:rsid w:val="0005301A"/>
    <w:rsid w:val="00053D94"/>
    <w:rsid w:val="000574D5"/>
    <w:rsid w:val="00077C4C"/>
    <w:rsid w:val="00096105"/>
    <w:rsid w:val="000F042D"/>
    <w:rsid w:val="001404E0"/>
    <w:rsid w:val="00141CE6"/>
    <w:rsid w:val="00196CC4"/>
    <w:rsid w:val="001A3570"/>
    <w:rsid w:val="001B4C80"/>
    <w:rsid w:val="00212753"/>
    <w:rsid w:val="002173AD"/>
    <w:rsid w:val="00237DC5"/>
    <w:rsid w:val="00274A39"/>
    <w:rsid w:val="00297435"/>
    <w:rsid w:val="002B0092"/>
    <w:rsid w:val="00373466"/>
    <w:rsid w:val="00374965"/>
    <w:rsid w:val="003830CC"/>
    <w:rsid w:val="003A40EF"/>
    <w:rsid w:val="003A4CAC"/>
    <w:rsid w:val="003B680E"/>
    <w:rsid w:val="003F3404"/>
    <w:rsid w:val="00413FAF"/>
    <w:rsid w:val="004A24D8"/>
    <w:rsid w:val="005003F5"/>
    <w:rsid w:val="00511434"/>
    <w:rsid w:val="00525820"/>
    <w:rsid w:val="005702DB"/>
    <w:rsid w:val="005744DD"/>
    <w:rsid w:val="005A2B48"/>
    <w:rsid w:val="005E422D"/>
    <w:rsid w:val="005E780E"/>
    <w:rsid w:val="005F12D6"/>
    <w:rsid w:val="00613A1B"/>
    <w:rsid w:val="00633A2F"/>
    <w:rsid w:val="006343C9"/>
    <w:rsid w:val="00652200"/>
    <w:rsid w:val="006638FC"/>
    <w:rsid w:val="006958B4"/>
    <w:rsid w:val="006C1A36"/>
    <w:rsid w:val="006C314B"/>
    <w:rsid w:val="006C36E9"/>
    <w:rsid w:val="00726566"/>
    <w:rsid w:val="007331AD"/>
    <w:rsid w:val="00747A39"/>
    <w:rsid w:val="0079441C"/>
    <w:rsid w:val="007A4F33"/>
    <w:rsid w:val="007A7331"/>
    <w:rsid w:val="007C71CA"/>
    <w:rsid w:val="007D5AFB"/>
    <w:rsid w:val="007F7990"/>
    <w:rsid w:val="007F7B83"/>
    <w:rsid w:val="008270DB"/>
    <w:rsid w:val="0083049E"/>
    <w:rsid w:val="00847F85"/>
    <w:rsid w:val="00867029"/>
    <w:rsid w:val="0089794D"/>
    <w:rsid w:val="008B29BF"/>
    <w:rsid w:val="008B42CA"/>
    <w:rsid w:val="008E153F"/>
    <w:rsid w:val="008F4FE8"/>
    <w:rsid w:val="0090343A"/>
    <w:rsid w:val="00920229"/>
    <w:rsid w:val="0092595A"/>
    <w:rsid w:val="00952C3C"/>
    <w:rsid w:val="0098237F"/>
    <w:rsid w:val="009858CC"/>
    <w:rsid w:val="00A722A2"/>
    <w:rsid w:val="00A750B1"/>
    <w:rsid w:val="00A76CAD"/>
    <w:rsid w:val="00A81CC0"/>
    <w:rsid w:val="00A96D40"/>
    <w:rsid w:val="00B01A0F"/>
    <w:rsid w:val="00B12713"/>
    <w:rsid w:val="00B90C37"/>
    <w:rsid w:val="00B91394"/>
    <w:rsid w:val="00B97CFF"/>
    <w:rsid w:val="00BA4B56"/>
    <w:rsid w:val="00BA6221"/>
    <w:rsid w:val="00BC6395"/>
    <w:rsid w:val="00BC6AA0"/>
    <w:rsid w:val="00BE40CA"/>
    <w:rsid w:val="00C04661"/>
    <w:rsid w:val="00C111D7"/>
    <w:rsid w:val="00C57913"/>
    <w:rsid w:val="00C84A53"/>
    <w:rsid w:val="00CB4F56"/>
    <w:rsid w:val="00CF2895"/>
    <w:rsid w:val="00D24E5C"/>
    <w:rsid w:val="00D665A1"/>
    <w:rsid w:val="00DD7AFA"/>
    <w:rsid w:val="00E60BFB"/>
    <w:rsid w:val="00E873AC"/>
    <w:rsid w:val="00E921E4"/>
    <w:rsid w:val="00EB643A"/>
    <w:rsid w:val="00EC723C"/>
    <w:rsid w:val="00F75779"/>
    <w:rsid w:val="00FE0C24"/>
    <w:rsid w:val="00FF67E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386522-001B-4B44-B4AD-8A4E939E1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3AC"/>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E873A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873AC"/>
    <w:rPr>
      <w:rFonts w:ascii="Times New Roman" w:eastAsia="Times New Roman" w:hAnsi="Times New Roman" w:cs="Times New Roman"/>
      <w:b/>
      <w:bCs/>
      <w:i/>
      <w:iCs/>
      <w:sz w:val="26"/>
      <w:szCs w:val="26"/>
    </w:rPr>
  </w:style>
  <w:style w:type="paragraph" w:styleId="NormalWeb">
    <w:name w:val="Normal (Web)"/>
    <w:basedOn w:val="Normal"/>
    <w:uiPriority w:val="99"/>
    <w:unhideWhenUsed/>
    <w:rsid w:val="00E873AC"/>
    <w:pPr>
      <w:spacing w:before="100" w:beforeAutospacing="1" w:after="100" w:afterAutospacing="1"/>
    </w:pPr>
  </w:style>
  <w:style w:type="paragraph" w:styleId="BodyTextIndent2">
    <w:name w:val="Body Text Indent 2"/>
    <w:basedOn w:val="Normal"/>
    <w:link w:val="BodyTextIndent2Char"/>
    <w:uiPriority w:val="99"/>
    <w:unhideWhenUsed/>
    <w:rsid w:val="00E873AC"/>
    <w:pPr>
      <w:spacing w:after="120" w:line="480" w:lineRule="auto"/>
      <w:ind w:left="360"/>
    </w:pPr>
  </w:style>
  <w:style w:type="character" w:customStyle="1" w:styleId="BodyTextIndent2Char">
    <w:name w:val="Body Text Indent 2 Char"/>
    <w:basedOn w:val="DefaultParagraphFont"/>
    <w:link w:val="BodyTextIndent2"/>
    <w:uiPriority w:val="99"/>
    <w:rsid w:val="00E873A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E873AC"/>
    <w:pPr>
      <w:spacing w:after="120"/>
      <w:ind w:left="360"/>
    </w:pPr>
  </w:style>
  <w:style w:type="character" w:customStyle="1" w:styleId="BodyTextIndentChar">
    <w:name w:val="Body Text Indent Char"/>
    <w:basedOn w:val="DefaultParagraphFont"/>
    <w:link w:val="BodyTextIndent"/>
    <w:uiPriority w:val="99"/>
    <w:rsid w:val="00E873AC"/>
    <w:rPr>
      <w:rFonts w:ascii="Times New Roman" w:eastAsia="Times New Roman" w:hAnsi="Times New Roman" w:cs="Times New Roman"/>
      <w:sz w:val="24"/>
      <w:szCs w:val="24"/>
    </w:rPr>
  </w:style>
  <w:style w:type="character" w:customStyle="1" w:styleId="normalchar">
    <w:name w:val="normal__char"/>
    <w:basedOn w:val="DefaultParagraphFont"/>
    <w:rsid w:val="00E873AC"/>
  </w:style>
  <w:style w:type="paragraph" w:customStyle="1" w:styleId="Normal1">
    <w:name w:val="Normal1"/>
    <w:basedOn w:val="Normal"/>
    <w:rsid w:val="00E873AC"/>
    <w:pPr>
      <w:spacing w:before="100" w:beforeAutospacing="1" w:after="100" w:afterAutospacing="1"/>
    </w:pPr>
    <w:rPr>
      <w:lang w:val="vi-VN" w:eastAsia="vi-VN"/>
    </w:rPr>
  </w:style>
  <w:style w:type="paragraph" w:styleId="Header">
    <w:name w:val="header"/>
    <w:basedOn w:val="Normal"/>
    <w:link w:val="HeaderChar"/>
    <w:uiPriority w:val="99"/>
    <w:unhideWhenUsed/>
    <w:rsid w:val="00525820"/>
    <w:pPr>
      <w:tabs>
        <w:tab w:val="center" w:pos="4680"/>
        <w:tab w:val="right" w:pos="9360"/>
      </w:tabs>
    </w:pPr>
  </w:style>
  <w:style w:type="character" w:customStyle="1" w:styleId="HeaderChar">
    <w:name w:val="Header Char"/>
    <w:basedOn w:val="DefaultParagraphFont"/>
    <w:link w:val="Header"/>
    <w:uiPriority w:val="99"/>
    <w:rsid w:val="0052582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25820"/>
    <w:pPr>
      <w:tabs>
        <w:tab w:val="center" w:pos="4680"/>
        <w:tab w:val="right" w:pos="9360"/>
      </w:tabs>
    </w:pPr>
  </w:style>
  <w:style w:type="character" w:customStyle="1" w:styleId="FooterChar">
    <w:name w:val="Footer Char"/>
    <w:basedOn w:val="DefaultParagraphFont"/>
    <w:link w:val="Footer"/>
    <w:uiPriority w:val="99"/>
    <w:rsid w:val="0052582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47F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F85"/>
    <w:rPr>
      <w:rFonts w:ascii="Segoe UI" w:eastAsia="Times New Roman" w:hAnsi="Segoe UI" w:cs="Segoe UI"/>
      <w:sz w:val="18"/>
      <w:szCs w:val="18"/>
    </w:rPr>
  </w:style>
  <w:style w:type="paragraph" w:styleId="CommentText">
    <w:name w:val="annotation text"/>
    <w:basedOn w:val="Normal"/>
    <w:link w:val="CommentTextChar"/>
    <w:uiPriority w:val="99"/>
    <w:unhideWhenUsed/>
    <w:rsid w:val="00413FAF"/>
    <w:rPr>
      <w:sz w:val="20"/>
      <w:szCs w:val="20"/>
    </w:rPr>
  </w:style>
  <w:style w:type="character" w:customStyle="1" w:styleId="CommentTextChar">
    <w:name w:val="Comment Text Char"/>
    <w:basedOn w:val="DefaultParagraphFont"/>
    <w:link w:val="CommentText"/>
    <w:uiPriority w:val="99"/>
    <w:rsid w:val="00413FA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23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E7C1B-11CA-4A86-9C1D-E6DBE54EA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1843</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Trinh Viet Ha (PC)</cp:lastModifiedBy>
  <cp:revision>2</cp:revision>
  <cp:lastPrinted>2025-11-24T11:33:00Z</cp:lastPrinted>
  <dcterms:created xsi:type="dcterms:W3CDTF">2025-12-02T08:36:00Z</dcterms:created>
  <dcterms:modified xsi:type="dcterms:W3CDTF">2025-12-02T08:36:00Z</dcterms:modified>
</cp:coreProperties>
</file>