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3A" w:rsidRPr="00DF4F3A" w:rsidRDefault="00DF4F3A" w:rsidP="00DF4F3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Strong"/>
          <w:rFonts w:eastAsiaTheme="majorEastAsia"/>
          <w:sz w:val="28"/>
          <w:szCs w:val="28"/>
        </w:rPr>
      </w:pPr>
      <w:r w:rsidRPr="00DF4F3A">
        <w:rPr>
          <w:rStyle w:val="Strong"/>
          <w:rFonts w:eastAsiaTheme="majorEastAsia"/>
          <w:sz w:val="28"/>
          <w:szCs w:val="28"/>
        </w:rPr>
        <w:t>Press Release on the issuance of Circular No. 39/2025/TT-NHNN</w:t>
      </w:r>
    </w:p>
    <w:p w:rsidR="00DF4F3A" w:rsidRPr="00D0323A" w:rsidRDefault="00DF4F3A" w:rsidP="00DF4F3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sz w:val="28"/>
          <w:szCs w:val="28"/>
        </w:rPr>
      </w:pPr>
      <w:r w:rsidRPr="00DF4F3A">
        <w:rPr>
          <w:rStyle w:val="Strong"/>
          <w:rFonts w:eastAsiaTheme="majorEastAsia"/>
          <w:sz w:val="28"/>
          <w:szCs w:val="28"/>
        </w:rPr>
        <w:t>Hanoi, October 31, 2025</w:t>
      </w:r>
      <w:r w:rsidR="00D0323A">
        <w:rPr>
          <w:sz w:val="28"/>
          <w:szCs w:val="28"/>
        </w:rPr>
        <w:t xml:space="preserve">. </w:t>
      </w:r>
      <w:r w:rsidRPr="00D0323A">
        <w:rPr>
          <w:b/>
          <w:sz w:val="28"/>
          <w:szCs w:val="28"/>
        </w:rPr>
        <w:t>The Governor of the State Bank of Vietnam (SBV) has signed Circular No. 39/2025/TT-NHNN, regulating the opening and use of foreign currency accounts abroad by resident entities.</w:t>
      </w:r>
    </w:p>
    <w:p w:rsidR="00DF4F3A" w:rsidRPr="00DF4F3A" w:rsidRDefault="00DF4F3A" w:rsidP="00DF4F3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DF4F3A">
        <w:rPr>
          <w:sz w:val="28"/>
          <w:szCs w:val="28"/>
        </w:rPr>
        <w:t>The Circular is developed based on the inheritance of relevant provisions under Circular No. 20/2015/TT-NHNN dated October 28, 2015, while amending and supplementing certain contents to:</w:t>
      </w:r>
    </w:p>
    <w:p w:rsidR="00DF4F3A" w:rsidRPr="00DF4F3A" w:rsidRDefault="00DF4F3A" w:rsidP="00D0323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F4F3A">
        <w:rPr>
          <w:sz w:val="28"/>
          <w:szCs w:val="28"/>
        </w:rPr>
        <w:t>Reduce administrative procedure processing time.</w:t>
      </w:r>
    </w:p>
    <w:p w:rsidR="00DF4F3A" w:rsidRPr="00DF4F3A" w:rsidRDefault="00DF4F3A" w:rsidP="00D0323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F4F3A">
        <w:rPr>
          <w:sz w:val="28"/>
          <w:szCs w:val="28"/>
        </w:rPr>
        <w:t>Streamline documentation requirements.</w:t>
      </w:r>
    </w:p>
    <w:p w:rsidR="00DF4F3A" w:rsidRPr="00DF4F3A" w:rsidRDefault="00DF4F3A" w:rsidP="00D0323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F4F3A">
        <w:rPr>
          <w:sz w:val="28"/>
          <w:szCs w:val="28"/>
        </w:rPr>
        <w:t>Promote the application of administrative procedure resolution in electronic and digital environments.</w:t>
      </w:r>
    </w:p>
    <w:p w:rsidR="00DF4F3A" w:rsidRPr="00DF4F3A" w:rsidRDefault="00DF4F3A" w:rsidP="00DF4F3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DF4F3A">
        <w:rPr>
          <w:sz w:val="28"/>
          <w:szCs w:val="28"/>
        </w:rPr>
        <w:t>This aims to facilitate individuals and businesses, ensuring alignment with the spirit of Resolution No. 66/NQ-CP dated March 26, 2025, of the Government.</w:t>
      </w:r>
    </w:p>
    <w:p w:rsidR="00373DA4" w:rsidRDefault="00DF4F3A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DF4F3A">
        <w:rPr>
          <w:sz w:val="28"/>
          <w:szCs w:val="28"/>
        </w:rPr>
        <w:t>The Circular comprises 06 Chapters and 19 Articles, providing detailed guidance on:</w:t>
      </w:r>
      <w:r w:rsidR="00373DA4">
        <w:rPr>
          <w:sz w:val="28"/>
          <w:szCs w:val="28"/>
        </w:rPr>
        <w:t xml:space="preserve"> </w:t>
      </w:r>
    </w:p>
    <w:p w:rsidR="00373DA4" w:rsidRDefault="00373DA4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4F3A" w:rsidRPr="00DF4F3A">
        <w:rPr>
          <w:sz w:val="28"/>
          <w:szCs w:val="28"/>
        </w:rPr>
        <w:t>Cases of opening and using foreign currency accounts abroad; License validity period; Dossier preparation principles; Authority to grant, revoke Licenses, and Decisions on license amendme</w:t>
      </w:r>
      <w:r>
        <w:rPr>
          <w:sz w:val="28"/>
          <w:szCs w:val="28"/>
        </w:rPr>
        <w:t xml:space="preserve">nts and supplements (Chapter I); </w:t>
      </w:r>
    </w:p>
    <w:p w:rsidR="00E514C9" w:rsidRDefault="00373DA4" w:rsidP="00E514C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14C9">
        <w:rPr>
          <w:sz w:val="28"/>
          <w:szCs w:val="28"/>
        </w:rPr>
        <w:t xml:space="preserve"> </w:t>
      </w:r>
      <w:r w:rsidR="00DF4F3A" w:rsidRPr="00DF4F3A">
        <w:rPr>
          <w:sz w:val="28"/>
          <w:szCs w:val="28"/>
        </w:rPr>
        <w:t>Procedures and dossiers for li</w:t>
      </w:r>
      <w:r>
        <w:rPr>
          <w:sz w:val="28"/>
          <w:szCs w:val="28"/>
        </w:rPr>
        <w:t xml:space="preserve">cense applications (Chapter II); </w:t>
      </w:r>
    </w:p>
    <w:p w:rsidR="00373DA4" w:rsidRDefault="00E514C9" w:rsidP="00E514C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4F3A" w:rsidRPr="00DF4F3A">
        <w:rPr>
          <w:sz w:val="28"/>
          <w:szCs w:val="28"/>
        </w:rPr>
        <w:t>Procedures and dossiers for license amendment and supplementa</w:t>
      </w:r>
      <w:r w:rsidR="00373DA4">
        <w:rPr>
          <w:sz w:val="28"/>
          <w:szCs w:val="28"/>
        </w:rPr>
        <w:t xml:space="preserve">tion applications (Chapter III); </w:t>
      </w:r>
    </w:p>
    <w:p w:rsidR="00373DA4" w:rsidRDefault="00373DA4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14C9">
        <w:rPr>
          <w:sz w:val="28"/>
          <w:szCs w:val="28"/>
        </w:rPr>
        <w:t xml:space="preserve"> </w:t>
      </w:r>
      <w:r w:rsidR="00DF4F3A" w:rsidRPr="00DF4F3A">
        <w:rPr>
          <w:sz w:val="28"/>
          <w:szCs w:val="28"/>
        </w:rPr>
        <w:t xml:space="preserve">Cases of automatic license expiration and </w:t>
      </w:r>
      <w:r>
        <w:rPr>
          <w:sz w:val="28"/>
          <w:szCs w:val="28"/>
        </w:rPr>
        <w:t xml:space="preserve">license revocation (Chapter IV); </w:t>
      </w:r>
    </w:p>
    <w:p w:rsidR="00373DA4" w:rsidRDefault="00373DA4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14C9">
        <w:rPr>
          <w:sz w:val="28"/>
          <w:szCs w:val="28"/>
        </w:rPr>
        <w:t xml:space="preserve"> </w:t>
      </w:r>
      <w:r w:rsidR="00DF4F3A" w:rsidRPr="00DF4F3A">
        <w:rPr>
          <w:sz w:val="28"/>
          <w:szCs w:val="28"/>
        </w:rPr>
        <w:t>Responsibilities o</w:t>
      </w:r>
      <w:r>
        <w:rPr>
          <w:sz w:val="28"/>
          <w:szCs w:val="28"/>
        </w:rPr>
        <w:t xml:space="preserve">f relevant entities (Chapter V); </w:t>
      </w:r>
    </w:p>
    <w:p w:rsidR="00373DA4" w:rsidRDefault="00373DA4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14C9">
        <w:rPr>
          <w:sz w:val="28"/>
          <w:szCs w:val="28"/>
        </w:rPr>
        <w:t xml:space="preserve"> </w:t>
      </w:r>
      <w:r w:rsidR="00DF4F3A" w:rsidRPr="00DF4F3A">
        <w:rPr>
          <w:sz w:val="28"/>
          <w:szCs w:val="28"/>
        </w:rPr>
        <w:t>Impl</w:t>
      </w:r>
      <w:r>
        <w:rPr>
          <w:sz w:val="28"/>
          <w:szCs w:val="28"/>
        </w:rPr>
        <w:t xml:space="preserve">ementation clauses (Chapter VI); </w:t>
      </w:r>
    </w:p>
    <w:p w:rsidR="00DF4F3A" w:rsidRDefault="00DF4F3A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bookmarkStart w:id="0" w:name="_GoBack"/>
      <w:bookmarkEnd w:id="0"/>
      <w:r w:rsidRPr="00DF4F3A">
        <w:rPr>
          <w:sz w:val="28"/>
          <w:szCs w:val="28"/>
        </w:rPr>
        <w:t>The Circular takes effect from December 15, 2025.</w:t>
      </w:r>
    </w:p>
    <w:p w:rsidR="00E514C9" w:rsidRPr="00E514C9" w:rsidRDefault="00E514C9" w:rsidP="00373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i/>
          <w:sz w:val="28"/>
          <w:szCs w:val="28"/>
        </w:rPr>
      </w:pPr>
      <w:r w:rsidRPr="00E514C9">
        <w:rPr>
          <w:b/>
          <w:i/>
          <w:sz w:val="28"/>
          <w:szCs w:val="28"/>
        </w:rPr>
        <w:t>HM</w:t>
      </w:r>
    </w:p>
    <w:p w:rsidR="00C13288" w:rsidRPr="00DF4F3A" w:rsidRDefault="00C13288" w:rsidP="00DF4F3A">
      <w:pPr>
        <w:rPr>
          <w:rFonts w:cs="Times New Roman"/>
          <w:sz w:val="28"/>
          <w:szCs w:val="28"/>
        </w:rPr>
      </w:pPr>
    </w:p>
    <w:sectPr w:rsidR="00C13288" w:rsidRPr="00DF4F3A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EBC"/>
    <w:multiLevelType w:val="hybridMultilevel"/>
    <w:tmpl w:val="3026AB6E"/>
    <w:lvl w:ilvl="0" w:tplc="B5A04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443A2"/>
    <w:multiLevelType w:val="multilevel"/>
    <w:tmpl w:val="B9A0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F1AE3"/>
    <w:multiLevelType w:val="multilevel"/>
    <w:tmpl w:val="5BC4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3A"/>
    <w:rsid w:val="000A1AD9"/>
    <w:rsid w:val="00371A55"/>
    <w:rsid w:val="00373DA4"/>
    <w:rsid w:val="00C13288"/>
    <w:rsid w:val="00D0323A"/>
    <w:rsid w:val="00DF4F3A"/>
    <w:rsid w:val="00E5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DD27"/>
  <w15:chartTrackingRefBased/>
  <w15:docId w15:val="{07929423-0E9E-4A30-B7FF-2453B0AA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customStyle="1" w:styleId="ds-markdown-paragraph">
    <w:name w:val="ds-markdown-paragraph"/>
    <w:basedOn w:val="Normal"/>
    <w:rsid w:val="00DF4F3A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Manh (TBNH)</dc:creator>
  <cp:keywords/>
  <dc:description/>
  <cp:lastModifiedBy>Nguyen Huu Manh (TBNH)</cp:lastModifiedBy>
  <cp:revision>3</cp:revision>
  <dcterms:created xsi:type="dcterms:W3CDTF">2025-11-14T03:21:00Z</dcterms:created>
  <dcterms:modified xsi:type="dcterms:W3CDTF">2025-11-14T07:01:00Z</dcterms:modified>
</cp:coreProperties>
</file>