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AF" w:rsidRDefault="00BD0FAF" w:rsidP="004B600F">
      <w:pPr>
        <w:jc w:val="center"/>
        <w:rPr>
          <w:rFonts w:ascii="Times New Roman" w:hAnsi="Times New Roman"/>
          <w:b/>
          <w:sz w:val="28"/>
          <w:szCs w:val="28"/>
        </w:rPr>
      </w:pPr>
      <w:r>
        <w:rPr>
          <w:rFonts w:ascii="Times New Roman" w:hAnsi="Times New Roman"/>
          <w:b/>
          <w:sz w:val="28"/>
          <w:szCs w:val="28"/>
        </w:rPr>
        <w:t xml:space="preserve">GIẢI TRÌNH DỰ THẢO </w:t>
      </w:r>
    </w:p>
    <w:p w:rsidR="00DF1772" w:rsidRDefault="005A0254" w:rsidP="00627BEF">
      <w:pPr>
        <w:jc w:val="center"/>
        <w:rPr>
          <w:rFonts w:ascii="Times New Roman" w:hAnsi="Times New Roman"/>
          <w:b/>
          <w:sz w:val="28"/>
          <w:szCs w:val="28"/>
        </w:rPr>
      </w:pPr>
      <w:r>
        <w:rPr>
          <w:rFonts w:ascii="Times New Roman" w:hAnsi="Times New Roman"/>
          <w:b/>
          <w:sz w:val="28"/>
          <w:szCs w:val="28"/>
        </w:rPr>
        <w:t xml:space="preserve">THÔNG TƯ </w:t>
      </w:r>
      <w:r w:rsidR="00BD0FAF">
        <w:rPr>
          <w:rFonts w:ascii="Times New Roman" w:hAnsi="Times New Roman"/>
          <w:b/>
          <w:sz w:val="28"/>
          <w:szCs w:val="28"/>
        </w:rPr>
        <w:t xml:space="preserve">HƯỚNG DẪN </w:t>
      </w:r>
      <w:r w:rsidR="002F3C20">
        <w:rPr>
          <w:rFonts w:ascii="Times New Roman" w:hAnsi="Times New Roman"/>
          <w:b/>
          <w:sz w:val="28"/>
          <w:szCs w:val="28"/>
        </w:rPr>
        <w:t>ĐIỀU KIỆN, HỒ</w:t>
      </w:r>
      <w:r w:rsidR="002D44B1">
        <w:rPr>
          <w:rFonts w:ascii="Times New Roman" w:hAnsi="Times New Roman"/>
          <w:b/>
          <w:sz w:val="28"/>
          <w:szCs w:val="28"/>
        </w:rPr>
        <w:t xml:space="preserve"> SƠ</w:t>
      </w:r>
      <w:r w:rsidR="001B12BE">
        <w:rPr>
          <w:rFonts w:ascii="Times New Roman" w:hAnsi="Times New Roman"/>
          <w:b/>
          <w:sz w:val="28"/>
          <w:szCs w:val="28"/>
        </w:rPr>
        <w:t>, TRÌNH TỰ</w:t>
      </w:r>
      <w:r w:rsidR="002D44B1">
        <w:rPr>
          <w:rFonts w:ascii="Times New Roman" w:hAnsi="Times New Roman"/>
          <w:b/>
          <w:sz w:val="28"/>
          <w:szCs w:val="28"/>
          <w:lang w:val="vi-VN"/>
        </w:rPr>
        <w:t xml:space="preserve"> VÀ</w:t>
      </w:r>
      <w:r w:rsidR="002F3C20">
        <w:rPr>
          <w:rFonts w:ascii="Times New Roman" w:hAnsi="Times New Roman"/>
          <w:b/>
          <w:sz w:val="28"/>
          <w:szCs w:val="28"/>
        </w:rPr>
        <w:t xml:space="preserve"> THỦ TỤ</w:t>
      </w:r>
      <w:r w:rsidR="002D44B1">
        <w:rPr>
          <w:rFonts w:ascii="Times New Roman" w:hAnsi="Times New Roman"/>
          <w:b/>
          <w:sz w:val="28"/>
          <w:szCs w:val="28"/>
        </w:rPr>
        <w:t>C</w:t>
      </w:r>
      <w:r>
        <w:rPr>
          <w:rFonts w:ascii="Times New Roman" w:hAnsi="Times New Roman"/>
          <w:b/>
          <w:sz w:val="28"/>
          <w:szCs w:val="28"/>
        </w:rPr>
        <w:t xml:space="preserve"> </w:t>
      </w:r>
      <w:r w:rsidR="001B12BE">
        <w:rPr>
          <w:rFonts w:ascii="Times New Roman" w:hAnsi="Times New Roman"/>
          <w:b/>
          <w:sz w:val="28"/>
          <w:szCs w:val="28"/>
        </w:rPr>
        <w:t xml:space="preserve">CHẤP THUẬN VIỆC </w:t>
      </w:r>
      <w:r>
        <w:rPr>
          <w:rFonts w:ascii="Times New Roman" w:hAnsi="Times New Roman"/>
          <w:b/>
          <w:sz w:val="28"/>
          <w:szCs w:val="28"/>
        </w:rPr>
        <w:t xml:space="preserve">GÓP VỐN, MUA CỔ PHẦN CỦA </w:t>
      </w:r>
      <w:r w:rsidR="00BD0FAF">
        <w:rPr>
          <w:rFonts w:ascii="Times New Roman" w:hAnsi="Times New Roman"/>
          <w:b/>
          <w:sz w:val="28"/>
          <w:szCs w:val="28"/>
        </w:rPr>
        <w:t>T</w:t>
      </w:r>
      <w:r w:rsidR="001B12BE">
        <w:rPr>
          <w:rFonts w:ascii="Times New Roman" w:hAnsi="Times New Roman"/>
          <w:b/>
          <w:sz w:val="28"/>
          <w:szCs w:val="28"/>
        </w:rPr>
        <w:t>CTD</w:t>
      </w:r>
    </w:p>
    <w:p w:rsidR="00627BEF" w:rsidRPr="00627BEF" w:rsidRDefault="00627BEF" w:rsidP="00627BEF">
      <w:pPr>
        <w:jc w:val="center"/>
        <w:rPr>
          <w:rFonts w:ascii="Times New Roman" w:hAnsi="Times New Roman"/>
          <w:b/>
          <w:sz w:val="28"/>
          <w:szCs w:val="28"/>
        </w:rPr>
      </w:pPr>
    </w:p>
    <w:p w:rsidR="001F53B1" w:rsidRPr="00362F50" w:rsidRDefault="00EB4DA0" w:rsidP="00EB4DA0">
      <w:pPr>
        <w:pStyle w:val="ListParagraph"/>
        <w:numPr>
          <w:ilvl w:val="0"/>
          <w:numId w:val="1"/>
        </w:numPr>
        <w:tabs>
          <w:tab w:val="left" w:pos="360"/>
        </w:tabs>
        <w:ind w:left="709" w:firstLine="0"/>
        <w:contextualSpacing w:val="0"/>
        <w:rPr>
          <w:rFonts w:ascii="Times New Roman" w:hAnsi="Times New Roman"/>
          <w:b/>
          <w:sz w:val="28"/>
          <w:szCs w:val="28"/>
        </w:rPr>
      </w:pPr>
      <w:r>
        <w:rPr>
          <w:rFonts w:ascii="Times New Roman" w:hAnsi="Times New Roman"/>
          <w:b/>
          <w:sz w:val="28"/>
          <w:szCs w:val="28"/>
        </w:rPr>
        <w:t xml:space="preserve"> </w:t>
      </w:r>
      <w:r w:rsidR="00362F50">
        <w:rPr>
          <w:rFonts w:ascii="Times New Roman" w:hAnsi="Times New Roman"/>
          <w:b/>
          <w:sz w:val="28"/>
          <w:szCs w:val="28"/>
        </w:rPr>
        <w:t>SỰ CẦN THIẾT</w:t>
      </w:r>
    </w:p>
    <w:p w:rsidR="00192DB2" w:rsidRDefault="00192DB2" w:rsidP="00192DB2">
      <w:pPr>
        <w:ind w:firstLine="720"/>
        <w:jc w:val="both"/>
        <w:rPr>
          <w:rFonts w:ascii="Times New Roman" w:hAnsi="Times New Roman"/>
          <w:sz w:val="28"/>
          <w:szCs w:val="28"/>
        </w:rPr>
      </w:pPr>
      <w:proofErr w:type="gramStart"/>
      <w:r>
        <w:rPr>
          <w:rFonts w:ascii="Times New Roman" w:hAnsi="Times New Roman"/>
          <w:sz w:val="28"/>
          <w:szCs w:val="28"/>
        </w:rPr>
        <w:t>Luậ</w:t>
      </w:r>
      <w:r w:rsidR="002C611E">
        <w:rPr>
          <w:rFonts w:ascii="Times New Roman" w:hAnsi="Times New Roman"/>
          <w:sz w:val="28"/>
          <w:szCs w:val="28"/>
        </w:rPr>
        <w:t xml:space="preserve">t </w:t>
      </w:r>
      <w:r w:rsidR="00B42A6C">
        <w:rPr>
          <w:rFonts w:ascii="Times New Roman" w:hAnsi="Times New Roman"/>
          <w:sz w:val="28"/>
          <w:szCs w:val="28"/>
        </w:rPr>
        <w:t>C</w:t>
      </w:r>
      <w:r>
        <w:rPr>
          <w:rFonts w:ascii="Times New Roman" w:hAnsi="Times New Roman"/>
          <w:sz w:val="28"/>
          <w:szCs w:val="28"/>
        </w:rPr>
        <w:t xml:space="preserve">ác Tổ chức tín dụng 2010 </w:t>
      </w:r>
      <w:r w:rsidR="006C03BD">
        <w:rPr>
          <w:rFonts w:ascii="Times New Roman" w:hAnsi="Times New Roman"/>
          <w:sz w:val="28"/>
          <w:szCs w:val="28"/>
          <w:lang w:val="vi-VN"/>
        </w:rPr>
        <w:t xml:space="preserve">(Luật các TCTD) </w:t>
      </w:r>
      <w:r>
        <w:rPr>
          <w:rFonts w:ascii="Times New Roman" w:hAnsi="Times New Roman"/>
          <w:sz w:val="28"/>
          <w:szCs w:val="28"/>
        </w:rPr>
        <w:t>đã có hiệu lực từ 01/01/2011 vớ</w:t>
      </w:r>
      <w:r w:rsidR="002C611E">
        <w:rPr>
          <w:rFonts w:ascii="Times New Roman" w:hAnsi="Times New Roman"/>
          <w:sz w:val="28"/>
          <w:szCs w:val="28"/>
        </w:rPr>
        <w:t xml:space="preserve">i </w:t>
      </w:r>
      <w:r>
        <w:rPr>
          <w:rFonts w:ascii="Times New Roman" w:hAnsi="Times New Roman"/>
          <w:sz w:val="28"/>
          <w:szCs w:val="28"/>
        </w:rPr>
        <w:t>nhiều nội dung mới so với Luật Các tổ chức tín dụng 1997</w:t>
      </w:r>
      <w:r w:rsidR="008B0158">
        <w:rPr>
          <w:rFonts w:ascii="Times New Roman" w:hAnsi="Times New Roman"/>
          <w:sz w:val="28"/>
          <w:szCs w:val="28"/>
        </w:rPr>
        <w:t xml:space="preserve">, trong đó, </w:t>
      </w:r>
      <w:r>
        <w:rPr>
          <w:rFonts w:ascii="Times New Roman" w:hAnsi="Times New Roman"/>
          <w:sz w:val="28"/>
          <w:szCs w:val="28"/>
        </w:rPr>
        <w:t xml:space="preserve">có </w:t>
      </w:r>
      <w:r w:rsidR="008B0158">
        <w:rPr>
          <w:rFonts w:ascii="Times New Roman" w:hAnsi="Times New Roman"/>
          <w:sz w:val="28"/>
          <w:szCs w:val="28"/>
        </w:rPr>
        <w:t>nội dung</w:t>
      </w:r>
      <w:r>
        <w:rPr>
          <w:rFonts w:ascii="Times New Roman" w:hAnsi="Times New Roman"/>
          <w:sz w:val="28"/>
          <w:szCs w:val="28"/>
        </w:rPr>
        <w:t xml:space="preserve"> quy định về </w:t>
      </w:r>
      <w:r w:rsidRPr="00F8204A">
        <w:rPr>
          <w:rFonts w:ascii="Times New Roman" w:hAnsi="Times New Roman"/>
          <w:b/>
          <w:sz w:val="28"/>
          <w:szCs w:val="28"/>
        </w:rPr>
        <w:t>hoạt động góp vốn, mua cổ phần của tổ chức tín dụng</w:t>
      </w:r>
      <w:r w:rsidR="006C03BD">
        <w:rPr>
          <w:rFonts w:ascii="Times New Roman" w:hAnsi="Times New Roman"/>
          <w:sz w:val="28"/>
          <w:szCs w:val="28"/>
          <w:lang w:val="vi-VN"/>
        </w:rPr>
        <w:t xml:space="preserve"> (TCTD)</w:t>
      </w:r>
      <w:r>
        <w:rPr>
          <w:rFonts w:ascii="Times New Roman" w:hAnsi="Times New Roman"/>
          <w:sz w:val="28"/>
          <w:szCs w:val="28"/>
        </w:rPr>
        <w:t>.</w:t>
      </w:r>
      <w:proofErr w:type="gramEnd"/>
      <w:r w:rsidR="002D44B1">
        <w:rPr>
          <w:rFonts w:ascii="Times New Roman" w:hAnsi="Times New Roman"/>
          <w:sz w:val="28"/>
          <w:szCs w:val="28"/>
        </w:rPr>
        <w:t xml:space="preserve"> Tuy nhiên, </w:t>
      </w:r>
      <w:r w:rsidR="002D44B1">
        <w:rPr>
          <w:rFonts w:ascii="Times New Roman" w:hAnsi="Times New Roman"/>
          <w:sz w:val="28"/>
          <w:szCs w:val="28"/>
          <w:lang w:val="vi-VN"/>
        </w:rPr>
        <w:t>trên thực tế</w:t>
      </w:r>
      <w:r w:rsidR="008B0158">
        <w:rPr>
          <w:rFonts w:ascii="Times New Roman" w:hAnsi="Times New Roman"/>
          <w:sz w:val="28"/>
          <w:szCs w:val="28"/>
        </w:rPr>
        <w:t>,</w:t>
      </w:r>
      <w:r w:rsidR="007434E8">
        <w:rPr>
          <w:rFonts w:ascii="Times New Roman" w:hAnsi="Times New Roman"/>
          <w:sz w:val="28"/>
          <w:szCs w:val="28"/>
        </w:rPr>
        <w:t xml:space="preserve"> </w:t>
      </w:r>
      <w:r w:rsidR="008B0158">
        <w:rPr>
          <w:rFonts w:ascii="Times New Roman" w:hAnsi="Times New Roman"/>
          <w:sz w:val="28"/>
          <w:szCs w:val="28"/>
        </w:rPr>
        <w:t xml:space="preserve">do </w:t>
      </w:r>
      <w:r w:rsidR="007434E8">
        <w:rPr>
          <w:rFonts w:ascii="Times New Roman" w:hAnsi="Times New Roman"/>
          <w:sz w:val="28"/>
          <w:szCs w:val="28"/>
        </w:rPr>
        <w:t xml:space="preserve">vẫn chưa có văn bản hướng dẫn các quy định mới của Luật </w:t>
      </w:r>
      <w:r w:rsidR="006C03BD">
        <w:rPr>
          <w:rFonts w:ascii="Times New Roman" w:hAnsi="Times New Roman"/>
          <w:sz w:val="28"/>
          <w:szCs w:val="28"/>
          <w:lang w:val="vi-VN"/>
        </w:rPr>
        <w:t>các TCTD</w:t>
      </w:r>
      <w:r w:rsidR="007434E8">
        <w:rPr>
          <w:rFonts w:ascii="Times New Roman" w:hAnsi="Times New Roman"/>
          <w:sz w:val="28"/>
          <w:szCs w:val="28"/>
        </w:rPr>
        <w:t xml:space="preserve"> </w:t>
      </w:r>
      <w:r w:rsidR="008B0158">
        <w:rPr>
          <w:rFonts w:ascii="Times New Roman" w:hAnsi="Times New Roman"/>
          <w:sz w:val="28"/>
          <w:szCs w:val="28"/>
        </w:rPr>
        <w:t>nên</w:t>
      </w:r>
      <w:r w:rsidR="007434E8">
        <w:rPr>
          <w:rFonts w:ascii="Times New Roman" w:hAnsi="Times New Roman"/>
          <w:sz w:val="28"/>
          <w:szCs w:val="28"/>
        </w:rPr>
        <w:t xml:space="preserve"> hoạt động góp vốn, mua cổ phần của </w:t>
      </w:r>
      <w:r w:rsidR="006C03BD">
        <w:rPr>
          <w:rFonts w:ascii="Times New Roman" w:hAnsi="Times New Roman"/>
          <w:sz w:val="28"/>
          <w:szCs w:val="28"/>
          <w:lang w:val="vi-VN"/>
        </w:rPr>
        <w:t>TCTD</w:t>
      </w:r>
      <w:r w:rsidR="007434E8">
        <w:rPr>
          <w:rFonts w:ascii="Times New Roman" w:hAnsi="Times New Roman"/>
          <w:sz w:val="28"/>
          <w:szCs w:val="28"/>
        </w:rPr>
        <w:t xml:space="preserve"> vẫn được thực hiện theo các văn bản trước đây</w:t>
      </w:r>
      <w:r w:rsidR="001F38BC">
        <w:rPr>
          <w:rFonts w:ascii="Times New Roman" w:hAnsi="Times New Roman"/>
          <w:sz w:val="28"/>
          <w:szCs w:val="28"/>
        </w:rPr>
        <w:t>.</w:t>
      </w:r>
      <w:r w:rsidR="007434E8">
        <w:rPr>
          <w:rStyle w:val="FootnoteReference"/>
          <w:rFonts w:ascii="Times New Roman" w:hAnsi="Times New Roman"/>
          <w:sz w:val="28"/>
          <w:szCs w:val="28"/>
        </w:rPr>
        <w:footnoteReference w:id="1"/>
      </w:r>
      <w:r w:rsidR="007434E8">
        <w:rPr>
          <w:rFonts w:ascii="Times New Roman" w:hAnsi="Times New Roman"/>
          <w:sz w:val="28"/>
          <w:szCs w:val="28"/>
        </w:rPr>
        <w:t xml:space="preserve"> </w:t>
      </w:r>
    </w:p>
    <w:p w:rsidR="00362F50" w:rsidRDefault="001F38BC" w:rsidP="002E5037">
      <w:pPr>
        <w:ind w:firstLine="720"/>
        <w:jc w:val="both"/>
        <w:rPr>
          <w:rFonts w:ascii="Times New Roman" w:hAnsi="Times New Roman"/>
          <w:sz w:val="28"/>
          <w:szCs w:val="28"/>
        </w:rPr>
      </w:pPr>
      <w:r>
        <w:rPr>
          <w:rFonts w:ascii="Times New Roman" w:hAnsi="Times New Roman"/>
          <w:sz w:val="28"/>
          <w:szCs w:val="28"/>
        </w:rPr>
        <w:t>Các văn bản</w:t>
      </w:r>
      <w:r w:rsidR="00192DB2">
        <w:rPr>
          <w:rFonts w:ascii="Times New Roman" w:hAnsi="Times New Roman"/>
          <w:sz w:val="28"/>
          <w:szCs w:val="28"/>
        </w:rPr>
        <w:t xml:space="preserve"> này nói </w:t>
      </w:r>
      <w:proofErr w:type="gramStart"/>
      <w:r w:rsidR="00192DB2">
        <w:rPr>
          <w:rFonts w:ascii="Times New Roman" w:hAnsi="Times New Roman"/>
          <w:sz w:val="28"/>
          <w:szCs w:val="28"/>
        </w:rPr>
        <w:t>chung</w:t>
      </w:r>
      <w:proofErr w:type="gramEnd"/>
      <w:r w:rsidR="00192DB2">
        <w:rPr>
          <w:rFonts w:ascii="Times New Roman" w:hAnsi="Times New Roman"/>
          <w:sz w:val="28"/>
          <w:szCs w:val="28"/>
        </w:rPr>
        <w:t xml:space="preserve"> còn thiếu tính thống nhất, chưa điều chỉnh hết các hoạt động góp vốn, mua cổ phần </w:t>
      </w:r>
      <w:r w:rsidR="002C611E">
        <w:rPr>
          <w:rFonts w:ascii="Times New Roman" w:hAnsi="Times New Roman"/>
          <w:sz w:val="28"/>
          <w:szCs w:val="28"/>
        </w:rPr>
        <w:t xml:space="preserve">của </w:t>
      </w:r>
      <w:r w:rsidR="002C611E">
        <w:rPr>
          <w:rFonts w:ascii="Times New Roman" w:hAnsi="Times New Roman"/>
          <w:sz w:val="28"/>
          <w:szCs w:val="28"/>
          <w:lang w:val="vi-VN"/>
        </w:rPr>
        <w:t>TCTD</w:t>
      </w:r>
      <w:r w:rsidR="002C611E">
        <w:rPr>
          <w:rFonts w:ascii="Times New Roman" w:hAnsi="Times New Roman"/>
          <w:sz w:val="28"/>
          <w:szCs w:val="28"/>
        </w:rPr>
        <w:t xml:space="preserve"> </w:t>
      </w:r>
      <w:r w:rsidR="002D44B1">
        <w:rPr>
          <w:rFonts w:ascii="Times New Roman" w:hAnsi="Times New Roman"/>
          <w:sz w:val="28"/>
          <w:szCs w:val="28"/>
          <w:lang w:val="vi-VN"/>
        </w:rPr>
        <w:t xml:space="preserve">theo quy định </w:t>
      </w:r>
      <w:r w:rsidR="002C611E">
        <w:rPr>
          <w:rFonts w:ascii="Times New Roman" w:hAnsi="Times New Roman"/>
          <w:sz w:val="28"/>
          <w:szCs w:val="28"/>
          <w:lang w:val="vi-VN"/>
        </w:rPr>
        <w:t>tại</w:t>
      </w:r>
      <w:r w:rsidR="002D44B1">
        <w:rPr>
          <w:rFonts w:ascii="Times New Roman" w:hAnsi="Times New Roman"/>
          <w:sz w:val="28"/>
          <w:szCs w:val="28"/>
          <w:lang w:val="vi-VN"/>
        </w:rPr>
        <w:t xml:space="preserve"> Luậ</w:t>
      </w:r>
      <w:r w:rsidR="006C03BD">
        <w:rPr>
          <w:rFonts w:ascii="Times New Roman" w:hAnsi="Times New Roman"/>
          <w:sz w:val="28"/>
          <w:szCs w:val="28"/>
          <w:lang w:val="vi-VN"/>
        </w:rPr>
        <w:t>t c</w:t>
      </w:r>
      <w:r w:rsidR="002D44B1">
        <w:rPr>
          <w:rFonts w:ascii="Times New Roman" w:hAnsi="Times New Roman"/>
          <w:sz w:val="28"/>
          <w:szCs w:val="28"/>
          <w:lang w:val="vi-VN"/>
        </w:rPr>
        <w:t xml:space="preserve">ác </w:t>
      </w:r>
      <w:r w:rsidR="006C03BD">
        <w:rPr>
          <w:rFonts w:ascii="Times New Roman" w:hAnsi="Times New Roman"/>
          <w:sz w:val="28"/>
          <w:szCs w:val="28"/>
          <w:lang w:val="vi-VN"/>
        </w:rPr>
        <w:t>TCTD</w:t>
      </w:r>
      <w:r w:rsidR="002D44B1">
        <w:rPr>
          <w:rFonts w:ascii="Times New Roman" w:hAnsi="Times New Roman"/>
          <w:sz w:val="28"/>
          <w:szCs w:val="28"/>
          <w:lang w:val="vi-VN"/>
        </w:rPr>
        <w:t xml:space="preserve"> </w:t>
      </w:r>
      <w:r w:rsidR="003D512A">
        <w:rPr>
          <w:rFonts w:ascii="Times New Roman" w:hAnsi="Times New Roman"/>
          <w:sz w:val="28"/>
          <w:szCs w:val="28"/>
          <w:lang w:val="en-GB"/>
        </w:rPr>
        <w:t xml:space="preserve">(chủ yếu chỉ hướng dẫn việc thành lập, hoạt động một số loại hình công ty trực thuộc của TCTD). </w:t>
      </w:r>
      <w:r>
        <w:rPr>
          <w:rFonts w:ascii="Times New Roman" w:hAnsi="Times New Roman"/>
          <w:sz w:val="28"/>
          <w:szCs w:val="28"/>
        </w:rPr>
        <w:t>Do vậy, đ</w:t>
      </w:r>
      <w:r w:rsidR="005A0254">
        <w:rPr>
          <w:rFonts w:ascii="Times New Roman" w:hAnsi="Times New Roman"/>
          <w:sz w:val="28"/>
          <w:szCs w:val="28"/>
        </w:rPr>
        <w:t xml:space="preserve">ể hướng dẫn các quy định của Luật </w:t>
      </w:r>
      <w:r w:rsidR="006C03BD">
        <w:rPr>
          <w:rFonts w:ascii="Times New Roman" w:hAnsi="Times New Roman"/>
          <w:sz w:val="28"/>
          <w:szCs w:val="28"/>
          <w:lang w:val="vi-VN"/>
        </w:rPr>
        <w:t>các TCTD</w:t>
      </w:r>
      <w:r w:rsidR="005A0254">
        <w:rPr>
          <w:rFonts w:ascii="Times New Roman" w:hAnsi="Times New Roman"/>
          <w:sz w:val="28"/>
          <w:szCs w:val="28"/>
        </w:rPr>
        <w:t xml:space="preserve">, đồng thời </w:t>
      </w:r>
      <w:r w:rsidR="002D44B1">
        <w:rPr>
          <w:rFonts w:ascii="Times New Roman" w:hAnsi="Times New Roman"/>
          <w:sz w:val="28"/>
          <w:szCs w:val="28"/>
          <w:lang w:val="vi-VN"/>
        </w:rPr>
        <w:t xml:space="preserve">từng bước </w:t>
      </w:r>
      <w:r w:rsidR="00C425B1">
        <w:rPr>
          <w:rFonts w:ascii="Times New Roman" w:hAnsi="Times New Roman"/>
          <w:sz w:val="28"/>
          <w:szCs w:val="28"/>
        </w:rPr>
        <w:t xml:space="preserve">khắc phục các nhược điểm của hệ thống quy định cũ, </w:t>
      </w:r>
      <w:r w:rsidR="005A0254">
        <w:rPr>
          <w:rFonts w:ascii="Times New Roman" w:hAnsi="Times New Roman"/>
          <w:sz w:val="28"/>
          <w:szCs w:val="28"/>
        </w:rPr>
        <w:t>tạo một khung pháp lý thống nhất</w:t>
      </w:r>
      <w:r w:rsidR="00C425B1">
        <w:rPr>
          <w:rFonts w:ascii="Times New Roman" w:hAnsi="Times New Roman"/>
          <w:sz w:val="28"/>
          <w:szCs w:val="28"/>
        </w:rPr>
        <w:t xml:space="preserve"> hướng dẫn về việc góp vốn, mua cổ phần của các </w:t>
      </w:r>
      <w:r w:rsidR="006C03BD">
        <w:rPr>
          <w:rFonts w:ascii="Times New Roman" w:hAnsi="Times New Roman"/>
          <w:sz w:val="28"/>
          <w:szCs w:val="28"/>
          <w:lang w:val="vi-VN"/>
        </w:rPr>
        <w:t>TCTD</w:t>
      </w:r>
      <w:r w:rsidR="00C425B1">
        <w:rPr>
          <w:rFonts w:ascii="Times New Roman" w:hAnsi="Times New Roman"/>
          <w:sz w:val="28"/>
          <w:szCs w:val="28"/>
        </w:rPr>
        <w:t>, dự thảo Thông tư</w:t>
      </w:r>
      <w:r w:rsidR="00C425B1" w:rsidRPr="00C425B1">
        <w:rPr>
          <w:rFonts w:ascii="Times New Roman" w:hAnsi="Times New Roman"/>
          <w:i/>
          <w:sz w:val="28"/>
          <w:szCs w:val="28"/>
        </w:rPr>
        <w:t xml:space="preserve"> hướng dẫn </w:t>
      </w:r>
      <w:r w:rsidR="00043321">
        <w:rPr>
          <w:rFonts w:ascii="Times New Roman" w:hAnsi="Times New Roman"/>
          <w:i/>
          <w:sz w:val="28"/>
          <w:szCs w:val="28"/>
        </w:rPr>
        <w:t>điều kiện, hồ</w:t>
      </w:r>
      <w:r w:rsidR="002D44B1">
        <w:rPr>
          <w:rFonts w:ascii="Times New Roman" w:hAnsi="Times New Roman"/>
          <w:i/>
          <w:sz w:val="28"/>
          <w:szCs w:val="28"/>
        </w:rPr>
        <w:t xml:space="preserve"> sơ</w:t>
      </w:r>
      <w:r w:rsidR="00F8204A">
        <w:rPr>
          <w:rFonts w:ascii="Times New Roman" w:hAnsi="Times New Roman"/>
          <w:i/>
          <w:sz w:val="28"/>
          <w:szCs w:val="28"/>
        </w:rPr>
        <w:t>, trình tự</w:t>
      </w:r>
      <w:r w:rsidR="002D44B1">
        <w:rPr>
          <w:rFonts w:ascii="Times New Roman" w:hAnsi="Times New Roman"/>
          <w:i/>
          <w:sz w:val="28"/>
          <w:szCs w:val="28"/>
          <w:lang w:val="vi-VN"/>
        </w:rPr>
        <w:t xml:space="preserve"> </w:t>
      </w:r>
      <w:r w:rsidR="00043321">
        <w:rPr>
          <w:rFonts w:ascii="Times New Roman" w:hAnsi="Times New Roman"/>
          <w:i/>
          <w:sz w:val="28"/>
          <w:szCs w:val="28"/>
        </w:rPr>
        <w:t>và thủ tục</w:t>
      </w:r>
      <w:r w:rsidR="00F8204A">
        <w:rPr>
          <w:rFonts w:ascii="Times New Roman" w:hAnsi="Times New Roman"/>
          <w:i/>
          <w:sz w:val="28"/>
          <w:szCs w:val="28"/>
        </w:rPr>
        <w:t xml:space="preserve"> chấp thuận việc </w:t>
      </w:r>
      <w:r w:rsidR="00C425B1">
        <w:rPr>
          <w:rFonts w:ascii="Times New Roman" w:hAnsi="Times New Roman"/>
          <w:i/>
          <w:sz w:val="28"/>
          <w:szCs w:val="28"/>
        </w:rPr>
        <w:t xml:space="preserve">góp vốn, mua cổ phần của </w:t>
      </w:r>
      <w:r w:rsidR="006C03BD">
        <w:rPr>
          <w:rFonts w:ascii="Times New Roman" w:hAnsi="Times New Roman"/>
          <w:i/>
          <w:sz w:val="28"/>
          <w:szCs w:val="28"/>
          <w:lang w:val="vi-VN"/>
        </w:rPr>
        <w:t>TCTD</w:t>
      </w:r>
      <w:r w:rsidR="00C425B1">
        <w:rPr>
          <w:rFonts w:ascii="Times New Roman" w:hAnsi="Times New Roman"/>
          <w:i/>
          <w:sz w:val="28"/>
          <w:szCs w:val="28"/>
        </w:rPr>
        <w:t xml:space="preserve"> </w:t>
      </w:r>
      <w:r w:rsidR="00C425B1">
        <w:rPr>
          <w:rFonts w:ascii="Times New Roman" w:hAnsi="Times New Roman"/>
          <w:sz w:val="28"/>
          <w:szCs w:val="28"/>
        </w:rPr>
        <w:t>đã được xây dựng.</w:t>
      </w:r>
    </w:p>
    <w:p w:rsidR="00396A22" w:rsidRDefault="00EB4DA0" w:rsidP="00627BEF">
      <w:pPr>
        <w:pStyle w:val="ListParagraph"/>
        <w:numPr>
          <w:ilvl w:val="0"/>
          <w:numId w:val="1"/>
        </w:numPr>
        <w:tabs>
          <w:tab w:val="left" w:pos="567"/>
        </w:tabs>
        <w:ind w:left="567" w:firstLine="0"/>
        <w:contextualSpacing w:val="0"/>
        <w:rPr>
          <w:rFonts w:ascii="Times New Roman" w:hAnsi="Times New Roman"/>
          <w:b/>
          <w:sz w:val="28"/>
          <w:szCs w:val="28"/>
        </w:rPr>
      </w:pPr>
      <w:r>
        <w:rPr>
          <w:rFonts w:ascii="Times New Roman" w:hAnsi="Times New Roman"/>
          <w:b/>
          <w:sz w:val="28"/>
          <w:szCs w:val="28"/>
        </w:rPr>
        <w:t xml:space="preserve"> </w:t>
      </w:r>
      <w:r w:rsidR="00396A22">
        <w:rPr>
          <w:rFonts w:ascii="Times New Roman" w:hAnsi="Times New Roman"/>
          <w:b/>
          <w:sz w:val="28"/>
          <w:szCs w:val="28"/>
        </w:rPr>
        <w:t>CĂN CỨ PHÁP LÝ</w:t>
      </w:r>
    </w:p>
    <w:p w:rsidR="00396A22" w:rsidRPr="00396A22" w:rsidRDefault="00396A22" w:rsidP="00396A22">
      <w:pPr>
        <w:pStyle w:val="ListParagraph"/>
        <w:ind w:left="0" w:firstLine="720"/>
        <w:contextualSpacing w:val="0"/>
        <w:jc w:val="both"/>
        <w:rPr>
          <w:rFonts w:ascii="Times New Roman" w:hAnsi="Times New Roman"/>
          <w:sz w:val="28"/>
          <w:szCs w:val="28"/>
        </w:rPr>
      </w:pPr>
      <w:r w:rsidRPr="00396A22">
        <w:rPr>
          <w:rFonts w:ascii="Times New Roman" w:hAnsi="Times New Roman"/>
          <w:sz w:val="28"/>
          <w:szCs w:val="28"/>
        </w:rPr>
        <w:t xml:space="preserve">Điều </w:t>
      </w:r>
      <w:r>
        <w:rPr>
          <w:rFonts w:ascii="Times New Roman" w:hAnsi="Times New Roman"/>
          <w:sz w:val="28"/>
          <w:szCs w:val="28"/>
        </w:rPr>
        <w:t xml:space="preserve">103 và Điều 110 Luật </w:t>
      </w:r>
      <w:r w:rsidR="006C03BD">
        <w:rPr>
          <w:rFonts w:ascii="Times New Roman" w:hAnsi="Times New Roman"/>
          <w:sz w:val="28"/>
          <w:szCs w:val="28"/>
          <w:lang w:val="vi-VN"/>
        </w:rPr>
        <w:t>c</w:t>
      </w:r>
      <w:r>
        <w:rPr>
          <w:rFonts w:ascii="Times New Roman" w:hAnsi="Times New Roman"/>
          <w:sz w:val="28"/>
          <w:szCs w:val="28"/>
        </w:rPr>
        <w:t xml:space="preserve">ác </w:t>
      </w:r>
      <w:r w:rsidR="006C03BD">
        <w:rPr>
          <w:rFonts w:ascii="Times New Roman" w:hAnsi="Times New Roman"/>
          <w:sz w:val="28"/>
          <w:szCs w:val="28"/>
          <w:lang w:val="vi-VN"/>
        </w:rPr>
        <w:t>TCTD</w:t>
      </w:r>
      <w:r>
        <w:rPr>
          <w:rFonts w:ascii="Times New Roman" w:hAnsi="Times New Roman"/>
          <w:sz w:val="28"/>
          <w:szCs w:val="28"/>
        </w:rPr>
        <w:t xml:space="preserve"> quy định về các hình thức và lĩnh vực góp vốn, mua cổ phần của </w:t>
      </w:r>
      <w:r w:rsidR="006C03BD">
        <w:rPr>
          <w:rFonts w:ascii="Times New Roman" w:hAnsi="Times New Roman"/>
          <w:sz w:val="28"/>
          <w:szCs w:val="28"/>
          <w:lang w:val="vi-VN"/>
        </w:rPr>
        <w:t>TCTD</w:t>
      </w:r>
      <w:r w:rsidR="001F38BC">
        <w:rPr>
          <w:rFonts w:ascii="Times New Roman" w:hAnsi="Times New Roman"/>
          <w:sz w:val="28"/>
          <w:szCs w:val="28"/>
        </w:rPr>
        <w:t xml:space="preserve"> (</w:t>
      </w:r>
      <w:r w:rsidR="003D512A">
        <w:rPr>
          <w:rFonts w:ascii="Times New Roman" w:hAnsi="Times New Roman"/>
          <w:sz w:val="28"/>
          <w:szCs w:val="28"/>
        </w:rPr>
        <w:t xml:space="preserve">chỉ bao gồm </w:t>
      </w:r>
      <w:r w:rsidR="001F38BC">
        <w:rPr>
          <w:rFonts w:ascii="Times New Roman" w:hAnsi="Times New Roman"/>
          <w:sz w:val="28"/>
          <w:szCs w:val="28"/>
        </w:rPr>
        <w:t xml:space="preserve">ngân hàng thương mại </w:t>
      </w:r>
      <w:r w:rsidR="006C03BD">
        <w:rPr>
          <w:rFonts w:ascii="Times New Roman" w:hAnsi="Times New Roman"/>
          <w:sz w:val="28"/>
          <w:szCs w:val="28"/>
          <w:lang w:val="vi-VN"/>
        </w:rPr>
        <w:t xml:space="preserve">(NHTM) </w:t>
      </w:r>
      <w:r w:rsidR="001F38BC">
        <w:rPr>
          <w:rFonts w:ascii="Times New Roman" w:hAnsi="Times New Roman"/>
          <w:sz w:val="28"/>
          <w:szCs w:val="28"/>
        </w:rPr>
        <w:t xml:space="preserve">và công ty tài chính), trong đó giao Ngân hàng Nhà nước quy định cụ thể về điều </w:t>
      </w:r>
      <w:proofErr w:type="gramStart"/>
      <w:r w:rsidR="001F38BC">
        <w:rPr>
          <w:rFonts w:ascii="Times New Roman" w:hAnsi="Times New Roman"/>
          <w:sz w:val="28"/>
          <w:szCs w:val="28"/>
        </w:rPr>
        <w:t>kiện</w:t>
      </w:r>
      <w:proofErr w:type="gramEnd"/>
      <w:r w:rsidR="001F38BC">
        <w:rPr>
          <w:rFonts w:ascii="Times New Roman" w:hAnsi="Times New Roman"/>
          <w:sz w:val="28"/>
          <w:szCs w:val="28"/>
        </w:rPr>
        <w:t>, hồ sơ, trình tự, và thủ tục</w:t>
      </w:r>
      <w:r w:rsidR="003D512A">
        <w:rPr>
          <w:rFonts w:ascii="Times New Roman" w:hAnsi="Times New Roman"/>
          <w:sz w:val="28"/>
          <w:szCs w:val="28"/>
        </w:rPr>
        <w:t xml:space="preserve"> chấp thuận</w:t>
      </w:r>
      <w:r w:rsidR="001F38BC">
        <w:rPr>
          <w:rFonts w:ascii="Times New Roman" w:hAnsi="Times New Roman"/>
          <w:sz w:val="28"/>
          <w:szCs w:val="28"/>
        </w:rPr>
        <w:t xml:space="preserve"> đối với các hoạt động góp vốn, mua cổ phần phải được sự chấp thuận trước bằng văn bản của Ngân hàng Nhà nước.</w:t>
      </w:r>
    </w:p>
    <w:p w:rsidR="00163B4D" w:rsidRDefault="00EB4DA0" w:rsidP="00627BEF">
      <w:pPr>
        <w:pStyle w:val="ListParagraph"/>
        <w:numPr>
          <w:ilvl w:val="0"/>
          <w:numId w:val="1"/>
        </w:numPr>
        <w:tabs>
          <w:tab w:val="left" w:pos="709"/>
        </w:tabs>
        <w:ind w:left="709" w:firstLine="0"/>
        <w:contextualSpacing w:val="0"/>
        <w:rPr>
          <w:rFonts w:ascii="Times New Roman" w:hAnsi="Times New Roman"/>
          <w:b/>
          <w:sz w:val="28"/>
          <w:szCs w:val="28"/>
        </w:rPr>
      </w:pPr>
      <w:r>
        <w:rPr>
          <w:rFonts w:ascii="Times New Roman" w:hAnsi="Times New Roman"/>
          <w:b/>
          <w:sz w:val="28"/>
          <w:szCs w:val="28"/>
        </w:rPr>
        <w:t xml:space="preserve"> </w:t>
      </w:r>
      <w:r w:rsidR="00163B4D">
        <w:rPr>
          <w:rFonts w:ascii="Times New Roman" w:hAnsi="Times New Roman"/>
          <w:b/>
          <w:sz w:val="28"/>
          <w:szCs w:val="28"/>
        </w:rPr>
        <w:t>ĐỊNH HƯỚNG XÂY DỰNG DỰ THẢO</w:t>
      </w:r>
    </w:p>
    <w:p w:rsidR="00163B4D" w:rsidRDefault="002F3C20" w:rsidP="00163B4D">
      <w:pPr>
        <w:pStyle w:val="ListParagraph"/>
        <w:ind w:left="0" w:firstLine="720"/>
        <w:contextualSpacing w:val="0"/>
        <w:jc w:val="both"/>
        <w:rPr>
          <w:rFonts w:ascii="Times New Roman" w:hAnsi="Times New Roman"/>
          <w:sz w:val="28"/>
          <w:szCs w:val="28"/>
        </w:rPr>
      </w:pPr>
      <w:r>
        <w:rPr>
          <w:rFonts w:ascii="Times New Roman" w:hAnsi="Times New Roman"/>
          <w:sz w:val="28"/>
          <w:szCs w:val="28"/>
        </w:rPr>
        <w:t xml:space="preserve">Theo quy định tại Luật </w:t>
      </w:r>
      <w:r w:rsidR="006C03BD">
        <w:rPr>
          <w:rFonts w:ascii="Times New Roman" w:hAnsi="Times New Roman"/>
          <w:sz w:val="28"/>
          <w:szCs w:val="28"/>
          <w:lang w:val="vi-VN"/>
        </w:rPr>
        <w:t>c</w:t>
      </w:r>
      <w:r>
        <w:rPr>
          <w:rFonts w:ascii="Times New Roman" w:hAnsi="Times New Roman"/>
          <w:sz w:val="28"/>
          <w:szCs w:val="28"/>
        </w:rPr>
        <w:t xml:space="preserve">ác </w:t>
      </w:r>
      <w:r w:rsidR="006C03BD">
        <w:rPr>
          <w:rFonts w:ascii="Times New Roman" w:hAnsi="Times New Roman"/>
          <w:sz w:val="28"/>
          <w:szCs w:val="28"/>
          <w:lang w:val="vi-VN"/>
        </w:rPr>
        <w:t>TCTD</w:t>
      </w:r>
      <w:r>
        <w:rPr>
          <w:rFonts w:ascii="Times New Roman" w:hAnsi="Times New Roman"/>
          <w:sz w:val="28"/>
          <w:szCs w:val="28"/>
        </w:rPr>
        <w:t xml:space="preserve">, </w:t>
      </w:r>
      <w:r w:rsidR="00163B4D">
        <w:rPr>
          <w:rFonts w:ascii="Times New Roman" w:hAnsi="Times New Roman"/>
          <w:sz w:val="28"/>
          <w:szCs w:val="28"/>
        </w:rPr>
        <w:t xml:space="preserve">Ngân hàng Nhà nước có nhiệm vụ </w:t>
      </w:r>
      <w:r>
        <w:rPr>
          <w:rFonts w:ascii="Times New Roman" w:hAnsi="Times New Roman"/>
          <w:sz w:val="28"/>
          <w:szCs w:val="28"/>
        </w:rPr>
        <w:t>hướng dẫn</w:t>
      </w:r>
      <w:r w:rsidR="00163B4D">
        <w:rPr>
          <w:rFonts w:ascii="Times New Roman" w:hAnsi="Times New Roman"/>
          <w:sz w:val="28"/>
          <w:szCs w:val="28"/>
        </w:rPr>
        <w:t xml:space="preserve"> về điều kiện, hồ</w:t>
      </w:r>
      <w:r w:rsidR="002D44B1">
        <w:rPr>
          <w:rFonts w:ascii="Times New Roman" w:hAnsi="Times New Roman"/>
          <w:sz w:val="28"/>
          <w:szCs w:val="28"/>
        </w:rPr>
        <w:t xml:space="preserve"> sơ</w:t>
      </w:r>
      <w:r w:rsidR="00F8204A">
        <w:rPr>
          <w:rFonts w:ascii="Times New Roman" w:hAnsi="Times New Roman"/>
          <w:sz w:val="28"/>
          <w:szCs w:val="28"/>
        </w:rPr>
        <w:t xml:space="preserve">, trình tự </w:t>
      </w:r>
      <w:r w:rsidR="00163B4D">
        <w:rPr>
          <w:rFonts w:ascii="Times New Roman" w:hAnsi="Times New Roman"/>
          <w:sz w:val="28"/>
          <w:szCs w:val="28"/>
        </w:rPr>
        <w:t>và thủ tục chấp thuận đối với những nội dung góp vốn, mua cổ phần của</w:t>
      </w:r>
      <w:r w:rsidR="00730DBE">
        <w:rPr>
          <w:rFonts w:ascii="Times New Roman" w:hAnsi="Times New Roman"/>
          <w:sz w:val="28"/>
          <w:szCs w:val="28"/>
          <w:lang w:val="vi-VN"/>
        </w:rPr>
        <w:t xml:space="preserve"> TCTD </w:t>
      </w:r>
      <w:r w:rsidR="00163B4D">
        <w:rPr>
          <w:rFonts w:ascii="Times New Roman" w:hAnsi="Times New Roman"/>
          <w:sz w:val="28"/>
          <w:szCs w:val="28"/>
        </w:rPr>
        <w:t xml:space="preserve">cần sự chấp thuận trước bằng văn bản của Ngân hàng Nhà nước. </w:t>
      </w:r>
    </w:p>
    <w:p w:rsidR="00163B4D" w:rsidRDefault="00581ED9" w:rsidP="00163B4D">
      <w:pPr>
        <w:pStyle w:val="ListParagraph"/>
        <w:ind w:left="0" w:firstLine="720"/>
        <w:contextualSpacing w:val="0"/>
        <w:jc w:val="both"/>
        <w:rPr>
          <w:rFonts w:ascii="Times New Roman" w:hAnsi="Times New Roman"/>
          <w:sz w:val="28"/>
          <w:szCs w:val="28"/>
        </w:rPr>
      </w:pPr>
      <w:r>
        <w:rPr>
          <w:rFonts w:ascii="Times New Roman" w:hAnsi="Times New Roman"/>
          <w:sz w:val="28"/>
          <w:szCs w:val="28"/>
        </w:rPr>
        <w:lastRenderedPageBreak/>
        <w:t>K</w:t>
      </w:r>
      <w:r w:rsidR="002F3C20">
        <w:rPr>
          <w:rFonts w:ascii="Times New Roman" w:hAnsi="Times New Roman"/>
          <w:sz w:val="28"/>
          <w:szCs w:val="28"/>
        </w:rPr>
        <w:t xml:space="preserve">ế thừa dự thảo Thông tư </w:t>
      </w:r>
      <w:r w:rsidR="002F3C20" w:rsidRPr="002F3C20">
        <w:rPr>
          <w:rFonts w:ascii="Times New Roman" w:hAnsi="Times New Roman"/>
          <w:i/>
          <w:sz w:val="28"/>
          <w:szCs w:val="28"/>
        </w:rPr>
        <w:t xml:space="preserve">quy định về việc </w:t>
      </w:r>
      <w:r w:rsidR="00730DBE">
        <w:rPr>
          <w:rFonts w:ascii="Times New Roman" w:hAnsi="Times New Roman"/>
          <w:i/>
          <w:sz w:val="28"/>
          <w:szCs w:val="28"/>
          <w:lang w:val="vi-VN"/>
        </w:rPr>
        <w:t>NHTM</w:t>
      </w:r>
      <w:r w:rsidR="002F3C20" w:rsidRPr="002F3C20">
        <w:rPr>
          <w:rFonts w:ascii="Times New Roman" w:hAnsi="Times New Roman"/>
          <w:i/>
          <w:sz w:val="28"/>
          <w:szCs w:val="28"/>
        </w:rPr>
        <w:t xml:space="preserve"> thành lập công ty trực thuộc</w:t>
      </w:r>
      <w:r w:rsidR="002F3C20">
        <w:rPr>
          <w:rFonts w:ascii="Times New Roman" w:hAnsi="Times New Roman"/>
          <w:sz w:val="28"/>
          <w:szCs w:val="28"/>
        </w:rPr>
        <w:t xml:space="preserve"> trước đây, </w:t>
      </w:r>
      <w:r>
        <w:rPr>
          <w:rFonts w:ascii="Times New Roman" w:hAnsi="Times New Roman"/>
          <w:sz w:val="28"/>
          <w:szCs w:val="28"/>
        </w:rPr>
        <w:t xml:space="preserve">trên cơ sở hướng dẫn Luật </w:t>
      </w:r>
      <w:r w:rsidR="00F8204A">
        <w:rPr>
          <w:rFonts w:ascii="Times New Roman" w:hAnsi="Times New Roman"/>
          <w:sz w:val="28"/>
          <w:szCs w:val="28"/>
          <w:lang w:val="en-GB"/>
        </w:rPr>
        <w:t>C</w:t>
      </w:r>
      <w:r>
        <w:rPr>
          <w:rFonts w:ascii="Times New Roman" w:hAnsi="Times New Roman"/>
          <w:sz w:val="28"/>
          <w:szCs w:val="28"/>
        </w:rPr>
        <w:t>ác T</w:t>
      </w:r>
      <w:r w:rsidR="00730DBE">
        <w:rPr>
          <w:rFonts w:ascii="Times New Roman" w:hAnsi="Times New Roman"/>
          <w:sz w:val="28"/>
          <w:szCs w:val="28"/>
          <w:lang w:val="vi-VN"/>
        </w:rPr>
        <w:t>CTD</w:t>
      </w:r>
      <w:r>
        <w:rPr>
          <w:rFonts w:ascii="Times New Roman" w:hAnsi="Times New Roman"/>
          <w:sz w:val="28"/>
          <w:szCs w:val="28"/>
        </w:rPr>
        <w:t xml:space="preserve">, </w:t>
      </w:r>
      <w:r w:rsidR="002F3C20">
        <w:rPr>
          <w:rFonts w:ascii="Times New Roman" w:hAnsi="Times New Roman"/>
          <w:sz w:val="28"/>
          <w:szCs w:val="28"/>
        </w:rPr>
        <w:t>đ</w:t>
      </w:r>
      <w:r w:rsidR="00163B4D">
        <w:rPr>
          <w:rFonts w:ascii="Times New Roman" w:hAnsi="Times New Roman"/>
          <w:sz w:val="28"/>
          <w:szCs w:val="28"/>
        </w:rPr>
        <w:t xml:space="preserve">ịnh hướng của dự thảo </w:t>
      </w:r>
      <w:r w:rsidR="002F3C20">
        <w:rPr>
          <w:rFonts w:ascii="Times New Roman" w:hAnsi="Times New Roman"/>
          <w:sz w:val="28"/>
          <w:szCs w:val="28"/>
        </w:rPr>
        <w:t xml:space="preserve">hiện nay </w:t>
      </w:r>
      <w:r w:rsidR="00163B4D">
        <w:rPr>
          <w:rFonts w:ascii="Times New Roman" w:hAnsi="Times New Roman"/>
          <w:sz w:val="28"/>
          <w:szCs w:val="28"/>
        </w:rPr>
        <w:t xml:space="preserve">là </w:t>
      </w:r>
      <w:r w:rsidR="00163B4D" w:rsidRPr="005C3DB9">
        <w:rPr>
          <w:rFonts w:ascii="Times New Roman" w:hAnsi="Times New Roman"/>
          <w:b/>
          <w:sz w:val="28"/>
          <w:szCs w:val="28"/>
        </w:rPr>
        <w:t xml:space="preserve">quy định về </w:t>
      </w:r>
      <w:r w:rsidR="00163B4D" w:rsidRPr="002D44B1">
        <w:rPr>
          <w:rFonts w:ascii="Times New Roman" w:hAnsi="Times New Roman"/>
          <w:b/>
          <w:sz w:val="28"/>
          <w:szCs w:val="28"/>
          <w:u w:val="single"/>
        </w:rPr>
        <w:t>điều kiện</w:t>
      </w:r>
      <w:r w:rsidR="00163B4D" w:rsidRPr="005C3DB9">
        <w:rPr>
          <w:rFonts w:ascii="Times New Roman" w:hAnsi="Times New Roman"/>
          <w:b/>
          <w:sz w:val="28"/>
          <w:szCs w:val="28"/>
        </w:rPr>
        <w:t xml:space="preserve">, </w:t>
      </w:r>
      <w:r w:rsidR="00163B4D" w:rsidRPr="002D44B1">
        <w:rPr>
          <w:rFonts w:ascii="Times New Roman" w:hAnsi="Times New Roman"/>
          <w:b/>
          <w:sz w:val="28"/>
          <w:szCs w:val="28"/>
          <w:u w:val="single"/>
        </w:rPr>
        <w:t>hồ sơ</w:t>
      </w:r>
      <w:r w:rsidR="002D44B1">
        <w:rPr>
          <w:rFonts w:ascii="Times New Roman" w:hAnsi="Times New Roman"/>
          <w:b/>
          <w:sz w:val="28"/>
          <w:szCs w:val="28"/>
          <w:lang w:val="vi-VN"/>
        </w:rPr>
        <w:t xml:space="preserve"> </w:t>
      </w:r>
      <w:r w:rsidR="00163B4D" w:rsidRPr="005C3DB9">
        <w:rPr>
          <w:rFonts w:ascii="Times New Roman" w:hAnsi="Times New Roman"/>
          <w:b/>
          <w:sz w:val="28"/>
          <w:szCs w:val="28"/>
        </w:rPr>
        <w:t xml:space="preserve">và </w:t>
      </w:r>
      <w:r w:rsidR="00923D68" w:rsidRPr="00923D68">
        <w:rPr>
          <w:rFonts w:ascii="Times New Roman" w:hAnsi="Times New Roman"/>
          <w:b/>
          <w:sz w:val="28"/>
          <w:szCs w:val="28"/>
          <w:u w:val="single"/>
        </w:rPr>
        <w:t>trình tự,</w:t>
      </w:r>
      <w:r w:rsidR="00923D68">
        <w:rPr>
          <w:rFonts w:ascii="Times New Roman" w:hAnsi="Times New Roman"/>
          <w:b/>
          <w:sz w:val="28"/>
          <w:szCs w:val="28"/>
        </w:rPr>
        <w:t xml:space="preserve"> </w:t>
      </w:r>
      <w:r w:rsidR="00163B4D" w:rsidRPr="002D44B1">
        <w:rPr>
          <w:rFonts w:ascii="Times New Roman" w:hAnsi="Times New Roman"/>
          <w:b/>
          <w:sz w:val="28"/>
          <w:szCs w:val="28"/>
          <w:u w:val="single"/>
        </w:rPr>
        <w:t>thủ tục</w:t>
      </w:r>
      <w:r w:rsidR="00EF1F9D" w:rsidRPr="005C3DB9">
        <w:rPr>
          <w:rFonts w:ascii="Times New Roman" w:hAnsi="Times New Roman"/>
          <w:b/>
          <w:sz w:val="28"/>
          <w:szCs w:val="28"/>
        </w:rPr>
        <w:t xml:space="preserve"> </w:t>
      </w:r>
      <w:r w:rsidR="00954BBC">
        <w:rPr>
          <w:rFonts w:ascii="Times New Roman" w:hAnsi="Times New Roman"/>
          <w:b/>
          <w:sz w:val="28"/>
          <w:szCs w:val="28"/>
        </w:rPr>
        <w:t xml:space="preserve">chấp thuận việc </w:t>
      </w:r>
      <w:r w:rsidR="00EF1F9D" w:rsidRPr="005C3DB9">
        <w:rPr>
          <w:rFonts w:ascii="Times New Roman" w:hAnsi="Times New Roman"/>
          <w:b/>
          <w:sz w:val="28"/>
          <w:szCs w:val="28"/>
        </w:rPr>
        <w:t>góp vốn, mua cổ phần</w:t>
      </w:r>
      <w:r w:rsidR="002F3C20" w:rsidRPr="005C3DB9">
        <w:rPr>
          <w:rFonts w:ascii="Times New Roman" w:hAnsi="Times New Roman"/>
          <w:b/>
          <w:sz w:val="28"/>
          <w:szCs w:val="28"/>
        </w:rPr>
        <w:t xml:space="preserve"> </w:t>
      </w:r>
      <w:r w:rsidR="00730DBE">
        <w:rPr>
          <w:rFonts w:ascii="Times New Roman" w:hAnsi="Times New Roman"/>
          <w:b/>
          <w:sz w:val="28"/>
          <w:szCs w:val="28"/>
          <w:lang w:val="vi-VN"/>
        </w:rPr>
        <w:t xml:space="preserve">của TCTD </w:t>
      </w:r>
      <w:r w:rsidR="002F3C20" w:rsidRPr="005C3DB9">
        <w:rPr>
          <w:rFonts w:ascii="Times New Roman" w:hAnsi="Times New Roman"/>
          <w:b/>
          <w:sz w:val="28"/>
          <w:szCs w:val="28"/>
        </w:rPr>
        <w:t>nói chung</w:t>
      </w:r>
      <w:r w:rsidR="00163B4D" w:rsidRPr="005C3DB9">
        <w:rPr>
          <w:rFonts w:ascii="Times New Roman" w:hAnsi="Times New Roman"/>
          <w:b/>
          <w:sz w:val="28"/>
          <w:szCs w:val="28"/>
        </w:rPr>
        <w:t xml:space="preserve">, </w:t>
      </w:r>
      <w:r w:rsidR="00163B4D" w:rsidRPr="002D44B1">
        <w:rPr>
          <w:rFonts w:ascii="Times New Roman" w:hAnsi="Times New Roman"/>
          <w:b/>
          <w:i/>
          <w:sz w:val="28"/>
          <w:szCs w:val="28"/>
        </w:rPr>
        <w:t xml:space="preserve">không quy định về </w:t>
      </w:r>
      <w:r w:rsidR="006002F2">
        <w:rPr>
          <w:rFonts w:ascii="Times New Roman" w:hAnsi="Times New Roman"/>
          <w:b/>
          <w:i/>
          <w:sz w:val="28"/>
          <w:szCs w:val="28"/>
          <w:lang w:val="vi-VN"/>
        </w:rPr>
        <w:t xml:space="preserve">việc </w:t>
      </w:r>
      <w:r w:rsidR="006002F2" w:rsidRPr="00F8204A">
        <w:rPr>
          <w:rFonts w:ascii="Times New Roman" w:hAnsi="Times New Roman"/>
          <w:b/>
          <w:i/>
          <w:sz w:val="28"/>
          <w:szCs w:val="28"/>
          <w:u w:val="single"/>
          <w:lang w:val="vi-VN"/>
        </w:rPr>
        <w:t>thành lập và</w:t>
      </w:r>
      <w:r w:rsidR="006002F2">
        <w:rPr>
          <w:rFonts w:ascii="Times New Roman" w:hAnsi="Times New Roman"/>
          <w:b/>
          <w:i/>
          <w:sz w:val="28"/>
          <w:szCs w:val="28"/>
          <w:lang w:val="vi-VN"/>
        </w:rPr>
        <w:t xml:space="preserve"> </w:t>
      </w:r>
      <w:r w:rsidR="00163B4D" w:rsidRPr="002C611E">
        <w:rPr>
          <w:rFonts w:ascii="Times New Roman" w:hAnsi="Times New Roman"/>
          <w:b/>
          <w:i/>
          <w:sz w:val="28"/>
          <w:szCs w:val="28"/>
          <w:u w:val="single"/>
        </w:rPr>
        <w:t>hoạt động</w:t>
      </w:r>
      <w:r w:rsidR="00163B4D" w:rsidRPr="002D44B1">
        <w:rPr>
          <w:rFonts w:ascii="Times New Roman" w:hAnsi="Times New Roman"/>
          <w:b/>
          <w:i/>
          <w:sz w:val="28"/>
          <w:szCs w:val="28"/>
        </w:rPr>
        <w:t xml:space="preserve"> của các công ty con hay công ty liên kết</w:t>
      </w:r>
      <w:r w:rsidR="00163B4D">
        <w:rPr>
          <w:rFonts w:ascii="Times New Roman" w:hAnsi="Times New Roman"/>
          <w:sz w:val="28"/>
          <w:szCs w:val="28"/>
        </w:rPr>
        <w:t xml:space="preserve">. Những nội dung </w:t>
      </w:r>
      <w:r w:rsidR="00954BBC">
        <w:rPr>
          <w:rFonts w:ascii="Times New Roman" w:hAnsi="Times New Roman"/>
          <w:sz w:val="28"/>
          <w:szCs w:val="28"/>
        </w:rPr>
        <w:t xml:space="preserve">về thành lập và hoạt động thực hiện theo </w:t>
      </w:r>
      <w:r w:rsidR="00163B4D">
        <w:rPr>
          <w:rFonts w:ascii="Times New Roman" w:hAnsi="Times New Roman"/>
          <w:sz w:val="28"/>
          <w:szCs w:val="28"/>
        </w:rPr>
        <w:t xml:space="preserve">quy định </w:t>
      </w:r>
      <w:r w:rsidR="00954BBC">
        <w:rPr>
          <w:rFonts w:ascii="Times New Roman" w:hAnsi="Times New Roman"/>
          <w:sz w:val="28"/>
          <w:szCs w:val="28"/>
        </w:rPr>
        <w:t xml:space="preserve">có liên quan (như Luật Doanh nghiệp) và quy định </w:t>
      </w:r>
      <w:r w:rsidR="00163B4D">
        <w:rPr>
          <w:rFonts w:ascii="Times New Roman" w:hAnsi="Times New Roman"/>
          <w:sz w:val="28"/>
          <w:szCs w:val="28"/>
        </w:rPr>
        <w:t>tại các văn bản chuyên ngành riêng đối với từng loại hình hoạt động tương ứng của công ty con hay công ty liên kết (ví dụ như Luật Chứ</w:t>
      </w:r>
      <w:r w:rsidR="002C611E">
        <w:rPr>
          <w:rFonts w:ascii="Times New Roman" w:hAnsi="Times New Roman"/>
          <w:sz w:val="28"/>
          <w:szCs w:val="28"/>
        </w:rPr>
        <w:t xml:space="preserve">ng </w:t>
      </w:r>
      <w:r w:rsidR="002C611E">
        <w:rPr>
          <w:rFonts w:ascii="Times New Roman" w:hAnsi="Times New Roman"/>
          <w:sz w:val="28"/>
          <w:szCs w:val="28"/>
          <w:lang w:val="vi-VN"/>
        </w:rPr>
        <w:t>k</w:t>
      </w:r>
      <w:r w:rsidR="00163B4D">
        <w:rPr>
          <w:rFonts w:ascii="Times New Roman" w:hAnsi="Times New Roman"/>
          <w:sz w:val="28"/>
          <w:szCs w:val="28"/>
        </w:rPr>
        <w:t xml:space="preserve">hoán, Bảo hiểm…). </w:t>
      </w:r>
      <w:r w:rsidR="00EF1F9D">
        <w:rPr>
          <w:rFonts w:ascii="Times New Roman" w:hAnsi="Times New Roman"/>
          <w:sz w:val="28"/>
          <w:szCs w:val="28"/>
        </w:rPr>
        <w:t>Theo đó, dựa trên các quy định của Luậ</w:t>
      </w:r>
      <w:r w:rsidR="00043321">
        <w:rPr>
          <w:rFonts w:ascii="Times New Roman" w:hAnsi="Times New Roman"/>
          <w:sz w:val="28"/>
          <w:szCs w:val="28"/>
        </w:rPr>
        <w:t>t và tham khảo kinh nghiệm quốc tế,</w:t>
      </w:r>
      <w:r w:rsidR="00EF1F9D">
        <w:rPr>
          <w:rFonts w:ascii="Times New Roman" w:hAnsi="Times New Roman"/>
          <w:sz w:val="28"/>
          <w:szCs w:val="28"/>
        </w:rPr>
        <w:t xml:space="preserve"> dự thảo phân nhóm hoạt động góp vốn, mua cổ phần của các </w:t>
      </w:r>
      <w:r w:rsidR="00730DBE">
        <w:rPr>
          <w:rFonts w:ascii="Times New Roman" w:hAnsi="Times New Roman"/>
          <w:sz w:val="28"/>
          <w:szCs w:val="28"/>
          <w:lang w:val="vi-VN"/>
        </w:rPr>
        <w:t>TCTD t</w:t>
      </w:r>
      <w:r w:rsidR="00EF1F9D">
        <w:rPr>
          <w:rFonts w:ascii="Times New Roman" w:hAnsi="Times New Roman"/>
          <w:sz w:val="28"/>
          <w:szCs w:val="28"/>
        </w:rPr>
        <w:t>hành 03 nhóm</w:t>
      </w:r>
      <w:r w:rsidR="00954BBC">
        <w:rPr>
          <w:rFonts w:ascii="Times New Roman" w:hAnsi="Times New Roman"/>
          <w:sz w:val="28"/>
          <w:szCs w:val="28"/>
        </w:rPr>
        <w:t xml:space="preserve"> với các hình thức khác nhau gồm:</w:t>
      </w:r>
      <w:r w:rsidR="00EF1F9D">
        <w:rPr>
          <w:rFonts w:ascii="Times New Roman" w:hAnsi="Times New Roman"/>
          <w:sz w:val="28"/>
          <w:szCs w:val="28"/>
        </w:rPr>
        <w:t xml:space="preserve"> </w:t>
      </w:r>
      <w:r w:rsidR="00954BBC">
        <w:rPr>
          <w:rFonts w:ascii="Times New Roman" w:hAnsi="Times New Roman"/>
          <w:sz w:val="28"/>
          <w:szCs w:val="28"/>
        </w:rPr>
        <w:t xml:space="preserve">(i) </w:t>
      </w:r>
      <w:r w:rsidR="00EF1F9D">
        <w:rPr>
          <w:rFonts w:ascii="Times New Roman" w:hAnsi="Times New Roman"/>
          <w:sz w:val="28"/>
          <w:szCs w:val="28"/>
        </w:rPr>
        <w:t>công ty con</w:t>
      </w:r>
      <w:r w:rsidR="00954BBC">
        <w:rPr>
          <w:rFonts w:ascii="Times New Roman" w:hAnsi="Times New Roman"/>
          <w:sz w:val="28"/>
          <w:szCs w:val="28"/>
        </w:rPr>
        <w:t>; (ii)</w:t>
      </w:r>
      <w:r w:rsidR="00EF1F9D">
        <w:rPr>
          <w:rFonts w:ascii="Times New Roman" w:hAnsi="Times New Roman"/>
          <w:sz w:val="28"/>
          <w:szCs w:val="28"/>
        </w:rPr>
        <w:t xml:space="preserve"> công ty liên kế</w:t>
      </w:r>
      <w:r w:rsidR="002D44B1">
        <w:rPr>
          <w:rFonts w:ascii="Times New Roman" w:hAnsi="Times New Roman"/>
          <w:sz w:val="28"/>
          <w:szCs w:val="28"/>
        </w:rPr>
        <w:t>t</w:t>
      </w:r>
      <w:r w:rsidR="00EF1F9D">
        <w:rPr>
          <w:rFonts w:ascii="Times New Roman" w:hAnsi="Times New Roman"/>
          <w:sz w:val="28"/>
          <w:szCs w:val="28"/>
        </w:rPr>
        <w:t xml:space="preserve"> và </w:t>
      </w:r>
      <w:r w:rsidR="00954BBC">
        <w:rPr>
          <w:rFonts w:ascii="Times New Roman" w:hAnsi="Times New Roman"/>
          <w:sz w:val="28"/>
          <w:szCs w:val="28"/>
        </w:rPr>
        <w:t xml:space="preserve">(iii) </w:t>
      </w:r>
      <w:r w:rsidR="00EF1F9D">
        <w:rPr>
          <w:rFonts w:ascii="Times New Roman" w:hAnsi="Times New Roman"/>
          <w:sz w:val="28"/>
          <w:szCs w:val="28"/>
        </w:rPr>
        <w:t xml:space="preserve">đầu tư </w:t>
      </w:r>
      <w:r w:rsidR="002D44B1">
        <w:rPr>
          <w:rFonts w:ascii="Times New Roman" w:hAnsi="Times New Roman"/>
          <w:sz w:val="28"/>
          <w:szCs w:val="28"/>
          <w:lang w:val="vi-VN"/>
        </w:rPr>
        <w:t>thương mại</w:t>
      </w:r>
      <w:r w:rsidR="00EA0E28">
        <w:rPr>
          <w:rFonts w:ascii="Times New Roman" w:hAnsi="Times New Roman"/>
          <w:sz w:val="28"/>
          <w:szCs w:val="28"/>
          <w:lang w:val="vi-VN"/>
        </w:rPr>
        <w:t>;</w:t>
      </w:r>
      <w:r w:rsidR="00EF1F9D">
        <w:rPr>
          <w:rFonts w:ascii="Times New Roman" w:hAnsi="Times New Roman"/>
          <w:sz w:val="28"/>
          <w:szCs w:val="28"/>
        </w:rPr>
        <w:t xml:space="preserve"> </w:t>
      </w:r>
      <w:r w:rsidR="004F4AE2">
        <w:rPr>
          <w:rFonts w:ascii="Times New Roman" w:hAnsi="Times New Roman"/>
          <w:sz w:val="28"/>
          <w:szCs w:val="28"/>
        </w:rPr>
        <w:t>đồng thời</w:t>
      </w:r>
      <w:r w:rsidR="00EF1F9D">
        <w:rPr>
          <w:rFonts w:ascii="Times New Roman" w:hAnsi="Times New Roman"/>
          <w:sz w:val="28"/>
          <w:szCs w:val="28"/>
        </w:rPr>
        <w:t xml:space="preserve"> xây dựng các quy định có liên quan tương ứng cho từng nhóm.</w:t>
      </w:r>
    </w:p>
    <w:p w:rsidR="00EF1F9D" w:rsidRDefault="00163B4D" w:rsidP="00163B4D">
      <w:pPr>
        <w:pStyle w:val="ListParagraph"/>
        <w:ind w:left="0" w:firstLine="720"/>
        <w:contextualSpacing w:val="0"/>
        <w:jc w:val="both"/>
        <w:rPr>
          <w:rFonts w:ascii="Times New Roman" w:hAnsi="Times New Roman"/>
          <w:sz w:val="28"/>
          <w:szCs w:val="28"/>
        </w:rPr>
      </w:pPr>
      <w:r>
        <w:rPr>
          <w:rFonts w:ascii="Times New Roman" w:hAnsi="Times New Roman"/>
          <w:sz w:val="28"/>
          <w:szCs w:val="28"/>
        </w:rPr>
        <w:t xml:space="preserve">Căn cứ vào mức độ rủi ro, ảnh hưởng đối với </w:t>
      </w:r>
      <w:r w:rsidR="00730DBE">
        <w:rPr>
          <w:rFonts w:ascii="Times New Roman" w:hAnsi="Times New Roman"/>
          <w:sz w:val="28"/>
          <w:szCs w:val="28"/>
          <w:lang w:val="vi-VN"/>
        </w:rPr>
        <w:t>TCTD</w:t>
      </w:r>
      <w:r w:rsidR="0029137B">
        <w:rPr>
          <w:rFonts w:ascii="Times New Roman" w:hAnsi="Times New Roman"/>
          <w:sz w:val="28"/>
          <w:szCs w:val="28"/>
        </w:rPr>
        <w:t xml:space="preserve">, dự thảo </w:t>
      </w:r>
      <w:r>
        <w:rPr>
          <w:rFonts w:ascii="Times New Roman" w:hAnsi="Times New Roman"/>
          <w:sz w:val="28"/>
          <w:szCs w:val="28"/>
        </w:rPr>
        <w:t>đưa ra các điều kiện ở mức độ khác nhau đối với từng hình thức</w:t>
      </w:r>
      <w:r w:rsidR="0029137B">
        <w:rPr>
          <w:rFonts w:ascii="Times New Roman" w:hAnsi="Times New Roman"/>
          <w:sz w:val="28"/>
          <w:szCs w:val="28"/>
        </w:rPr>
        <w:t xml:space="preserve"> </w:t>
      </w:r>
      <w:proofErr w:type="gramStart"/>
      <w:r w:rsidR="0029137B">
        <w:rPr>
          <w:rFonts w:ascii="Times New Roman" w:hAnsi="Times New Roman"/>
          <w:sz w:val="28"/>
          <w:szCs w:val="28"/>
        </w:rPr>
        <w:t>theo</w:t>
      </w:r>
      <w:proofErr w:type="gramEnd"/>
      <w:r w:rsidR="0029137B">
        <w:rPr>
          <w:rFonts w:ascii="Times New Roman" w:hAnsi="Times New Roman"/>
          <w:sz w:val="28"/>
          <w:szCs w:val="28"/>
        </w:rPr>
        <w:t xml:space="preserve"> trình tự từ lỏng đến chặt, từ rủi ro thấp nhất đến rủi ro cao nhất như sau:</w:t>
      </w:r>
    </w:p>
    <w:p w:rsidR="00DB6F8B" w:rsidRDefault="001B12BE" w:rsidP="00DB6F8B">
      <w:pPr>
        <w:ind w:firstLine="720"/>
        <w:jc w:val="both"/>
        <w:rPr>
          <w:rFonts w:ascii="Times New Roman" w:hAnsi="Times New Roman"/>
          <w:sz w:val="28"/>
          <w:szCs w:val="28"/>
          <w:lang w:val="vi-VN"/>
        </w:rPr>
      </w:pPr>
      <w:r>
        <w:rPr>
          <w:rFonts w:ascii="Times New Roman" w:hAnsi="Times New Roman"/>
          <w:b/>
          <w:sz w:val="28"/>
          <w:szCs w:val="28"/>
        </w:rPr>
        <w:t>1.</w:t>
      </w:r>
      <w:r w:rsidR="00EF1F9D">
        <w:rPr>
          <w:rFonts w:ascii="Times New Roman" w:hAnsi="Times New Roman"/>
          <w:b/>
          <w:sz w:val="28"/>
          <w:szCs w:val="28"/>
        </w:rPr>
        <w:t xml:space="preserve"> </w:t>
      </w:r>
      <w:r w:rsidR="002F3C20" w:rsidRPr="00730DBE">
        <w:rPr>
          <w:rFonts w:ascii="Times New Roman" w:hAnsi="Times New Roman"/>
          <w:b/>
          <w:sz w:val="28"/>
          <w:szCs w:val="28"/>
        </w:rPr>
        <w:t>Hình thức công ty con</w:t>
      </w:r>
      <w:r w:rsidR="002F3C20">
        <w:rPr>
          <w:rFonts w:ascii="Times New Roman" w:hAnsi="Times New Roman"/>
          <w:sz w:val="28"/>
          <w:szCs w:val="28"/>
        </w:rPr>
        <w:t xml:space="preserve">: </w:t>
      </w:r>
    </w:p>
    <w:p w:rsidR="00B253FE" w:rsidRDefault="00F0589B" w:rsidP="00DB6F8B">
      <w:pPr>
        <w:ind w:firstLine="720"/>
        <w:jc w:val="both"/>
        <w:rPr>
          <w:rFonts w:ascii="Times New Roman" w:hAnsi="Times New Roman"/>
          <w:sz w:val="28"/>
          <w:szCs w:val="28"/>
          <w:lang w:val="vi-VN"/>
        </w:rPr>
      </w:pPr>
      <w:r>
        <w:rPr>
          <w:rFonts w:ascii="Times New Roman" w:hAnsi="Times New Roman"/>
          <w:sz w:val="28"/>
          <w:szCs w:val="28"/>
          <w:lang w:val="vi-VN"/>
        </w:rPr>
        <w:t>Theo quy định về các giới hạn, tỷ lệ bảo đảm an toàn trong hoạt động của TCTD, chi nhánh ngân hàng nước ngoài</w:t>
      </w:r>
      <w:r w:rsidR="00013F1E">
        <w:rPr>
          <w:rFonts w:ascii="Times New Roman" w:hAnsi="Times New Roman"/>
          <w:sz w:val="28"/>
          <w:szCs w:val="28"/>
          <w:lang w:val="vi-VN"/>
        </w:rPr>
        <w:t xml:space="preserve"> ban hành theo Quyết định số 36/2014/TT-NHNN ngày </w:t>
      </w:r>
      <w:r w:rsidR="00B253FE">
        <w:rPr>
          <w:rFonts w:ascii="Times New Roman" w:hAnsi="Times New Roman"/>
          <w:sz w:val="28"/>
          <w:szCs w:val="28"/>
          <w:lang w:val="vi-VN"/>
        </w:rPr>
        <w:t>20/11/2014 (Thông tư 36)- có hiệu lực thi hành kể từ ngày 01/2/2015, việc góp vốn, mua cổ phần, giới hạn cấp tín dụng  của TCTD vào các công ty con, công ty liên kết được quy định như sau:</w:t>
      </w:r>
    </w:p>
    <w:p w:rsidR="00B253FE" w:rsidRPr="00881CC3" w:rsidRDefault="00DB6F8B" w:rsidP="00DB6F8B">
      <w:pPr>
        <w:ind w:firstLine="720"/>
        <w:jc w:val="both"/>
        <w:rPr>
          <w:rFonts w:ascii="Times New Roman" w:hAnsi="Times New Roman"/>
          <w:sz w:val="28"/>
          <w:szCs w:val="28"/>
          <w:lang w:val="vi-VN"/>
        </w:rPr>
      </w:pPr>
      <w:r>
        <w:rPr>
          <w:rFonts w:ascii="Times New Roman" w:hAnsi="Times New Roman"/>
          <w:sz w:val="28"/>
          <w:szCs w:val="28"/>
          <w:lang w:val="vi-VN"/>
        </w:rPr>
        <w:t>-</w:t>
      </w:r>
      <w:r w:rsidR="00B253FE">
        <w:rPr>
          <w:rFonts w:ascii="Times New Roman" w:hAnsi="Times New Roman"/>
          <w:sz w:val="28"/>
          <w:szCs w:val="28"/>
          <w:lang w:val="vi-VN"/>
        </w:rPr>
        <w:t xml:space="preserve"> </w:t>
      </w:r>
      <w:r w:rsidR="00F6520D">
        <w:rPr>
          <w:rFonts w:ascii="Times New Roman" w:hAnsi="Times New Roman"/>
          <w:sz w:val="28"/>
          <w:szCs w:val="28"/>
          <w:lang w:val="vi-VN"/>
        </w:rPr>
        <w:t xml:space="preserve">Các khoản </w:t>
      </w:r>
      <w:r w:rsidR="00B253FE">
        <w:rPr>
          <w:rFonts w:ascii="Times New Roman" w:hAnsi="Times New Roman"/>
          <w:sz w:val="28"/>
          <w:szCs w:val="28"/>
          <w:lang w:val="vi-VN"/>
        </w:rPr>
        <w:t xml:space="preserve">góp vốn vào </w:t>
      </w:r>
      <w:r w:rsidR="00F6520D">
        <w:rPr>
          <w:rFonts w:ascii="Times New Roman" w:hAnsi="Times New Roman"/>
          <w:sz w:val="28"/>
          <w:szCs w:val="28"/>
          <w:lang w:val="vi-VN"/>
        </w:rPr>
        <w:t xml:space="preserve">công ty con phải </w:t>
      </w:r>
      <w:r w:rsidR="00163DA8" w:rsidRPr="00881CC3">
        <w:rPr>
          <w:rFonts w:ascii="Times New Roman" w:hAnsi="Times New Roman"/>
          <w:sz w:val="28"/>
          <w:szCs w:val="28"/>
          <w:lang w:val="vi-VN"/>
        </w:rPr>
        <w:t xml:space="preserve">bị loại </w:t>
      </w:r>
      <w:r w:rsidR="00F6520D">
        <w:rPr>
          <w:rFonts w:ascii="Times New Roman" w:hAnsi="Times New Roman"/>
          <w:sz w:val="28"/>
          <w:szCs w:val="28"/>
          <w:lang w:val="vi-VN"/>
        </w:rPr>
        <w:t xml:space="preserve">trừ </w:t>
      </w:r>
      <w:r w:rsidR="00163DA8" w:rsidRPr="00881CC3">
        <w:rPr>
          <w:rFonts w:ascii="Times New Roman" w:hAnsi="Times New Roman"/>
          <w:sz w:val="28"/>
          <w:szCs w:val="28"/>
          <w:lang w:val="vi-VN"/>
        </w:rPr>
        <w:t xml:space="preserve">hoàn toàn </w:t>
      </w:r>
      <w:r w:rsidR="00F6520D">
        <w:rPr>
          <w:rFonts w:ascii="Times New Roman" w:hAnsi="Times New Roman"/>
          <w:sz w:val="28"/>
          <w:szCs w:val="28"/>
          <w:lang w:val="vi-VN"/>
        </w:rPr>
        <w:t>khỏi vốn cấp 1 riêng lẻ, phần vốn góp, mua cổ phầ</w:t>
      </w:r>
      <w:r w:rsidR="00D5647C">
        <w:rPr>
          <w:rFonts w:ascii="Times New Roman" w:hAnsi="Times New Roman"/>
          <w:sz w:val="28"/>
          <w:szCs w:val="28"/>
          <w:lang w:val="vi-VN"/>
        </w:rPr>
        <w:t>n c</w:t>
      </w:r>
      <w:r w:rsidR="00F6520D">
        <w:rPr>
          <w:rFonts w:ascii="Times New Roman" w:hAnsi="Times New Roman"/>
          <w:sz w:val="28"/>
          <w:szCs w:val="28"/>
          <w:lang w:val="vi-VN"/>
        </w:rPr>
        <w:t xml:space="preserve">ủa một doanh nghiệp </w:t>
      </w:r>
      <w:r w:rsidR="00163DA8" w:rsidRPr="00881CC3">
        <w:rPr>
          <w:rFonts w:ascii="Times New Roman" w:hAnsi="Times New Roman"/>
          <w:sz w:val="28"/>
          <w:szCs w:val="28"/>
          <w:lang w:val="vi-VN"/>
        </w:rPr>
        <w:t>khi tính tỷ lệ CAR;</w:t>
      </w:r>
    </w:p>
    <w:p w:rsidR="00DB6F8B" w:rsidRDefault="00D5647C" w:rsidP="00DB6F8B">
      <w:pPr>
        <w:ind w:firstLine="720"/>
        <w:jc w:val="both"/>
        <w:rPr>
          <w:sz w:val="28"/>
          <w:szCs w:val="28"/>
          <w:lang w:val="vi-VN"/>
        </w:rPr>
      </w:pPr>
      <w:r>
        <w:rPr>
          <w:rFonts w:ascii="Times New Roman" w:hAnsi="Times New Roman"/>
          <w:sz w:val="28"/>
          <w:szCs w:val="28"/>
          <w:lang w:val="vi-VN"/>
        </w:rPr>
        <w:t xml:space="preserve">- </w:t>
      </w:r>
      <w:r w:rsidR="002F3C20" w:rsidRPr="00DB6F8B">
        <w:rPr>
          <w:rFonts w:ascii="Times New Roman" w:hAnsi="Times New Roman"/>
          <w:sz w:val="28"/>
          <w:szCs w:val="28"/>
          <w:lang w:val="vi-VN"/>
        </w:rPr>
        <w:t xml:space="preserve">Ở hình thức này, </w:t>
      </w:r>
      <w:r w:rsidR="00730DBE">
        <w:rPr>
          <w:rFonts w:ascii="Times New Roman" w:hAnsi="Times New Roman"/>
          <w:sz w:val="28"/>
          <w:szCs w:val="28"/>
          <w:lang w:val="vi-VN"/>
        </w:rPr>
        <w:t>TCTD</w:t>
      </w:r>
      <w:r w:rsidR="002F3C20" w:rsidRPr="00DB6F8B">
        <w:rPr>
          <w:rFonts w:ascii="Times New Roman" w:hAnsi="Times New Roman"/>
          <w:sz w:val="28"/>
          <w:szCs w:val="28"/>
          <w:lang w:val="vi-VN"/>
        </w:rPr>
        <w:t xml:space="preserve"> góp vốn với tỷ lệ lớn</w:t>
      </w:r>
      <w:r w:rsidR="0051763D" w:rsidRPr="00DB6F8B">
        <w:rPr>
          <w:rFonts w:ascii="Times New Roman" w:hAnsi="Times New Roman"/>
          <w:sz w:val="28"/>
          <w:szCs w:val="28"/>
          <w:lang w:val="vi-VN"/>
        </w:rPr>
        <w:t xml:space="preserve">, sở hữu trên 50% vốn điều lệ hoặc vốn cổ phần có quyền biểu quyết của </w:t>
      </w:r>
      <w:r w:rsidR="003A7AD8" w:rsidRPr="00DB6F8B">
        <w:rPr>
          <w:rFonts w:ascii="Times New Roman" w:hAnsi="Times New Roman"/>
          <w:sz w:val="28"/>
          <w:szCs w:val="28"/>
          <w:lang w:val="vi-VN"/>
        </w:rPr>
        <w:t>doanh nghiệp</w:t>
      </w:r>
      <w:r w:rsidR="0051763D" w:rsidRPr="00DB6F8B">
        <w:rPr>
          <w:rFonts w:ascii="Times New Roman" w:hAnsi="Times New Roman"/>
          <w:sz w:val="28"/>
          <w:szCs w:val="28"/>
          <w:lang w:val="vi-VN"/>
        </w:rPr>
        <w:t xml:space="preserve"> nhận vốn góp</w:t>
      </w:r>
      <w:r w:rsidR="002F3C20" w:rsidRPr="00DB6F8B">
        <w:rPr>
          <w:rFonts w:ascii="Times New Roman" w:hAnsi="Times New Roman"/>
          <w:sz w:val="28"/>
          <w:szCs w:val="28"/>
          <w:lang w:val="vi-VN"/>
        </w:rPr>
        <w:t xml:space="preserve">, thậm chí là 100%, </w:t>
      </w:r>
      <w:r w:rsidR="002F3C20" w:rsidRPr="00730DBE">
        <w:rPr>
          <w:rFonts w:ascii="Times New Roman" w:hAnsi="Times New Roman"/>
          <w:b/>
          <w:i/>
          <w:sz w:val="28"/>
          <w:szCs w:val="28"/>
          <w:lang w:val="vi-VN"/>
        </w:rPr>
        <w:t>có quyền chi phối toàn bộ đối với công ty con</w:t>
      </w:r>
      <w:r w:rsidR="002F3C20" w:rsidRPr="00730DBE">
        <w:rPr>
          <w:rFonts w:ascii="Times New Roman" w:hAnsi="Times New Roman"/>
          <w:i/>
          <w:sz w:val="28"/>
          <w:szCs w:val="28"/>
          <w:lang w:val="vi-VN"/>
        </w:rPr>
        <w:t xml:space="preserve">. </w:t>
      </w:r>
      <w:r w:rsidR="002F3C20" w:rsidRPr="00730DBE">
        <w:rPr>
          <w:rFonts w:ascii="Times New Roman" w:hAnsi="Times New Roman"/>
          <w:b/>
          <w:i/>
          <w:sz w:val="28"/>
          <w:szCs w:val="28"/>
          <w:lang w:val="vi-VN"/>
        </w:rPr>
        <w:t>T</w:t>
      </w:r>
      <w:r w:rsidR="00730DBE">
        <w:rPr>
          <w:rFonts w:ascii="Times New Roman" w:hAnsi="Times New Roman"/>
          <w:b/>
          <w:i/>
          <w:sz w:val="28"/>
          <w:szCs w:val="28"/>
          <w:lang w:val="vi-VN"/>
        </w:rPr>
        <w:t>CTD</w:t>
      </w:r>
      <w:r w:rsidR="002F3C20" w:rsidRPr="00730DBE">
        <w:rPr>
          <w:rFonts w:ascii="Times New Roman" w:hAnsi="Times New Roman"/>
          <w:b/>
          <w:i/>
          <w:sz w:val="28"/>
          <w:szCs w:val="28"/>
          <w:lang w:val="vi-VN"/>
        </w:rPr>
        <w:t xml:space="preserve"> có vai trò rất quan trọng đối với sự tồn tại và phát triển của công ty con</w:t>
      </w:r>
      <w:r w:rsidR="001C2C83" w:rsidRPr="004A6C97">
        <w:rPr>
          <w:rFonts w:ascii="Times New Roman" w:hAnsi="Times New Roman"/>
          <w:b/>
          <w:i/>
          <w:sz w:val="28"/>
          <w:szCs w:val="28"/>
          <w:lang w:val="vi-VN"/>
        </w:rPr>
        <w:t xml:space="preserve">. </w:t>
      </w:r>
      <w:r w:rsidR="001C2C83" w:rsidRPr="004A6C97">
        <w:rPr>
          <w:rFonts w:ascii="Times New Roman" w:hAnsi="Times New Roman"/>
          <w:sz w:val="28"/>
          <w:szCs w:val="28"/>
          <w:lang w:val="vi-VN"/>
        </w:rPr>
        <w:t>D</w:t>
      </w:r>
      <w:r w:rsidR="002F3C20" w:rsidRPr="00DB6F8B">
        <w:rPr>
          <w:rFonts w:ascii="Times New Roman" w:hAnsi="Times New Roman"/>
          <w:sz w:val="28"/>
          <w:szCs w:val="28"/>
          <w:lang w:val="vi-VN"/>
        </w:rPr>
        <w:t xml:space="preserve">o đó, để công ty con được thành lập và hoạt động hiệu quả, </w:t>
      </w:r>
      <w:r w:rsidR="00730DBE">
        <w:rPr>
          <w:rFonts w:ascii="Times New Roman" w:hAnsi="Times New Roman"/>
          <w:sz w:val="28"/>
          <w:szCs w:val="28"/>
          <w:lang w:val="vi-VN"/>
        </w:rPr>
        <w:t>TCTD</w:t>
      </w:r>
      <w:r w:rsidR="002F3C20" w:rsidRPr="00DB6F8B">
        <w:rPr>
          <w:rFonts w:ascii="Times New Roman" w:hAnsi="Times New Roman"/>
          <w:sz w:val="28"/>
          <w:szCs w:val="28"/>
          <w:lang w:val="vi-VN"/>
        </w:rPr>
        <w:t xml:space="preserve"> </w:t>
      </w:r>
      <w:r w:rsidR="001C2C83" w:rsidRPr="004A6C97">
        <w:rPr>
          <w:rFonts w:ascii="Times New Roman" w:hAnsi="Times New Roman"/>
          <w:sz w:val="28"/>
          <w:szCs w:val="28"/>
          <w:lang w:val="vi-VN"/>
        </w:rPr>
        <w:t xml:space="preserve">phải có khả năng </w:t>
      </w:r>
      <w:r w:rsidR="002F3C20" w:rsidRPr="00DB6F8B">
        <w:rPr>
          <w:rFonts w:ascii="Times New Roman" w:hAnsi="Times New Roman"/>
          <w:sz w:val="28"/>
          <w:szCs w:val="28"/>
          <w:lang w:val="vi-VN"/>
        </w:rPr>
        <w:t xml:space="preserve">quản trị, điều hành; </w:t>
      </w:r>
      <w:r w:rsidR="001C2C83" w:rsidRPr="004A6C97">
        <w:rPr>
          <w:rFonts w:ascii="Times New Roman" w:hAnsi="Times New Roman"/>
          <w:sz w:val="28"/>
          <w:szCs w:val="28"/>
          <w:lang w:val="vi-VN"/>
        </w:rPr>
        <w:t xml:space="preserve">năng lực tài chính, </w:t>
      </w:r>
      <w:r w:rsidR="002F3C20" w:rsidRPr="00DB6F8B">
        <w:rPr>
          <w:rFonts w:ascii="Times New Roman" w:hAnsi="Times New Roman"/>
          <w:sz w:val="28"/>
          <w:szCs w:val="28"/>
          <w:lang w:val="vi-VN"/>
        </w:rPr>
        <w:t>chất lượng hoạt động</w:t>
      </w:r>
      <w:r w:rsidR="001C2C83" w:rsidRPr="004A6C97">
        <w:rPr>
          <w:rFonts w:ascii="Times New Roman" w:hAnsi="Times New Roman"/>
          <w:sz w:val="28"/>
          <w:szCs w:val="28"/>
          <w:lang w:val="vi-VN"/>
        </w:rPr>
        <w:t xml:space="preserve"> tốt</w:t>
      </w:r>
      <w:r w:rsidR="002F3C20" w:rsidRPr="00DB6F8B">
        <w:rPr>
          <w:rFonts w:ascii="Times New Roman" w:hAnsi="Times New Roman"/>
          <w:sz w:val="28"/>
          <w:szCs w:val="28"/>
          <w:lang w:val="vi-VN"/>
        </w:rPr>
        <w:t>, và tuân thủ pháp luật.</w:t>
      </w:r>
      <w:r w:rsidR="00DB6F8B" w:rsidRPr="00DB6F8B">
        <w:rPr>
          <w:sz w:val="28"/>
          <w:szCs w:val="28"/>
          <w:lang w:val="vi-VN"/>
        </w:rPr>
        <w:t xml:space="preserve"> </w:t>
      </w:r>
    </w:p>
    <w:p w:rsidR="00DB6F8B" w:rsidRPr="00DB6F8B" w:rsidRDefault="00DB6F8B" w:rsidP="00DB6F8B">
      <w:pPr>
        <w:ind w:firstLine="720"/>
        <w:jc w:val="both"/>
        <w:rPr>
          <w:rFonts w:ascii="Times New Roman" w:hAnsi="Times New Roman"/>
          <w:sz w:val="28"/>
          <w:szCs w:val="28"/>
          <w:lang w:val="vi-VN"/>
        </w:rPr>
      </w:pPr>
      <w:r w:rsidRPr="00DB6F8B">
        <w:rPr>
          <w:rFonts w:ascii="Times New Roman" w:hAnsi="Times New Roman"/>
          <w:sz w:val="28"/>
          <w:szCs w:val="28"/>
          <w:lang w:val="vi-VN"/>
        </w:rPr>
        <w:t xml:space="preserve">- Việc góp vốn mua cổ phần để thành lập, mua lại </w:t>
      </w:r>
      <w:r>
        <w:rPr>
          <w:rFonts w:ascii="Times New Roman" w:hAnsi="Times New Roman"/>
          <w:sz w:val="28"/>
          <w:szCs w:val="28"/>
          <w:lang w:val="vi-VN"/>
        </w:rPr>
        <w:t xml:space="preserve">công </w:t>
      </w:r>
      <w:r w:rsidRPr="00DB6F8B">
        <w:rPr>
          <w:rFonts w:ascii="Times New Roman" w:hAnsi="Times New Roman"/>
          <w:sz w:val="28"/>
          <w:szCs w:val="28"/>
          <w:lang w:val="vi-VN"/>
        </w:rPr>
        <w:t xml:space="preserve">ty con hoạt động trong lĩnh vực ngân hàng, tài chính được quy định tại Điều 103 Luật </w:t>
      </w:r>
      <w:r w:rsidR="005222CA">
        <w:rPr>
          <w:rFonts w:ascii="Times New Roman" w:hAnsi="Times New Roman"/>
          <w:sz w:val="28"/>
          <w:szCs w:val="28"/>
          <w:lang w:val="vi-VN"/>
        </w:rPr>
        <w:t>c</w:t>
      </w:r>
      <w:r w:rsidR="006C03BD">
        <w:rPr>
          <w:rFonts w:ascii="Times New Roman" w:hAnsi="Times New Roman"/>
          <w:sz w:val="28"/>
          <w:szCs w:val="28"/>
          <w:lang w:val="vi-VN"/>
        </w:rPr>
        <w:t xml:space="preserve">ác </w:t>
      </w:r>
      <w:r w:rsidR="005222CA">
        <w:rPr>
          <w:rFonts w:ascii="Times New Roman" w:hAnsi="Times New Roman"/>
          <w:sz w:val="28"/>
          <w:szCs w:val="28"/>
          <w:lang w:val="vi-VN"/>
        </w:rPr>
        <w:t>TCTD</w:t>
      </w:r>
      <w:r w:rsidRPr="00DB6F8B">
        <w:rPr>
          <w:rFonts w:ascii="Times New Roman" w:hAnsi="Times New Roman"/>
          <w:sz w:val="28"/>
          <w:szCs w:val="28"/>
          <w:lang w:val="vi-VN"/>
        </w:rPr>
        <w:t xml:space="preserve"> theo hướng khuyến khích, hoặc bắt buộc các </w:t>
      </w:r>
      <w:r w:rsidR="005222CA">
        <w:rPr>
          <w:rFonts w:ascii="Times New Roman" w:hAnsi="Times New Roman"/>
          <w:sz w:val="28"/>
          <w:szCs w:val="28"/>
          <w:lang w:val="vi-VN"/>
        </w:rPr>
        <w:t>TCTD</w:t>
      </w:r>
      <w:r w:rsidR="002C611E">
        <w:rPr>
          <w:rFonts w:ascii="Times New Roman" w:hAnsi="Times New Roman"/>
          <w:sz w:val="28"/>
          <w:szCs w:val="28"/>
          <w:lang w:val="vi-VN"/>
        </w:rPr>
        <w:t xml:space="preserve">, </w:t>
      </w:r>
      <w:r w:rsidRPr="00DB6F8B">
        <w:rPr>
          <w:rFonts w:ascii="Times New Roman" w:hAnsi="Times New Roman"/>
          <w:sz w:val="28"/>
          <w:szCs w:val="28"/>
          <w:lang w:val="vi-VN"/>
        </w:rPr>
        <w:t xml:space="preserve">đặc biệt là các </w:t>
      </w:r>
      <w:r w:rsidR="005222CA">
        <w:rPr>
          <w:rFonts w:ascii="Times New Roman" w:hAnsi="Times New Roman"/>
          <w:sz w:val="28"/>
          <w:szCs w:val="28"/>
          <w:lang w:val="vi-VN"/>
        </w:rPr>
        <w:t>NHTM</w:t>
      </w:r>
      <w:r w:rsidRPr="00DB6F8B">
        <w:rPr>
          <w:rFonts w:ascii="Times New Roman" w:hAnsi="Times New Roman"/>
          <w:sz w:val="28"/>
          <w:szCs w:val="28"/>
          <w:lang w:val="vi-VN"/>
        </w:rPr>
        <w:t xml:space="preserve"> </w:t>
      </w:r>
      <w:r w:rsidRPr="002C611E">
        <w:rPr>
          <w:rFonts w:ascii="Times New Roman" w:hAnsi="Times New Roman"/>
          <w:i/>
          <w:sz w:val="28"/>
          <w:szCs w:val="28"/>
          <w:lang w:val="vi-VN"/>
        </w:rPr>
        <w:t xml:space="preserve">được </w:t>
      </w:r>
      <w:r w:rsidRPr="00DB6F8B">
        <w:rPr>
          <w:rFonts w:ascii="Times New Roman" w:hAnsi="Times New Roman"/>
          <w:sz w:val="28"/>
          <w:szCs w:val="28"/>
          <w:lang w:val="vi-VN"/>
        </w:rPr>
        <w:t xml:space="preserve">hoặc </w:t>
      </w:r>
      <w:r w:rsidRPr="002C611E">
        <w:rPr>
          <w:rFonts w:ascii="Times New Roman" w:hAnsi="Times New Roman"/>
          <w:i/>
          <w:sz w:val="28"/>
          <w:szCs w:val="28"/>
          <w:lang w:val="vi-VN"/>
        </w:rPr>
        <w:t>phải</w:t>
      </w:r>
      <w:r w:rsidRPr="00DB6F8B">
        <w:rPr>
          <w:rFonts w:ascii="Times New Roman" w:hAnsi="Times New Roman"/>
          <w:sz w:val="28"/>
          <w:szCs w:val="28"/>
          <w:lang w:val="vi-VN"/>
        </w:rPr>
        <w:t xml:space="preserve"> thành lập </w:t>
      </w:r>
      <w:r w:rsidR="006C03BD">
        <w:rPr>
          <w:rFonts w:ascii="Times New Roman" w:hAnsi="Times New Roman"/>
          <w:sz w:val="28"/>
          <w:szCs w:val="28"/>
          <w:lang w:val="vi-VN"/>
        </w:rPr>
        <w:t xml:space="preserve">công </w:t>
      </w:r>
      <w:r w:rsidRPr="00DB6F8B">
        <w:rPr>
          <w:rFonts w:ascii="Times New Roman" w:hAnsi="Times New Roman"/>
          <w:sz w:val="28"/>
          <w:szCs w:val="28"/>
          <w:lang w:val="vi-VN"/>
        </w:rPr>
        <w:t>ty con hoạt động trong một số lĩnh vực như:</w:t>
      </w:r>
    </w:p>
    <w:p w:rsidR="00DB6F8B" w:rsidRPr="005222CA" w:rsidRDefault="00DB6F8B" w:rsidP="00DB6F8B">
      <w:pPr>
        <w:ind w:firstLine="720"/>
        <w:jc w:val="both"/>
        <w:rPr>
          <w:rFonts w:ascii="Times New Roman" w:hAnsi="Times New Roman"/>
          <w:sz w:val="28"/>
          <w:szCs w:val="28"/>
          <w:lang w:val="vi-VN"/>
        </w:rPr>
      </w:pPr>
      <w:r w:rsidRPr="005222CA">
        <w:rPr>
          <w:rFonts w:ascii="Times New Roman" w:hAnsi="Times New Roman"/>
          <w:sz w:val="28"/>
          <w:szCs w:val="28"/>
          <w:lang w:val="vi-VN"/>
        </w:rPr>
        <w:t>+ Tín dụng tiêu dùng, cho thu</w:t>
      </w:r>
      <w:r w:rsidR="00960459">
        <w:rPr>
          <w:rFonts w:ascii="Times New Roman" w:hAnsi="Times New Roman"/>
          <w:sz w:val="28"/>
          <w:szCs w:val="28"/>
          <w:lang w:val="vi-VN"/>
        </w:rPr>
        <w:t>ê tài chính, bao thanh toán…</w:t>
      </w:r>
      <w:r w:rsidRPr="005222CA">
        <w:rPr>
          <w:rFonts w:ascii="Times New Roman" w:hAnsi="Times New Roman"/>
          <w:sz w:val="28"/>
          <w:szCs w:val="28"/>
          <w:lang w:val="vi-VN"/>
        </w:rPr>
        <w:t xml:space="preserve"> là những hoạt động cơ bản của một NHTM mà một NHTM về nguyên tắc được làm nhưng do một số đặc thù của các hoạt động n</w:t>
      </w:r>
      <w:r w:rsidR="005222CA">
        <w:rPr>
          <w:rFonts w:ascii="Times New Roman" w:hAnsi="Times New Roman"/>
          <w:sz w:val="28"/>
          <w:szCs w:val="28"/>
          <w:lang w:val="vi-VN"/>
        </w:rPr>
        <w:t>êu trên</w:t>
      </w:r>
      <w:r w:rsidRPr="005222CA">
        <w:rPr>
          <w:rFonts w:ascii="Times New Roman" w:hAnsi="Times New Roman"/>
          <w:sz w:val="28"/>
          <w:szCs w:val="28"/>
          <w:lang w:val="vi-VN"/>
        </w:rPr>
        <w:t xml:space="preserve"> nên Luật </w:t>
      </w:r>
      <w:r w:rsidR="005222CA">
        <w:rPr>
          <w:rFonts w:ascii="Times New Roman" w:hAnsi="Times New Roman"/>
          <w:sz w:val="28"/>
          <w:szCs w:val="28"/>
          <w:lang w:val="vi-VN"/>
        </w:rPr>
        <w:t xml:space="preserve">các </w:t>
      </w:r>
      <w:r w:rsidRPr="005222CA">
        <w:rPr>
          <w:rFonts w:ascii="Times New Roman" w:hAnsi="Times New Roman"/>
          <w:sz w:val="28"/>
          <w:szCs w:val="28"/>
          <w:lang w:val="vi-VN"/>
        </w:rPr>
        <w:t xml:space="preserve">TCTD khuyến khích </w:t>
      </w:r>
      <w:r w:rsidRPr="005222CA">
        <w:rPr>
          <w:rFonts w:ascii="Times New Roman" w:hAnsi="Times New Roman"/>
          <w:sz w:val="28"/>
          <w:szCs w:val="28"/>
          <w:lang w:val="vi-VN"/>
        </w:rPr>
        <w:lastRenderedPageBreak/>
        <w:t xml:space="preserve">NHTM lập </w:t>
      </w:r>
      <w:r w:rsidR="005222CA">
        <w:rPr>
          <w:rFonts w:ascii="Times New Roman" w:hAnsi="Times New Roman"/>
          <w:sz w:val="28"/>
          <w:szCs w:val="28"/>
          <w:lang w:val="vi-VN"/>
        </w:rPr>
        <w:t xml:space="preserve">công </w:t>
      </w:r>
      <w:r w:rsidRPr="005222CA">
        <w:rPr>
          <w:rFonts w:ascii="Times New Roman" w:hAnsi="Times New Roman"/>
          <w:sz w:val="28"/>
          <w:szCs w:val="28"/>
          <w:lang w:val="vi-VN"/>
        </w:rPr>
        <w:t>ty con để thực hiện các hoạt động này nhằm chuyên môn hóa hoạt động, tách biệt rủi ro và quản lý rủi ro với hoạt động của NHTM.</w:t>
      </w:r>
    </w:p>
    <w:p w:rsidR="00DB6F8B" w:rsidRPr="005222CA" w:rsidRDefault="00DB6F8B" w:rsidP="00DB6F8B">
      <w:pPr>
        <w:ind w:firstLine="720"/>
        <w:jc w:val="both"/>
        <w:rPr>
          <w:rFonts w:ascii="Times New Roman" w:hAnsi="Times New Roman"/>
          <w:sz w:val="28"/>
          <w:szCs w:val="28"/>
          <w:lang w:val="vi-VN"/>
        </w:rPr>
      </w:pPr>
      <w:r w:rsidRPr="005222CA">
        <w:rPr>
          <w:rFonts w:ascii="Times New Roman" w:hAnsi="Times New Roman"/>
          <w:sz w:val="28"/>
          <w:szCs w:val="28"/>
          <w:lang w:val="vi-VN"/>
        </w:rPr>
        <w:t>+ Chứng khoán, bảo hiểm là những lĩnh vực mà NHTM</w:t>
      </w:r>
      <w:r w:rsidR="000427A6" w:rsidRPr="004A6C97">
        <w:rPr>
          <w:rFonts w:ascii="Times New Roman" w:hAnsi="Times New Roman"/>
          <w:sz w:val="28"/>
          <w:szCs w:val="28"/>
          <w:lang w:val="vi-VN"/>
        </w:rPr>
        <w:t xml:space="preserve"> nếu muốn thực hiện hoạt động</w:t>
      </w:r>
      <w:r w:rsidRPr="005222CA">
        <w:rPr>
          <w:rFonts w:ascii="Times New Roman" w:hAnsi="Times New Roman"/>
          <w:sz w:val="28"/>
          <w:szCs w:val="28"/>
          <w:lang w:val="vi-VN"/>
        </w:rPr>
        <w:t xml:space="preserve"> buộc phải thành lập </w:t>
      </w:r>
      <w:r w:rsidR="005222CA">
        <w:rPr>
          <w:rFonts w:ascii="Times New Roman" w:hAnsi="Times New Roman"/>
          <w:sz w:val="28"/>
          <w:szCs w:val="28"/>
          <w:lang w:val="vi-VN"/>
        </w:rPr>
        <w:t xml:space="preserve">công </w:t>
      </w:r>
      <w:r w:rsidRPr="005222CA">
        <w:rPr>
          <w:rFonts w:ascii="Times New Roman" w:hAnsi="Times New Roman"/>
          <w:sz w:val="28"/>
          <w:szCs w:val="28"/>
          <w:lang w:val="vi-VN"/>
        </w:rPr>
        <w:t xml:space="preserve">ty con để hoạt động nhằm tách biệt rủi ro với NHTM và hạn chế rủi ro xung đột lợi ích. </w:t>
      </w:r>
    </w:p>
    <w:p w:rsidR="00B6768C" w:rsidRPr="00881CC3" w:rsidRDefault="00B6768C" w:rsidP="00B6768C">
      <w:pPr>
        <w:pStyle w:val="BodyTextIndent3"/>
        <w:spacing w:before="120"/>
        <w:ind w:left="0" w:firstLine="698"/>
        <w:jc w:val="both"/>
        <w:rPr>
          <w:bCs/>
          <w:iCs/>
          <w:sz w:val="28"/>
          <w:szCs w:val="28"/>
          <w:lang w:val="vi-VN"/>
        </w:rPr>
      </w:pPr>
      <w:r w:rsidRPr="00881CC3">
        <w:rPr>
          <w:bCs/>
          <w:iCs/>
          <w:sz w:val="28"/>
          <w:szCs w:val="28"/>
          <w:lang w:val="vi-VN"/>
        </w:rPr>
        <w:t xml:space="preserve">- Theo quy định hiện hành (Thông tư 36), các khoản góp vốn mua cổ phần để thành lập, mua lại công ty con phải bị loại trừ hoàn toàn khỏi vốn cấp 1 của TCTD khi tính tỷ lệ CAR.  </w:t>
      </w:r>
    </w:p>
    <w:p w:rsidR="00DB6F8B" w:rsidRPr="004A6C97" w:rsidRDefault="00755627" w:rsidP="005A3E55">
      <w:pPr>
        <w:ind w:firstLine="720"/>
        <w:jc w:val="both"/>
        <w:rPr>
          <w:rFonts w:ascii="Times New Roman" w:hAnsi="Times New Roman"/>
          <w:b/>
          <w:sz w:val="28"/>
          <w:szCs w:val="28"/>
          <w:lang w:val="vi-VN"/>
        </w:rPr>
      </w:pPr>
      <w:r w:rsidRPr="005A3E55">
        <w:rPr>
          <w:rFonts w:ascii="Times New Roman" w:hAnsi="Times New Roman"/>
          <w:sz w:val="28"/>
          <w:szCs w:val="28"/>
          <w:lang w:val="vi-VN"/>
        </w:rPr>
        <w:t>Như vậy,</w:t>
      </w:r>
      <w:r w:rsidR="00DB6F8B" w:rsidRPr="005A3E55">
        <w:rPr>
          <w:rFonts w:ascii="Times New Roman" w:hAnsi="Times New Roman"/>
          <w:sz w:val="28"/>
          <w:szCs w:val="28"/>
          <w:lang w:val="vi-VN"/>
        </w:rPr>
        <w:t xml:space="preserve"> Luật </w:t>
      </w:r>
      <w:r w:rsidR="00F8204A" w:rsidRPr="004A6C97">
        <w:rPr>
          <w:rFonts w:ascii="Times New Roman" w:hAnsi="Times New Roman"/>
          <w:sz w:val="28"/>
          <w:szCs w:val="28"/>
          <w:lang w:val="vi-VN"/>
        </w:rPr>
        <w:t>C</w:t>
      </w:r>
      <w:r w:rsidR="00960459" w:rsidRPr="005A3E55">
        <w:rPr>
          <w:rFonts w:ascii="Times New Roman" w:hAnsi="Times New Roman"/>
          <w:sz w:val="28"/>
          <w:szCs w:val="28"/>
          <w:lang w:val="vi-VN"/>
        </w:rPr>
        <w:t xml:space="preserve">ác </w:t>
      </w:r>
      <w:r w:rsidR="00DB6F8B" w:rsidRPr="005A3E55">
        <w:rPr>
          <w:rFonts w:ascii="Times New Roman" w:hAnsi="Times New Roman"/>
          <w:sz w:val="28"/>
          <w:szCs w:val="28"/>
          <w:lang w:val="vi-VN"/>
        </w:rPr>
        <w:t xml:space="preserve">TCTD và các văn bản hướng dẫn của NHNN đã có quy định khá đầy đủ nhằm tách biệt, hạn chế rủi ro của loại hình </w:t>
      </w:r>
      <w:r w:rsidR="00960459" w:rsidRPr="005A3E55">
        <w:rPr>
          <w:rFonts w:ascii="Times New Roman" w:hAnsi="Times New Roman"/>
          <w:sz w:val="28"/>
          <w:szCs w:val="28"/>
          <w:lang w:val="vi-VN"/>
        </w:rPr>
        <w:t xml:space="preserve">công </w:t>
      </w:r>
      <w:r w:rsidR="00DB6F8B" w:rsidRPr="005A3E55">
        <w:rPr>
          <w:rFonts w:ascii="Times New Roman" w:hAnsi="Times New Roman"/>
          <w:sz w:val="28"/>
          <w:szCs w:val="28"/>
          <w:lang w:val="vi-VN"/>
        </w:rPr>
        <w:t>ty con đối với TCTD (NHTM)</w:t>
      </w:r>
      <w:r w:rsidR="00C00B5A">
        <w:rPr>
          <w:rFonts w:ascii="Times New Roman" w:hAnsi="Times New Roman"/>
          <w:sz w:val="28"/>
          <w:szCs w:val="28"/>
          <w:lang w:val="vi-VN"/>
        </w:rPr>
        <w:t>, d</w:t>
      </w:r>
      <w:r w:rsidR="005A3E55" w:rsidRPr="004A6C97">
        <w:rPr>
          <w:rFonts w:ascii="Times New Roman" w:hAnsi="Times New Roman"/>
          <w:sz w:val="28"/>
          <w:szCs w:val="28"/>
          <w:lang w:val="vi-VN"/>
        </w:rPr>
        <w:t xml:space="preserve">o đó, hình thức này là hình thức được quy </w:t>
      </w:r>
      <w:r w:rsidR="005A3E55" w:rsidRPr="004A6C97">
        <w:rPr>
          <w:rFonts w:ascii="Times New Roman" w:hAnsi="Times New Roman"/>
          <w:b/>
          <w:sz w:val="28"/>
          <w:szCs w:val="28"/>
          <w:lang w:val="vi-VN"/>
        </w:rPr>
        <w:t>định với điều kiện “lỏng” nhất so với các hình thức còn lại.</w:t>
      </w:r>
    </w:p>
    <w:p w:rsidR="00960459" w:rsidRDefault="00960459" w:rsidP="00163B4D">
      <w:pPr>
        <w:pStyle w:val="ListParagraph"/>
        <w:ind w:left="0" w:firstLine="720"/>
        <w:contextualSpacing w:val="0"/>
        <w:jc w:val="both"/>
        <w:rPr>
          <w:rFonts w:ascii="Times New Roman" w:hAnsi="Times New Roman"/>
          <w:sz w:val="28"/>
          <w:szCs w:val="28"/>
          <w:lang w:val="vi-VN"/>
        </w:rPr>
      </w:pPr>
      <w:r w:rsidRPr="00960459">
        <w:rPr>
          <w:rFonts w:ascii="Times New Roman" w:hAnsi="Times New Roman"/>
          <w:b/>
          <w:sz w:val="28"/>
          <w:szCs w:val="28"/>
          <w:lang w:val="vi-VN"/>
        </w:rPr>
        <w:t xml:space="preserve"> </w:t>
      </w:r>
      <w:r w:rsidR="001B12BE" w:rsidRPr="004A6C97">
        <w:rPr>
          <w:rFonts w:ascii="Times New Roman" w:hAnsi="Times New Roman"/>
          <w:b/>
          <w:sz w:val="28"/>
          <w:szCs w:val="28"/>
          <w:lang w:val="vi-VN"/>
        </w:rPr>
        <w:t>2.</w:t>
      </w:r>
      <w:r w:rsidR="00EF1F9D" w:rsidRPr="00960459">
        <w:rPr>
          <w:rFonts w:ascii="Times New Roman" w:hAnsi="Times New Roman"/>
          <w:b/>
          <w:sz w:val="28"/>
          <w:szCs w:val="28"/>
          <w:lang w:val="vi-VN"/>
        </w:rPr>
        <w:t xml:space="preserve"> </w:t>
      </w:r>
      <w:r w:rsidR="005E008F" w:rsidRPr="00960459">
        <w:rPr>
          <w:rFonts w:ascii="Times New Roman" w:hAnsi="Times New Roman"/>
          <w:b/>
          <w:sz w:val="28"/>
          <w:szCs w:val="28"/>
          <w:lang w:val="vi-VN"/>
        </w:rPr>
        <w:t>Hình thức công ty liên kết:</w:t>
      </w:r>
      <w:r w:rsidR="005E008F" w:rsidRPr="00960459">
        <w:rPr>
          <w:rFonts w:ascii="Times New Roman" w:hAnsi="Times New Roman"/>
          <w:sz w:val="28"/>
          <w:szCs w:val="28"/>
          <w:lang w:val="vi-VN"/>
        </w:rPr>
        <w:t xml:space="preserve"> </w:t>
      </w:r>
    </w:p>
    <w:p w:rsidR="004540A5" w:rsidRPr="00881CC3" w:rsidRDefault="004540A5" w:rsidP="004540A5">
      <w:pPr>
        <w:pStyle w:val="BodyTextIndent3"/>
        <w:spacing w:before="120"/>
        <w:ind w:left="0" w:firstLine="698"/>
        <w:jc w:val="both"/>
        <w:rPr>
          <w:bCs/>
          <w:i/>
          <w:iCs/>
          <w:sz w:val="28"/>
          <w:szCs w:val="28"/>
          <w:lang w:val="vi-VN"/>
        </w:rPr>
      </w:pPr>
      <w:r w:rsidRPr="00881CC3">
        <w:rPr>
          <w:bCs/>
          <w:iCs/>
          <w:sz w:val="28"/>
          <w:szCs w:val="28"/>
          <w:lang w:val="vi-VN"/>
        </w:rPr>
        <w:t xml:space="preserve">- Ở hình thức này, TCTD có mức sở hữu vốn khá cao, sở hữu từ trên 11% đến 50% vốn điều lệ hoặc vốn cổ phần có quyền biểu quyết của doanh nghiệp nhận vốn góp </w:t>
      </w:r>
      <w:r w:rsidRPr="00881CC3">
        <w:rPr>
          <w:bCs/>
          <w:i/>
          <w:iCs/>
          <w:sz w:val="28"/>
          <w:szCs w:val="28"/>
          <w:lang w:val="vi-VN"/>
        </w:rPr>
        <w:t>nhưng trong nhiều trường hợp lại không nắm quyền kiểm soát, chi phối nên không hoàn toàn chủ động được trong hoạt động quản lý rủi ro và/ hoặc đưa ra những quyết định quan trọng trong kiểm soát, xử lý rủi ro.</w:t>
      </w:r>
      <w:r w:rsidRPr="00881CC3">
        <w:rPr>
          <w:bCs/>
          <w:iCs/>
          <w:sz w:val="28"/>
          <w:szCs w:val="28"/>
          <w:lang w:val="vi-VN"/>
        </w:rPr>
        <w:t xml:space="preserve"> Khi các mối quan hệ sở hữu trở nên phức tạp hơn thì </w:t>
      </w:r>
      <w:r w:rsidRPr="00881CC3">
        <w:rPr>
          <w:bCs/>
          <w:i/>
          <w:iCs/>
          <w:sz w:val="28"/>
          <w:szCs w:val="28"/>
          <w:lang w:val="vi-VN"/>
        </w:rPr>
        <w:t xml:space="preserve">có thể TCTD sẽ bị thao túng gián tiếp thông qua các công ty liên kết. </w:t>
      </w:r>
    </w:p>
    <w:p w:rsidR="004540A5" w:rsidRPr="00881CC3" w:rsidRDefault="004540A5" w:rsidP="004540A5">
      <w:pPr>
        <w:pStyle w:val="BodyTextIndent3"/>
        <w:spacing w:before="120"/>
        <w:ind w:left="0" w:firstLine="698"/>
        <w:jc w:val="both"/>
        <w:rPr>
          <w:bCs/>
          <w:iCs/>
          <w:sz w:val="28"/>
          <w:szCs w:val="28"/>
          <w:lang w:val="vi-VN"/>
        </w:rPr>
      </w:pPr>
      <w:r w:rsidRPr="00881CC3">
        <w:rPr>
          <w:bCs/>
          <w:iCs/>
          <w:sz w:val="28"/>
          <w:szCs w:val="28"/>
          <w:lang w:val="vi-VN"/>
        </w:rPr>
        <w:t xml:space="preserve">- Việc góp vốn mua cổ phần để thành lập, mua lại công ty liên kết hoạt động trong lĩnh vực ngân hàng, tài chính cũng được quy định tại Điều 103 Luật các TCTD theo hướng khuyến khích, hoặc bắt buộc các TCTD (đặc biệt là các NHTM) </w:t>
      </w:r>
      <w:r w:rsidRPr="00881CC3">
        <w:rPr>
          <w:bCs/>
          <w:i/>
          <w:iCs/>
          <w:sz w:val="28"/>
          <w:szCs w:val="28"/>
          <w:u w:val="single"/>
          <w:lang w:val="vi-VN"/>
        </w:rPr>
        <w:t>được</w:t>
      </w:r>
      <w:r w:rsidRPr="00881CC3">
        <w:rPr>
          <w:bCs/>
          <w:iCs/>
          <w:sz w:val="28"/>
          <w:szCs w:val="28"/>
          <w:lang w:val="vi-VN"/>
        </w:rPr>
        <w:t xml:space="preserve"> hoặc </w:t>
      </w:r>
      <w:r w:rsidRPr="00881CC3">
        <w:rPr>
          <w:bCs/>
          <w:i/>
          <w:iCs/>
          <w:sz w:val="28"/>
          <w:szCs w:val="28"/>
          <w:u w:val="single"/>
          <w:lang w:val="vi-VN"/>
        </w:rPr>
        <w:t>phải</w:t>
      </w:r>
      <w:r w:rsidRPr="00881CC3">
        <w:rPr>
          <w:bCs/>
          <w:iCs/>
          <w:sz w:val="28"/>
          <w:szCs w:val="28"/>
          <w:lang w:val="vi-VN"/>
        </w:rPr>
        <w:t xml:space="preserve"> thành lập công ty liên kết hoạt động trong các lĩnh vực này (như đối với loại hình công ty con nêu trên). Tuy nhiên, với cùng bản chất rủi ro như các công ty con (thậm chí rủi ro cao hơn như đã nêu trên) nhưng đối với loại hình này pháp luật hiện hành (Thông tư 36) không quy định việc hạn chế rủi ro chặt chẽ như loại hình công ty con. Ví dụ vốn góp vào công ty liên kết không bị loại trừ trực tiếp và hoàn toàn khoản góp vốn khỏi vốn cấp 1 khi tính CAR của TCTD (chỉ có 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mới bị loại trừ….).</w:t>
      </w:r>
    </w:p>
    <w:p w:rsidR="004540A5" w:rsidRPr="00881CC3" w:rsidRDefault="004540A5" w:rsidP="004540A5">
      <w:pPr>
        <w:pStyle w:val="BodyTextIndent3"/>
        <w:spacing w:before="120"/>
        <w:ind w:left="0" w:firstLine="698"/>
        <w:jc w:val="both"/>
        <w:rPr>
          <w:b/>
          <w:bCs/>
          <w:iCs/>
          <w:sz w:val="28"/>
          <w:szCs w:val="28"/>
          <w:lang w:val="vi-VN"/>
        </w:rPr>
      </w:pPr>
      <w:r w:rsidRPr="00881CC3">
        <w:rPr>
          <w:bCs/>
          <w:iCs/>
          <w:sz w:val="28"/>
          <w:szCs w:val="28"/>
          <w:lang w:val="vi-VN"/>
        </w:rPr>
        <w:t xml:space="preserve">Do vậy, điều kiện áp dụng đối với hình thức góp vốn vào công ty liên kết sẽ được yêu cầu </w:t>
      </w:r>
      <w:r w:rsidRPr="00881CC3">
        <w:rPr>
          <w:b/>
          <w:bCs/>
          <w:iCs/>
          <w:sz w:val="28"/>
          <w:szCs w:val="28"/>
          <w:lang w:val="vi-VN"/>
        </w:rPr>
        <w:t>cao hơn</w:t>
      </w:r>
      <w:r w:rsidRPr="00881CC3">
        <w:rPr>
          <w:bCs/>
          <w:iCs/>
          <w:sz w:val="28"/>
          <w:szCs w:val="28"/>
          <w:lang w:val="vi-VN"/>
        </w:rPr>
        <w:t xml:space="preserve"> so với hình thức góp vốn vào công ty con về mặt quản trị, điều hành, và kinh nghiệm hoạt động của TCTD. </w:t>
      </w:r>
    </w:p>
    <w:p w:rsidR="00690256" w:rsidRDefault="00690256" w:rsidP="00163B4D">
      <w:pPr>
        <w:pStyle w:val="ListParagraph"/>
        <w:ind w:left="0" w:firstLine="720"/>
        <w:contextualSpacing w:val="0"/>
        <w:jc w:val="both"/>
        <w:rPr>
          <w:rFonts w:ascii="Times New Roman" w:hAnsi="Times New Roman"/>
          <w:sz w:val="28"/>
          <w:szCs w:val="28"/>
          <w:lang w:val="vi-VN"/>
        </w:rPr>
      </w:pPr>
      <w:r w:rsidRPr="00CB20D8">
        <w:rPr>
          <w:rFonts w:ascii="Times New Roman" w:hAnsi="Times New Roman"/>
          <w:b/>
          <w:sz w:val="28"/>
          <w:szCs w:val="28"/>
          <w:lang w:val="vi-VN"/>
        </w:rPr>
        <w:t xml:space="preserve"> </w:t>
      </w:r>
      <w:r w:rsidR="001B12BE" w:rsidRPr="004A6C97">
        <w:rPr>
          <w:rFonts w:ascii="Times New Roman" w:hAnsi="Times New Roman"/>
          <w:b/>
          <w:sz w:val="28"/>
          <w:szCs w:val="28"/>
          <w:lang w:val="vi-VN"/>
        </w:rPr>
        <w:t>3.</w:t>
      </w:r>
      <w:r w:rsidR="00230000" w:rsidRPr="00690256">
        <w:rPr>
          <w:rFonts w:ascii="Times New Roman" w:hAnsi="Times New Roman"/>
          <w:b/>
          <w:sz w:val="28"/>
          <w:szCs w:val="28"/>
          <w:lang w:val="vi-VN"/>
        </w:rPr>
        <w:t xml:space="preserve"> Hình thức </w:t>
      </w:r>
      <w:r w:rsidR="002F3C20" w:rsidRPr="00690256">
        <w:rPr>
          <w:rFonts w:ascii="Times New Roman" w:hAnsi="Times New Roman"/>
          <w:b/>
          <w:sz w:val="28"/>
          <w:szCs w:val="28"/>
          <w:lang w:val="vi-VN"/>
        </w:rPr>
        <w:t>đ</w:t>
      </w:r>
      <w:r w:rsidR="00163B4D" w:rsidRPr="00690256">
        <w:rPr>
          <w:rFonts w:ascii="Times New Roman" w:hAnsi="Times New Roman"/>
          <w:b/>
          <w:sz w:val="28"/>
          <w:szCs w:val="28"/>
          <w:lang w:val="vi-VN"/>
        </w:rPr>
        <w:t xml:space="preserve">ầu tư </w:t>
      </w:r>
      <w:r w:rsidRPr="00690256">
        <w:rPr>
          <w:rFonts w:ascii="Times New Roman" w:hAnsi="Times New Roman"/>
          <w:b/>
          <w:sz w:val="28"/>
          <w:szCs w:val="28"/>
          <w:lang w:val="vi-VN"/>
        </w:rPr>
        <w:t>thương mại</w:t>
      </w:r>
      <w:r w:rsidR="002F3C20" w:rsidRPr="00690256">
        <w:rPr>
          <w:rFonts w:ascii="Times New Roman" w:hAnsi="Times New Roman"/>
          <w:b/>
          <w:sz w:val="28"/>
          <w:szCs w:val="28"/>
          <w:lang w:val="vi-VN"/>
        </w:rPr>
        <w:t>:</w:t>
      </w:r>
      <w:r w:rsidR="00163B4D" w:rsidRPr="00CB20D8">
        <w:rPr>
          <w:rFonts w:ascii="Times New Roman" w:hAnsi="Times New Roman"/>
          <w:sz w:val="28"/>
          <w:szCs w:val="28"/>
          <w:lang w:val="vi-VN"/>
        </w:rPr>
        <w:t xml:space="preserve"> </w:t>
      </w:r>
    </w:p>
    <w:p w:rsidR="00690256" w:rsidRDefault="00690256" w:rsidP="00163B4D">
      <w:pPr>
        <w:pStyle w:val="ListParagraph"/>
        <w:ind w:left="0" w:firstLine="720"/>
        <w:contextualSpacing w:val="0"/>
        <w:jc w:val="both"/>
        <w:rPr>
          <w:rFonts w:ascii="Times New Roman" w:hAnsi="Times New Roman"/>
          <w:sz w:val="28"/>
          <w:szCs w:val="28"/>
          <w:lang w:val="vi-VN"/>
        </w:rPr>
      </w:pPr>
      <w:r>
        <w:rPr>
          <w:rFonts w:ascii="Times New Roman" w:hAnsi="Times New Roman"/>
          <w:sz w:val="28"/>
          <w:szCs w:val="28"/>
          <w:lang w:val="vi-VN"/>
        </w:rPr>
        <w:lastRenderedPageBreak/>
        <w:t xml:space="preserve">- </w:t>
      </w:r>
      <w:r w:rsidR="00853902" w:rsidRPr="00CB20D8">
        <w:rPr>
          <w:rFonts w:ascii="Times New Roman" w:hAnsi="Times New Roman"/>
          <w:sz w:val="28"/>
          <w:szCs w:val="28"/>
          <w:lang w:val="vi-VN"/>
        </w:rPr>
        <w:t>Ở</w:t>
      </w:r>
      <w:r w:rsidR="00163B4D" w:rsidRPr="00CB20D8">
        <w:rPr>
          <w:rFonts w:ascii="Times New Roman" w:hAnsi="Times New Roman"/>
          <w:sz w:val="28"/>
          <w:szCs w:val="28"/>
          <w:lang w:val="vi-VN"/>
        </w:rPr>
        <w:t xml:space="preserve"> hình thức </w:t>
      </w:r>
      <w:r w:rsidR="00853902" w:rsidRPr="00CB20D8">
        <w:rPr>
          <w:rFonts w:ascii="Times New Roman" w:hAnsi="Times New Roman"/>
          <w:sz w:val="28"/>
          <w:szCs w:val="28"/>
          <w:lang w:val="vi-VN"/>
        </w:rPr>
        <w:t>này,</w:t>
      </w:r>
      <w:r w:rsidR="00163B4D" w:rsidRPr="00CB20D8">
        <w:rPr>
          <w:rFonts w:ascii="Times New Roman" w:hAnsi="Times New Roman"/>
          <w:sz w:val="28"/>
          <w:szCs w:val="28"/>
          <w:lang w:val="vi-VN"/>
        </w:rPr>
        <w:t xml:space="preserve"> tổ chức tín dụng </w:t>
      </w:r>
      <w:r w:rsidR="00043321" w:rsidRPr="00CB20D8">
        <w:rPr>
          <w:rFonts w:ascii="Times New Roman" w:hAnsi="Times New Roman"/>
          <w:sz w:val="28"/>
          <w:szCs w:val="28"/>
          <w:lang w:val="vi-VN"/>
        </w:rPr>
        <w:t>sở hữu mức vốn góp với một tỷ lệ nhỏ hơn</w:t>
      </w:r>
      <w:r w:rsidR="003A7AD8" w:rsidRPr="00CB20D8">
        <w:rPr>
          <w:rFonts w:ascii="Times New Roman" w:hAnsi="Times New Roman"/>
          <w:sz w:val="28"/>
          <w:szCs w:val="28"/>
          <w:lang w:val="vi-VN"/>
        </w:rPr>
        <w:t>, sở hữu từ 11% vốn điều lệ hoặc vốn cổ phần có quyền biểu quyết của doanh nghiệp nhận vốn góp trở xuống</w:t>
      </w:r>
      <w:r w:rsidR="00163B4D" w:rsidRPr="00CB20D8">
        <w:rPr>
          <w:rFonts w:ascii="Times New Roman" w:hAnsi="Times New Roman"/>
          <w:sz w:val="28"/>
          <w:szCs w:val="28"/>
          <w:lang w:val="vi-VN"/>
        </w:rPr>
        <w:t xml:space="preserve">. </w:t>
      </w:r>
    </w:p>
    <w:p w:rsidR="00690256" w:rsidRDefault="00690256" w:rsidP="00163B4D">
      <w:pPr>
        <w:pStyle w:val="ListParagraph"/>
        <w:ind w:left="0" w:firstLine="720"/>
        <w:contextualSpacing w:val="0"/>
        <w:jc w:val="both"/>
        <w:rPr>
          <w:rFonts w:ascii="Times New Roman" w:hAnsi="Times New Roman"/>
          <w:sz w:val="28"/>
          <w:szCs w:val="28"/>
          <w:lang w:val="vi-VN"/>
        </w:rPr>
      </w:pPr>
      <w:r>
        <w:rPr>
          <w:rFonts w:ascii="Times New Roman" w:hAnsi="Times New Roman"/>
          <w:sz w:val="28"/>
          <w:szCs w:val="28"/>
          <w:lang w:val="vi-VN"/>
        </w:rPr>
        <w:t>- Đ</w:t>
      </w:r>
      <w:r w:rsidRPr="00690256">
        <w:rPr>
          <w:rFonts w:ascii="Times New Roman" w:hAnsi="Times New Roman"/>
          <w:sz w:val="28"/>
          <w:szCs w:val="28"/>
          <w:lang w:val="vi-VN"/>
        </w:rPr>
        <w:t xml:space="preserve">ây là các khoản góp vốn, mua cổ phần vào các doanh nghiệp hoạt động ngoài </w:t>
      </w:r>
      <w:r>
        <w:rPr>
          <w:rFonts w:ascii="Times New Roman" w:hAnsi="Times New Roman"/>
          <w:sz w:val="28"/>
          <w:szCs w:val="28"/>
          <w:lang w:val="vi-VN"/>
        </w:rPr>
        <w:t>lĩnh vực</w:t>
      </w:r>
      <w:r w:rsidRPr="00690256">
        <w:rPr>
          <w:rFonts w:ascii="Times New Roman" w:hAnsi="Times New Roman"/>
          <w:sz w:val="28"/>
          <w:szCs w:val="28"/>
          <w:lang w:val="vi-VN"/>
        </w:rPr>
        <w:t xml:space="preserve"> ngân hàng- tài chính</w:t>
      </w:r>
      <w:r>
        <w:rPr>
          <w:rFonts w:ascii="Times New Roman" w:hAnsi="Times New Roman"/>
          <w:sz w:val="28"/>
          <w:szCs w:val="28"/>
          <w:lang w:val="vi-VN"/>
        </w:rPr>
        <w:t>,</w:t>
      </w:r>
      <w:r w:rsidRPr="00690256">
        <w:rPr>
          <w:rFonts w:ascii="Times New Roman" w:hAnsi="Times New Roman"/>
          <w:sz w:val="28"/>
          <w:szCs w:val="28"/>
          <w:lang w:val="vi-VN"/>
        </w:rPr>
        <w:t xml:space="preserve"> tiềm ẩn rất nhiều rủi ro như rủi ro thanh khoản, thua lỗ, xung đột lợi ích…. (nhất là khi đầu tư vào các doanh nghiệp chưa niêm yết) </w:t>
      </w:r>
      <w:r w:rsidR="007D234D">
        <w:rPr>
          <w:rFonts w:ascii="Times New Roman" w:hAnsi="Times New Roman"/>
          <w:sz w:val="28"/>
          <w:szCs w:val="28"/>
          <w:lang w:val="vi-VN"/>
        </w:rPr>
        <w:t>do đó</w:t>
      </w:r>
      <w:r w:rsidRPr="00690256">
        <w:rPr>
          <w:rFonts w:ascii="Times New Roman" w:hAnsi="Times New Roman"/>
          <w:sz w:val="28"/>
          <w:szCs w:val="28"/>
          <w:lang w:val="vi-VN"/>
        </w:rPr>
        <w:t xml:space="preserve"> không nên khuyến khích, tạo điều kiện </w:t>
      </w:r>
      <w:r w:rsidR="00E438E5">
        <w:rPr>
          <w:rFonts w:ascii="Times New Roman" w:hAnsi="Times New Roman"/>
          <w:sz w:val="28"/>
          <w:szCs w:val="28"/>
          <w:lang w:val="vi-VN"/>
        </w:rPr>
        <w:t xml:space="preserve">góp vốn, mua cổ phần </w:t>
      </w:r>
      <w:r w:rsidRPr="00690256">
        <w:rPr>
          <w:rFonts w:ascii="Times New Roman" w:hAnsi="Times New Roman"/>
          <w:sz w:val="28"/>
          <w:szCs w:val="28"/>
          <w:lang w:val="vi-VN"/>
        </w:rPr>
        <w:t>đối với loại hình này</w:t>
      </w:r>
      <w:r w:rsidR="00E438E5">
        <w:rPr>
          <w:rFonts w:ascii="Times New Roman" w:hAnsi="Times New Roman"/>
          <w:sz w:val="28"/>
          <w:szCs w:val="28"/>
          <w:lang w:val="vi-VN"/>
        </w:rPr>
        <w:t xml:space="preserve">. </w:t>
      </w:r>
      <w:r w:rsidR="00EF6F58">
        <w:rPr>
          <w:rFonts w:ascii="Times New Roman" w:hAnsi="Times New Roman"/>
          <w:sz w:val="28"/>
          <w:szCs w:val="28"/>
          <w:lang w:val="vi-VN"/>
        </w:rPr>
        <w:t>Tuy nhiên, quy định hiện hành về các giới hạn an toàn nhằm hạn chế rủi ro đối với hình thức này lại chưa có điều chỉnh cụ thể, ngoại trừ giới hạn tổng mức góp vốn, mua cổ phần (bao gồm cả hình thức đầu tư thương mại) là 40% và 60% vốn điều lệ và quỹ dự trữ của NHTM, công ty tài chính.</w:t>
      </w:r>
    </w:p>
    <w:p w:rsidR="00787B72" w:rsidRDefault="005A3E55" w:rsidP="00FF3657">
      <w:pPr>
        <w:pStyle w:val="ListParagraph"/>
        <w:ind w:left="0" w:firstLine="720"/>
        <w:contextualSpacing w:val="0"/>
        <w:jc w:val="both"/>
        <w:rPr>
          <w:rFonts w:ascii="Times New Roman" w:hAnsi="Times New Roman"/>
          <w:sz w:val="28"/>
          <w:szCs w:val="28"/>
          <w:lang w:val="vi-VN"/>
        </w:rPr>
      </w:pPr>
      <w:r>
        <w:rPr>
          <w:rFonts w:ascii="Times New Roman" w:hAnsi="Times New Roman"/>
          <w:sz w:val="28"/>
          <w:szCs w:val="28"/>
          <w:lang w:val="vi-VN"/>
        </w:rPr>
        <w:t>Như</w:t>
      </w:r>
      <w:r w:rsidRPr="00950369">
        <w:rPr>
          <w:rFonts w:ascii="Times New Roman" w:hAnsi="Times New Roman"/>
          <w:sz w:val="28"/>
          <w:szCs w:val="28"/>
          <w:lang w:val="vi-VN"/>
        </w:rPr>
        <w:t xml:space="preserve"> vậy, điều kiện ràng buộc đối với loại hình góp vốn, mua cổ phần này cần được quản lý </w:t>
      </w:r>
      <w:r w:rsidRPr="004C267D">
        <w:rPr>
          <w:rFonts w:ascii="Times New Roman" w:hAnsi="Times New Roman"/>
          <w:b/>
          <w:sz w:val="28"/>
          <w:szCs w:val="28"/>
          <w:lang w:val="vi-VN"/>
        </w:rPr>
        <w:t>chặt chẽ</w:t>
      </w:r>
      <w:r w:rsidRPr="004A6C97">
        <w:rPr>
          <w:rFonts w:ascii="Times New Roman" w:hAnsi="Times New Roman"/>
          <w:b/>
          <w:sz w:val="28"/>
          <w:szCs w:val="28"/>
          <w:lang w:val="vi-VN"/>
        </w:rPr>
        <w:t xml:space="preserve"> nhất</w:t>
      </w:r>
      <w:r w:rsidRPr="00950369">
        <w:rPr>
          <w:rFonts w:ascii="Times New Roman" w:hAnsi="Times New Roman"/>
          <w:sz w:val="28"/>
          <w:szCs w:val="28"/>
          <w:lang w:val="vi-VN"/>
        </w:rPr>
        <w:t>,</w:t>
      </w:r>
      <w:r w:rsidRPr="004A6C97">
        <w:rPr>
          <w:rFonts w:ascii="Times New Roman" w:hAnsi="Times New Roman"/>
          <w:sz w:val="28"/>
          <w:szCs w:val="28"/>
          <w:lang w:val="vi-VN"/>
        </w:rPr>
        <w:t xml:space="preserve"> </w:t>
      </w:r>
      <w:r w:rsidRPr="004A6C97">
        <w:rPr>
          <w:rFonts w:ascii="Times New Roman" w:hAnsi="Times New Roman"/>
          <w:b/>
          <w:sz w:val="28"/>
          <w:szCs w:val="28"/>
          <w:lang w:val="vi-VN"/>
        </w:rPr>
        <w:t>với các điều kiện cao nhất so với các hình thức khác</w:t>
      </w:r>
    </w:p>
    <w:p w:rsidR="00B6768C" w:rsidRPr="004571D5" w:rsidRDefault="00B6768C" w:rsidP="00B6768C">
      <w:pPr>
        <w:pStyle w:val="ListParagraph"/>
        <w:ind w:left="0" w:firstLine="720"/>
        <w:contextualSpacing w:val="0"/>
        <w:jc w:val="both"/>
        <w:rPr>
          <w:rFonts w:ascii="Times New Roman" w:hAnsi="Times New Roman"/>
          <w:b/>
          <w:sz w:val="28"/>
          <w:szCs w:val="28"/>
          <w:lang w:val="vi-VN"/>
        </w:rPr>
      </w:pPr>
      <w:r w:rsidRPr="004571D5">
        <w:rPr>
          <w:rFonts w:ascii="Times New Roman" w:hAnsi="Times New Roman"/>
          <w:b/>
          <w:sz w:val="28"/>
          <w:szCs w:val="28"/>
          <w:lang w:val="vi-VN"/>
        </w:rPr>
        <w:t>4. Về quy định hoán đổi nợ thành vốn góp, mua cổ phần:</w:t>
      </w:r>
    </w:p>
    <w:p w:rsidR="004540A5" w:rsidRPr="004540A5" w:rsidRDefault="00B6768C" w:rsidP="004540A5">
      <w:pPr>
        <w:pStyle w:val="ListParagraph"/>
        <w:ind w:left="0" w:firstLine="720"/>
        <w:contextualSpacing w:val="0"/>
        <w:jc w:val="both"/>
        <w:rPr>
          <w:rFonts w:ascii="Times New Roman" w:hAnsi="Times New Roman"/>
          <w:sz w:val="28"/>
          <w:szCs w:val="28"/>
          <w:lang w:val="vi-VN"/>
        </w:rPr>
      </w:pPr>
      <w:r w:rsidRPr="00B6768C">
        <w:rPr>
          <w:rFonts w:ascii="Times New Roman" w:hAnsi="Times New Roman"/>
          <w:sz w:val="28"/>
          <w:szCs w:val="28"/>
          <w:lang w:val="vi-VN"/>
        </w:rPr>
        <w:t xml:space="preserve">Qua nghiên cứu, rà soát quy định của pháp luật và thực tế xử lý trong thời gian qua, dự thảo Thông tư </w:t>
      </w:r>
      <w:r w:rsidRPr="004540A5">
        <w:rPr>
          <w:rFonts w:ascii="Times New Roman" w:hAnsi="Times New Roman"/>
          <w:sz w:val="28"/>
          <w:szCs w:val="28"/>
          <w:lang w:val="vi-VN"/>
        </w:rPr>
        <w:t xml:space="preserve">đã quy định </w:t>
      </w:r>
      <w:r w:rsidRPr="00B6768C">
        <w:rPr>
          <w:rFonts w:ascii="Times New Roman" w:hAnsi="Times New Roman"/>
          <w:sz w:val="28"/>
          <w:szCs w:val="28"/>
          <w:lang w:val="vi-VN"/>
        </w:rPr>
        <w:t xml:space="preserve">nội dung liên quan đến </w:t>
      </w:r>
      <w:r w:rsidRPr="004540A5">
        <w:rPr>
          <w:rFonts w:ascii="Times New Roman" w:hAnsi="Times New Roman"/>
          <w:sz w:val="28"/>
          <w:szCs w:val="28"/>
          <w:lang w:val="vi-VN"/>
        </w:rPr>
        <w:t>việc</w:t>
      </w:r>
      <w:r w:rsidRPr="00B6768C">
        <w:rPr>
          <w:rFonts w:ascii="Times New Roman" w:hAnsi="Times New Roman"/>
          <w:sz w:val="28"/>
          <w:szCs w:val="28"/>
          <w:lang w:val="vi-VN"/>
        </w:rPr>
        <w:t xml:space="preserve"> hoán đổi nợ thành vốn góp, mua cổ phần, cụ thể</w:t>
      </w:r>
      <w:r w:rsidRPr="004540A5">
        <w:rPr>
          <w:rFonts w:ascii="Times New Roman" w:hAnsi="Times New Roman"/>
          <w:sz w:val="28"/>
          <w:szCs w:val="28"/>
          <w:lang w:val="vi-VN"/>
        </w:rPr>
        <w:t xml:space="preserve"> quy định: </w:t>
      </w:r>
      <w:r w:rsidR="004540A5" w:rsidRPr="004540A5">
        <w:rPr>
          <w:rFonts w:ascii="Times New Roman" w:hAnsi="Times New Roman"/>
          <w:sz w:val="28"/>
          <w:szCs w:val="28"/>
          <w:lang w:val="vi-VN"/>
        </w:rPr>
        <w:t>TCTD thực hiện hoán đổi nợ thành vốn góp, mua cổ phần theo quy định tạ</w:t>
      </w:r>
      <w:r w:rsidR="004540A5">
        <w:rPr>
          <w:rFonts w:ascii="Times New Roman" w:hAnsi="Times New Roman"/>
          <w:sz w:val="28"/>
          <w:szCs w:val="28"/>
          <w:lang w:val="vi-VN"/>
        </w:rPr>
        <w:t>i Thông tư</w:t>
      </w:r>
      <w:r w:rsidR="004540A5" w:rsidRPr="004540A5">
        <w:rPr>
          <w:rFonts w:ascii="Times New Roman" w:hAnsi="Times New Roman"/>
          <w:sz w:val="28"/>
          <w:szCs w:val="28"/>
          <w:lang w:val="vi-VN"/>
        </w:rPr>
        <w:t xml:space="preserve">, ngoại trừ các điều kiện quy định tại các Điều 6, 7, 8, 9, 13 Thông tư; tuy nhiên các TCTD phải đảm bảo các điều kiện sau: </w:t>
      </w:r>
      <w:r w:rsidR="004540A5" w:rsidRPr="00881CC3">
        <w:rPr>
          <w:rFonts w:ascii="Times New Roman" w:hAnsi="Times New Roman"/>
          <w:sz w:val="28"/>
          <w:szCs w:val="28"/>
          <w:lang w:val="vi-VN"/>
        </w:rPr>
        <w:t xml:space="preserve">(i) </w:t>
      </w:r>
      <w:r w:rsidR="004540A5" w:rsidRPr="004540A5">
        <w:rPr>
          <w:rFonts w:ascii="Times New Roman" w:hAnsi="Times New Roman"/>
          <w:sz w:val="28"/>
          <w:szCs w:val="28"/>
          <w:lang w:val="vi-VN"/>
        </w:rPr>
        <w:t xml:space="preserve">Chỉ được thực hiện đối với nợ thuộc nhóm 5 hoặc nợ đã được xử lý bằng dự phòng rủi ro; </w:t>
      </w:r>
      <w:r w:rsidR="004540A5" w:rsidRPr="00881CC3">
        <w:rPr>
          <w:rFonts w:ascii="Times New Roman" w:hAnsi="Times New Roman"/>
          <w:sz w:val="28"/>
          <w:szCs w:val="28"/>
          <w:lang w:val="vi-VN"/>
        </w:rPr>
        <w:t>(ii)</w:t>
      </w:r>
      <w:r w:rsidR="004540A5" w:rsidRPr="004540A5">
        <w:rPr>
          <w:rFonts w:ascii="Times New Roman" w:hAnsi="Times New Roman"/>
          <w:sz w:val="28"/>
          <w:szCs w:val="28"/>
          <w:lang w:val="vi-VN"/>
        </w:rPr>
        <w:t xml:space="preserve"> Tổng mức góp vốn, mua cổ phần dưới mọi hình thức không vượt quá 40% vốn điều lệ và quỹ dự trữ của ngân hàng thương mại, không vượt quá 60% vốn điều lệ và quỹ dự trữ của công ty tài chính; </w:t>
      </w:r>
      <w:r w:rsidR="004540A5" w:rsidRPr="00881CC3">
        <w:rPr>
          <w:rFonts w:ascii="Times New Roman" w:hAnsi="Times New Roman"/>
          <w:sz w:val="28"/>
          <w:szCs w:val="28"/>
          <w:lang w:val="vi-VN"/>
        </w:rPr>
        <w:t xml:space="preserve">(iii) </w:t>
      </w:r>
      <w:r w:rsidR="004540A5" w:rsidRPr="004540A5">
        <w:rPr>
          <w:rFonts w:ascii="Times New Roman" w:hAnsi="Times New Roman"/>
          <w:sz w:val="28"/>
          <w:szCs w:val="28"/>
          <w:lang w:val="vi-VN"/>
        </w:rPr>
        <w:t>Tuân thủ tỷ lệ bảo đảm an toàn trước và sau khi hoán đổi nợ thành vốn góp, mua cổ phần, trừ trường hợp đặc biệt khi các TCTD đang trong quá trình triển khai tái cơ cấu theo chỉ đạo của Thống đốc.</w:t>
      </w:r>
    </w:p>
    <w:p w:rsidR="000033DA" w:rsidRPr="00881CC3" w:rsidRDefault="00627BEF" w:rsidP="004540A5">
      <w:pPr>
        <w:pStyle w:val="ListParagraph"/>
        <w:ind w:left="0" w:firstLine="720"/>
        <w:contextualSpacing w:val="0"/>
        <w:jc w:val="both"/>
        <w:rPr>
          <w:rFonts w:ascii="Times New Roman" w:hAnsi="Times New Roman"/>
          <w:b/>
          <w:sz w:val="28"/>
          <w:szCs w:val="28"/>
          <w:lang w:val="vi-VN"/>
        </w:rPr>
      </w:pPr>
      <w:r w:rsidRPr="00881CC3">
        <w:rPr>
          <w:rFonts w:ascii="Times New Roman" w:hAnsi="Times New Roman"/>
          <w:b/>
          <w:sz w:val="28"/>
          <w:szCs w:val="28"/>
          <w:lang w:val="vi-VN"/>
        </w:rPr>
        <w:t>IV.</w:t>
      </w:r>
      <w:r w:rsidR="00EB4DA0" w:rsidRPr="004A6C97">
        <w:rPr>
          <w:rFonts w:ascii="Times New Roman" w:hAnsi="Times New Roman"/>
          <w:b/>
          <w:sz w:val="28"/>
          <w:szCs w:val="28"/>
          <w:lang w:val="vi-VN"/>
        </w:rPr>
        <w:t xml:space="preserve"> </w:t>
      </w:r>
      <w:r w:rsidR="000033DA" w:rsidRPr="00881CC3">
        <w:rPr>
          <w:rFonts w:ascii="Times New Roman" w:hAnsi="Times New Roman"/>
          <w:b/>
          <w:sz w:val="28"/>
          <w:szCs w:val="28"/>
          <w:lang w:val="vi-VN"/>
        </w:rPr>
        <w:t>KẾT CẤU DỰ THẢO</w:t>
      </w:r>
    </w:p>
    <w:p w:rsidR="000033DA" w:rsidRPr="00881CC3" w:rsidRDefault="000033DA" w:rsidP="00EB4DA0">
      <w:pPr>
        <w:ind w:firstLine="709"/>
        <w:jc w:val="both"/>
        <w:rPr>
          <w:rFonts w:ascii="Times New Roman" w:hAnsi="Times New Roman"/>
          <w:sz w:val="28"/>
          <w:szCs w:val="28"/>
          <w:lang w:val="vi-VN"/>
        </w:rPr>
      </w:pPr>
      <w:r w:rsidRPr="00881CC3">
        <w:rPr>
          <w:rFonts w:ascii="Times New Roman" w:hAnsi="Times New Roman"/>
          <w:sz w:val="28"/>
          <w:szCs w:val="28"/>
          <w:lang w:val="vi-VN"/>
        </w:rPr>
        <w:t xml:space="preserve">Dự thảo Thông tư gồm </w:t>
      </w:r>
      <w:r w:rsidR="004A65BE" w:rsidRPr="00881CC3">
        <w:rPr>
          <w:rFonts w:ascii="Times New Roman" w:hAnsi="Times New Roman"/>
          <w:sz w:val="28"/>
          <w:szCs w:val="28"/>
          <w:lang w:val="vi-VN"/>
        </w:rPr>
        <w:t>05</w:t>
      </w:r>
      <w:r w:rsidRPr="00881CC3">
        <w:rPr>
          <w:rFonts w:ascii="Times New Roman" w:hAnsi="Times New Roman"/>
          <w:sz w:val="28"/>
          <w:szCs w:val="28"/>
          <w:lang w:val="vi-VN"/>
        </w:rPr>
        <w:t xml:space="preserve"> chương, </w:t>
      </w:r>
      <w:r w:rsidR="004A65BE" w:rsidRPr="00881CC3">
        <w:rPr>
          <w:rFonts w:ascii="Times New Roman" w:hAnsi="Times New Roman"/>
          <w:sz w:val="28"/>
          <w:szCs w:val="28"/>
          <w:lang w:val="vi-VN"/>
        </w:rPr>
        <w:t>2</w:t>
      </w:r>
      <w:r w:rsidRPr="00881CC3">
        <w:rPr>
          <w:rFonts w:ascii="Times New Roman" w:hAnsi="Times New Roman"/>
          <w:sz w:val="28"/>
          <w:szCs w:val="28"/>
          <w:lang w:val="vi-VN"/>
        </w:rPr>
        <w:t>3 Điều, trong đó:</w:t>
      </w:r>
    </w:p>
    <w:p w:rsidR="000033DA" w:rsidRPr="00881CC3" w:rsidRDefault="000033DA" w:rsidP="000033DA">
      <w:pPr>
        <w:pStyle w:val="ListParagraph"/>
        <w:ind w:left="0" w:firstLine="720"/>
        <w:contextualSpacing w:val="0"/>
        <w:jc w:val="both"/>
        <w:rPr>
          <w:rFonts w:ascii="Times New Roman" w:hAnsi="Times New Roman"/>
          <w:sz w:val="28"/>
          <w:szCs w:val="28"/>
          <w:lang w:val="vi-VN"/>
        </w:rPr>
      </w:pPr>
      <w:r w:rsidRPr="00881CC3">
        <w:rPr>
          <w:rFonts w:ascii="Times New Roman" w:hAnsi="Times New Roman"/>
          <w:b/>
          <w:sz w:val="28"/>
          <w:szCs w:val="28"/>
          <w:lang w:val="vi-VN"/>
        </w:rPr>
        <w:t>- Chương I – Quy định chung</w:t>
      </w:r>
      <w:r w:rsidRPr="00881CC3">
        <w:rPr>
          <w:rFonts w:ascii="Times New Roman" w:hAnsi="Times New Roman"/>
          <w:sz w:val="28"/>
          <w:szCs w:val="28"/>
          <w:lang w:val="vi-VN"/>
        </w:rPr>
        <w:t xml:space="preserve"> đưa ra định nghĩa về một số thuật ngữ được sử dụng trong Thông tư, đồng thời cũng có một số quy định về các vấn đề chung, mang tính nguyên tắc của Thông tư.</w:t>
      </w:r>
    </w:p>
    <w:p w:rsidR="000033DA" w:rsidRDefault="000033DA" w:rsidP="000033DA">
      <w:pPr>
        <w:pStyle w:val="ListParagraph"/>
        <w:ind w:left="0" w:firstLine="720"/>
        <w:contextualSpacing w:val="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Chương II – Góp vốn, mua cổ phần </w:t>
      </w:r>
      <w:r w:rsidR="004A65BE">
        <w:rPr>
          <w:rFonts w:ascii="Times New Roman" w:hAnsi="Times New Roman"/>
          <w:b/>
          <w:sz w:val="28"/>
          <w:szCs w:val="28"/>
        </w:rPr>
        <w:t xml:space="preserve">để thành lập, mua lại </w:t>
      </w:r>
      <w:r>
        <w:rPr>
          <w:rFonts w:ascii="Times New Roman" w:hAnsi="Times New Roman"/>
          <w:b/>
          <w:sz w:val="28"/>
          <w:szCs w:val="28"/>
        </w:rPr>
        <w:t>công ty con</w:t>
      </w:r>
      <w:r w:rsidR="004A65BE">
        <w:rPr>
          <w:rFonts w:ascii="Times New Roman" w:hAnsi="Times New Roman"/>
          <w:b/>
          <w:sz w:val="28"/>
          <w:szCs w:val="28"/>
        </w:rPr>
        <w:t>, công ty liên kết</w:t>
      </w:r>
      <w:r>
        <w:rPr>
          <w:rFonts w:ascii="Times New Roman" w:hAnsi="Times New Roman"/>
          <w:sz w:val="28"/>
          <w:szCs w:val="28"/>
        </w:rPr>
        <w:t xml:space="preserve"> quy định về điều kiện, hồ</w:t>
      </w:r>
      <w:r w:rsidR="008B3289">
        <w:rPr>
          <w:rFonts w:ascii="Times New Roman" w:hAnsi="Times New Roman"/>
          <w:sz w:val="28"/>
          <w:szCs w:val="28"/>
        </w:rPr>
        <w:t xml:space="preserve"> sơ</w:t>
      </w:r>
      <w:r>
        <w:rPr>
          <w:rFonts w:ascii="Times New Roman" w:hAnsi="Times New Roman"/>
          <w:sz w:val="28"/>
          <w:szCs w:val="28"/>
        </w:rPr>
        <w:t xml:space="preserve"> và </w:t>
      </w:r>
      <w:r w:rsidR="00221835">
        <w:rPr>
          <w:rFonts w:ascii="Times New Roman" w:hAnsi="Times New Roman"/>
          <w:sz w:val="28"/>
          <w:szCs w:val="28"/>
        </w:rPr>
        <w:t xml:space="preserve">trình tự, </w:t>
      </w:r>
      <w:r>
        <w:rPr>
          <w:rFonts w:ascii="Times New Roman" w:hAnsi="Times New Roman"/>
          <w:sz w:val="28"/>
          <w:szCs w:val="28"/>
        </w:rPr>
        <w:t xml:space="preserve">thủ tục trình Thống đốc chấp thuận việc góp vốn, mua cổ phần </w:t>
      </w:r>
      <w:r w:rsidR="00221835">
        <w:rPr>
          <w:rFonts w:ascii="Times New Roman" w:hAnsi="Times New Roman"/>
          <w:sz w:val="28"/>
          <w:szCs w:val="28"/>
        </w:rPr>
        <w:t xml:space="preserve">để thành lập, mua lại </w:t>
      </w:r>
      <w:r>
        <w:rPr>
          <w:rFonts w:ascii="Times New Roman" w:hAnsi="Times New Roman"/>
          <w:sz w:val="28"/>
          <w:szCs w:val="28"/>
        </w:rPr>
        <w:t>công ty con</w:t>
      </w:r>
      <w:r w:rsidR="00221835">
        <w:rPr>
          <w:rFonts w:ascii="Times New Roman" w:hAnsi="Times New Roman"/>
          <w:sz w:val="28"/>
          <w:szCs w:val="28"/>
        </w:rPr>
        <w:t>, công ty liên kết</w:t>
      </w:r>
      <w:r>
        <w:rPr>
          <w:rFonts w:ascii="Times New Roman" w:hAnsi="Times New Roman"/>
          <w:sz w:val="28"/>
          <w:szCs w:val="28"/>
        </w:rPr>
        <w:t xml:space="preserve"> </w:t>
      </w:r>
      <w:r w:rsidR="003F2B8C">
        <w:rPr>
          <w:rFonts w:ascii="Times New Roman" w:hAnsi="Times New Roman"/>
          <w:sz w:val="28"/>
          <w:szCs w:val="28"/>
        </w:rPr>
        <w:t xml:space="preserve">trong nước và nước ngoài </w:t>
      </w:r>
      <w:r>
        <w:rPr>
          <w:rFonts w:ascii="Times New Roman" w:hAnsi="Times New Roman"/>
          <w:sz w:val="28"/>
          <w:szCs w:val="28"/>
        </w:rPr>
        <w:t xml:space="preserve">của </w:t>
      </w:r>
      <w:r w:rsidR="008B3289">
        <w:rPr>
          <w:rFonts w:ascii="Times New Roman" w:hAnsi="Times New Roman"/>
          <w:sz w:val="28"/>
          <w:szCs w:val="28"/>
          <w:lang w:val="vi-VN"/>
        </w:rPr>
        <w:t>TCTD</w:t>
      </w:r>
      <w:r>
        <w:rPr>
          <w:rFonts w:ascii="Times New Roman" w:hAnsi="Times New Roman"/>
          <w:sz w:val="28"/>
          <w:szCs w:val="28"/>
        </w:rPr>
        <w:t>.</w:t>
      </w:r>
    </w:p>
    <w:p w:rsidR="000033DA" w:rsidRDefault="000033DA" w:rsidP="000033DA">
      <w:pPr>
        <w:pStyle w:val="ListParagraph"/>
        <w:ind w:left="0" w:firstLine="720"/>
        <w:contextualSpacing w:val="0"/>
        <w:jc w:val="both"/>
        <w:rPr>
          <w:rFonts w:ascii="Times New Roman" w:hAnsi="Times New Roman"/>
          <w:sz w:val="28"/>
          <w:szCs w:val="28"/>
        </w:rPr>
      </w:pPr>
      <w:proofErr w:type="gramStart"/>
      <w:r>
        <w:rPr>
          <w:rFonts w:ascii="Times New Roman" w:hAnsi="Times New Roman"/>
          <w:sz w:val="28"/>
          <w:szCs w:val="28"/>
        </w:rPr>
        <w:lastRenderedPageBreak/>
        <w:t xml:space="preserve">- </w:t>
      </w:r>
      <w:r w:rsidR="00BE0323">
        <w:rPr>
          <w:rFonts w:ascii="Times New Roman" w:hAnsi="Times New Roman"/>
          <w:b/>
          <w:sz w:val="28"/>
          <w:szCs w:val="28"/>
        </w:rPr>
        <w:t>Chương III</w:t>
      </w:r>
      <w:r>
        <w:rPr>
          <w:rFonts w:ascii="Times New Roman" w:hAnsi="Times New Roman"/>
          <w:b/>
          <w:sz w:val="28"/>
          <w:szCs w:val="28"/>
        </w:rPr>
        <w:t xml:space="preserve"> – Góp vốn, mua cổ phần </w:t>
      </w:r>
      <w:r w:rsidR="003F2B8C">
        <w:rPr>
          <w:rFonts w:ascii="Times New Roman" w:hAnsi="Times New Roman"/>
          <w:b/>
          <w:sz w:val="28"/>
          <w:szCs w:val="28"/>
        </w:rPr>
        <w:t>để thực hiện</w:t>
      </w:r>
      <w:r>
        <w:rPr>
          <w:rFonts w:ascii="Times New Roman" w:hAnsi="Times New Roman"/>
          <w:b/>
          <w:sz w:val="28"/>
          <w:szCs w:val="28"/>
        </w:rPr>
        <w:t xml:space="preserve"> đầu tư </w:t>
      </w:r>
      <w:r w:rsidR="008B3289">
        <w:rPr>
          <w:rFonts w:ascii="Times New Roman" w:hAnsi="Times New Roman"/>
          <w:b/>
          <w:sz w:val="28"/>
          <w:szCs w:val="28"/>
          <w:lang w:val="vi-VN"/>
        </w:rPr>
        <w:t>thương mại</w:t>
      </w:r>
      <w:r>
        <w:rPr>
          <w:rFonts w:ascii="Times New Roman" w:hAnsi="Times New Roman"/>
          <w:b/>
          <w:sz w:val="28"/>
          <w:szCs w:val="28"/>
        </w:rPr>
        <w:t xml:space="preserve"> </w:t>
      </w:r>
      <w:r>
        <w:rPr>
          <w:rFonts w:ascii="Times New Roman" w:hAnsi="Times New Roman"/>
          <w:sz w:val="28"/>
          <w:szCs w:val="28"/>
        </w:rPr>
        <w:t xml:space="preserve">quy định về điều kiện, hồ sơ và </w:t>
      </w:r>
      <w:r w:rsidR="003F2B8C">
        <w:rPr>
          <w:rFonts w:ascii="Times New Roman" w:hAnsi="Times New Roman"/>
          <w:sz w:val="28"/>
          <w:szCs w:val="28"/>
        </w:rPr>
        <w:t xml:space="preserve">trình tự, </w:t>
      </w:r>
      <w:r>
        <w:rPr>
          <w:rFonts w:ascii="Times New Roman" w:hAnsi="Times New Roman"/>
          <w:sz w:val="28"/>
          <w:szCs w:val="28"/>
        </w:rPr>
        <w:t xml:space="preserve">thủ tục trình Thống đốc chấp thuận việc góp vốn, mua cổ phần dưới hình thức đầu tư </w:t>
      </w:r>
      <w:r w:rsidR="008B3289">
        <w:rPr>
          <w:rFonts w:ascii="Times New Roman" w:hAnsi="Times New Roman"/>
          <w:sz w:val="28"/>
          <w:szCs w:val="28"/>
          <w:lang w:val="vi-VN"/>
        </w:rPr>
        <w:t xml:space="preserve">thương mại </w:t>
      </w:r>
      <w:r>
        <w:rPr>
          <w:rFonts w:ascii="Times New Roman" w:hAnsi="Times New Roman"/>
          <w:sz w:val="28"/>
          <w:szCs w:val="28"/>
        </w:rPr>
        <w:t xml:space="preserve">của </w:t>
      </w:r>
      <w:r w:rsidR="008B3289">
        <w:rPr>
          <w:rFonts w:ascii="Times New Roman" w:hAnsi="Times New Roman"/>
          <w:sz w:val="28"/>
          <w:szCs w:val="28"/>
          <w:lang w:val="vi-VN"/>
        </w:rPr>
        <w:t>TCTD</w:t>
      </w:r>
      <w:r>
        <w:rPr>
          <w:rFonts w:ascii="Times New Roman" w:hAnsi="Times New Roman"/>
          <w:sz w:val="28"/>
          <w:szCs w:val="28"/>
        </w:rPr>
        <w:t>.</w:t>
      </w:r>
      <w:proofErr w:type="gramEnd"/>
    </w:p>
    <w:p w:rsidR="00E6692F" w:rsidRDefault="000033DA" w:rsidP="000033DA">
      <w:pPr>
        <w:pStyle w:val="ListParagraph"/>
        <w:ind w:left="0" w:firstLine="720"/>
        <w:contextualSpacing w:val="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Chương </w:t>
      </w:r>
      <w:r w:rsidR="003F2B8C">
        <w:rPr>
          <w:rFonts w:ascii="Times New Roman" w:hAnsi="Times New Roman"/>
          <w:b/>
          <w:sz w:val="28"/>
          <w:szCs w:val="28"/>
        </w:rPr>
        <w:t>I</w:t>
      </w:r>
      <w:r>
        <w:rPr>
          <w:rFonts w:ascii="Times New Roman" w:hAnsi="Times New Roman"/>
          <w:b/>
          <w:sz w:val="28"/>
          <w:szCs w:val="28"/>
        </w:rPr>
        <w:t xml:space="preserve">V – Những thay đổi liên quan đến việc góp vốn, mua cổ phần của </w:t>
      </w:r>
      <w:r w:rsidR="00954D67">
        <w:rPr>
          <w:rFonts w:ascii="Times New Roman" w:hAnsi="Times New Roman"/>
          <w:b/>
          <w:sz w:val="28"/>
          <w:szCs w:val="28"/>
          <w:lang w:val="vi-VN"/>
        </w:rPr>
        <w:t>TCTD</w:t>
      </w:r>
      <w:r>
        <w:rPr>
          <w:rFonts w:ascii="Times New Roman" w:hAnsi="Times New Roman"/>
          <w:b/>
          <w:sz w:val="28"/>
          <w:szCs w:val="28"/>
        </w:rPr>
        <w:t xml:space="preserve"> </w:t>
      </w:r>
      <w:r>
        <w:rPr>
          <w:rFonts w:ascii="Times New Roman" w:hAnsi="Times New Roman"/>
          <w:sz w:val="28"/>
          <w:szCs w:val="28"/>
        </w:rPr>
        <w:t>quy định về những nội dung thay đổi mà</w:t>
      </w:r>
      <w:r>
        <w:rPr>
          <w:rFonts w:ascii="Times New Roman" w:hAnsi="Times New Roman"/>
          <w:b/>
          <w:sz w:val="28"/>
          <w:szCs w:val="28"/>
        </w:rPr>
        <w:t xml:space="preserve"> </w:t>
      </w:r>
      <w:r w:rsidR="00954D67" w:rsidRPr="00954D67">
        <w:rPr>
          <w:rFonts w:ascii="Times New Roman" w:hAnsi="Times New Roman"/>
          <w:sz w:val="28"/>
          <w:szCs w:val="28"/>
          <w:lang w:val="vi-VN"/>
        </w:rPr>
        <w:t>TCTD</w:t>
      </w:r>
      <w:r>
        <w:rPr>
          <w:rFonts w:ascii="Times New Roman" w:hAnsi="Times New Roman"/>
          <w:sz w:val="28"/>
          <w:szCs w:val="28"/>
        </w:rPr>
        <w:t xml:space="preserve"> phải thông báo với Ngân hàng Nhà nước; </w:t>
      </w:r>
    </w:p>
    <w:p w:rsidR="000033DA" w:rsidRDefault="000033DA" w:rsidP="000033DA">
      <w:pPr>
        <w:pStyle w:val="ListParagraph"/>
        <w:ind w:left="0" w:firstLine="720"/>
        <w:contextualSpacing w:val="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Chương V – Tổ chức thực hiện </w:t>
      </w:r>
      <w:r>
        <w:rPr>
          <w:rFonts w:ascii="Times New Roman" w:hAnsi="Times New Roman"/>
          <w:sz w:val="28"/>
          <w:szCs w:val="28"/>
        </w:rPr>
        <w:t xml:space="preserve">quy định về trách nhiệm chung của các </w:t>
      </w:r>
      <w:r w:rsidR="00954D67">
        <w:rPr>
          <w:rFonts w:ascii="Times New Roman" w:hAnsi="Times New Roman"/>
          <w:sz w:val="28"/>
          <w:szCs w:val="28"/>
          <w:lang w:val="vi-VN"/>
        </w:rPr>
        <w:t>TCTD</w:t>
      </w:r>
      <w:r>
        <w:rPr>
          <w:rFonts w:ascii="Times New Roman" w:hAnsi="Times New Roman"/>
          <w:sz w:val="28"/>
          <w:szCs w:val="28"/>
        </w:rPr>
        <w:t xml:space="preserve"> và các đơn vị thuộc Ngân hàng Nhà nước có liên quan đến việc tiếp nhận và xử lý hồ sơ trình Thống đốc chấp thuận việc góp vốn, mua cổ phần của </w:t>
      </w:r>
      <w:r w:rsidR="00954D67">
        <w:rPr>
          <w:rFonts w:ascii="Times New Roman" w:hAnsi="Times New Roman"/>
          <w:sz w:val="28"/>
          <w:szCs w:val="28"/>
          <w:lang w:val="vi-VN"/>
        </w:rPr>
        <w:t>TCTD</w:t>
      </w:r>
      <w:r>
        <w:rPr>
          <w:rFonts w:ascii="Times New Roman" w:hAnsi="Times New Roman"/>
          <w:sz w:val="28"/>
          <w:szCs w:val="28"/>
        </w:rPr>
        <w:t>. Ngoài ra là một số nội dung về tổ chức thực hiện.</w:t>
      </w:r>
    </w:p>
    <w:p w:rsidR="008607D3" w:rsidRPr="00362F50" w:rsidRDefault="005509ED" w:rsidP="004B600F">
      <w:pPr>
        <w:pStyle w:val="ListParagraph"/>
        <w:ind w:left="0" w:firstLine="720"/>
        <w:contextualSpacing w:val="0"/>
        <w:jc w:val="both"/>
        <w:rPr>
          <w:rFonts w:ascii="Times New Roman" w:hAnsi="Times New Roman"/>
          <w:sz w:val="28"/>
          <w:szCs w:val="28"/>
        </w:rPr>
      </w:pPr>
      <w:r>
        <w:rPr>
          <w:rFonts w:ascii="Times New Roman" w:hAnsi="Times New Roman"/>
          <w:sz w:val="28"/>
          <w:szCs w:val="28"/>
        </w:rPr>
        <w:t>Ng</w:t>
      </w:r>
      <w:r w:rsidR="00043321">
        <w:rPr>
          <w:rFonts w:ascii="Times New Roman" w:hAnsi="Times New Roman"/>
          <w:sz w:val="28"/>
          <w:szCs w:val="28"/>
        </w:rPr>
        <w:t>oài các quy định</w:t>
      </w:r>
      <w:r>
        <w:rPr>
          <w:rFonts w:ascii="Times New Roman" w:hAnsi="Times New Roman"/>
          <w:sz w:val="28"/>
          <w:szCs w:val="28"/>
        </w:rPr>
        <w:t xml:space="preserve"> trên, dự thảo còn </w:t>
      </w:r>
      <w:r w:rsidR="006118BD">
        <w:rPr>
          <w:rFonts w:ascii="Times New Roman" w:hAnsi="Times New Roman"/>
          <w:sz w:val="28"/>
          <w:szCs w:val="28"/>
        </w:rPr>
        <w:t xml:space="preserve">đưa ra </w:t>
      </w:r>
      <w:r w:rsidR="002E45A8">
        <w:rPr>
          <w:rFonts w:ascii="Times New Roman" w:hAnsi="Times New Roman"/>
          <w:sz w:val="28"/>
          <w:szCs w:val="28"/>
        </w:rPr>
        <w:t>M</w:t>
      </w:r>
      <w:r w:rsidR="006118BD">
        <w:rPr>
          <w:rFonts w:ascii="Times New Roman" w:hAnsi="Times New Roman"/>
          <w:sz w:val="28"/>
          <w:szCs w:val="28"/>
        </w:rPr>
        <w:t xml:space="preserve">ẫu đơn </w:t>
      </w:r>
      <w:r w:rsidR="00E9368D">
        <w:rPr>
          <w:rFonts w:ascii="Times New Roman" w:hAnsi="Times New Roman"/>
          <w:sz w:val="28"/>
          <w:szCs w:val="28"/>
        </w:rPr>
        <w:t xml:space="preserve">khi </w:t>
      </w:r>
      <w:r w:rsidR="007C0FEE">
        <w:rPr>
          <w:rFonts w:ascii="Times New Roman" w:hAnsi="Times New Roman"/>
          <w:sz w:val="28"/>
          <w:szCs w:val="28"/>
        </w:rPr>
        <w:t xml:space="preserve">TCTD </w:t>
      </w:r>
      <w:r w:rsidR="006118BD">
        <w:rPr>
          <w:rFonts w:ascii="Times New Roman" w:hAnsi="Times New Roman"/>
          <w:sz w:val="28"/>
          <w:szCs w:val="28"/>
        </w:rPr>
        <w:t xml:space="preserve">đề nghị Thống đốc xem xét chấp thuận việc góp vốn, mua cổ phần </w:t>
      </w:r>
      <w:r w:rsidR="007C0FEE">
        <w:rPr>
          <w:rFonts w:ascii="Times New Roman" w:hAnsi="Times New Roman"/>
          <w:sz w:val="28"/>
          <w:szCs w:val="28"/>
        </w:rPr>
        <w:t xml:space="preserve">để thành lập, mua lại công ty con, công ty liên kết, thực hiện đầu tư danh mục vốn. Mẫu đơn này đưa ra </w:t>
      </w:r>
      <w:r w:rsidR="001A731A">
        <w:rPr>
          <w:rFonts w:ascii="Times New Roman" w:hAnsi="Times New Roman"/>
          <w:sz w:val="28"/>
          <w:szCs w:val="28"/>
        </w:rPr>
        <w:t>những nội dung tối thiểu</w:t>
      </w:r>
      <w:r w:rsidR="007C0FEE">
        <w:rPr>
          <w:rFonts w:ascii="Times New Roman" w:hAnsi="Times New Roman"/>
          <w:sz w:val="28"/>
          <w:szCs w:val="28"/>
        </w:rPr>
        <w:t xml:space="preserve"> cần</w:t>
      </w:r>
      <w:r w:rsidR="001A731A">
        <w:rPr>
          <w:rFonts w:ascii="Times New Roman" w:hAnsi="Times New Roman"/>
          <w:sz w:val="28"/>
          <w:szCs w:val="28"/>
        </w:rPr>
        <w:t xml:space="preserve"> phải có</w:t>
      </w:r>
      <w:r w:rsidR="009745AA">
        <w:rPr>
          <w:rFonts w:ascii="Times New Roman" w:hAnsi="Times New Roman"/>
          <w:sz w:val="28"/>
          <w:szCs w:val="28"/>
        </w:rPr>
        <w:t xml:space="preserve"> để các </w:t>
      </w:r>
      <w:r w:rsidR="00954D67">
        <w:rPr>
          <w:rFonts w:ascii="Times New Roman" w:hAnsi="Times New Roman"/>
          <w:sz w:val="28"/>
          <w:szCs w:val="28"/>
          <w:lang w:val="vi-VN"/>
        </w:rPr>
        <w:t>TCTD</w:t>
      </w:r>
      <w:r w:rsidR="009745AA">
        <w:rPr>
          <w:rFonts w:ascii="Times New Roman" w:hAnsi="Times New Roman"/>
          <w:sz w:val="28"/>
          <w:szCs w:val="28"/>
        </w:rPr>
        <w:t xml:space="preserve"> có thể áp dụng một cách thống nhất, </w:t>
      </w:r>
      <w:r w:rsidR="007C0FEE">
        <w:rPr>
          <w:rFonts w:ascii="Times New Roman" w:hAnsi="Times New Roman"/>
          <w:sz w:val="28"/>
          <w:szCs w:val="28"/>
        </w:rPr>
        <w:t xml:space="preserve">qua đó </w:t>
      </w:r>
      <w:r w:rsidR="009745AA">
        <w:rPr>
          <w:rFonts w:ascii="Times New Roman" w:hAnsi="Times New Roman"/>
          <w:sz w:val="28"/>
          <w:szCs w:val="28"/>
        </w:rPr>
        <w:t>dễ thực hiện</w:t>
      </w:r>
      <w:r w:rsidR="00E9368D">
        <w:rPr>
          <w:rFonts w:ascii="Times New Roman" w:hAnsi="Times New Roman"/>
          <w:sz w:val="28"/>
          <w:szCs w:val="28"/>
        </w:rPr>
        <w:t xml:space="preserve">, dễ </w:t>
      </w:r>
      <w:r w:rsidR="007C0FEE">
        <w:rPr>
          <w:rFonts w:ascii="Times New Roman" w:hAnsi="Times New Roman"/>
          <w:sz w:val="28"/>
          <w:szCs w:val="28"/>
        </w:rPr>
        <w:t>theo dõi</w:t>
      </w:r>
      <w:r w:rsidR="00ED14BA">
        <w:rPr>
          <w:rFonts w:ascii="Times New Roman" w:hAnsi="Times New Roman"/>
          <w:sz w:val="28"/>
          <w:szCs w:val="28"/>
        </w:rPr>
        <w:t xml:space="preserve">; </w:t>
      </w:r>
      <w:r w:rsidR="000451D1">
        <w:rPr>
          <w:rFonts w:ascii="Times New Roman" w:hAnsi="Times New Roman"/>
          <w:sz w:val="28"/>
          <w:szCs w:val="28"/>
        </w:rPr>
        <w:t xml:space="preserve">đồng thời </w:t>
      </w:r>
      <w:r w:rsidR="000451D1" w:rsidRPr="000451D1">
        <w:rPr>
          <w:rFonts w:ascii="Times New Roman" w:hAnsi="Times New Roman"/>
          <w:sz w:val="28"/>
          <w:szCs w:val="28"/>
        </w:rPr>
        <w:t xml:space="preserve">quy định </w:t>
      </w:r>
      <w:r w:rsidR="000451D1">
        <w:rPr>
          <w:rFonts w:ascii="Times New Roman" w:hAnsi="Times New Roman"/>
          <w:sz w:val="28"/>
          <w:szCs w:val="28"/>
        </w:rPr>
        <w:t xml:space="preserve">việc </w:t>
      </w:r>
      <w:r w:rsidR="00ED14BA">
        <w:rPr>
          <w:rFonts w:ascii="Times New Roman" w:hAnsi="Times New Roman"/>
          <w:sz w:val="28"/>
          <w:szCs w:val="28"/>
        </w:rPr>
        <w:t xml:space="preserve">Tổng Giám đốc/Giám đốc công ty con của </w:t>
      </w:r>
      <w:r w:rsidR="000F0BE0">
        <w:rPr>
          <w:rFonts w:ascii="Times New Roman" w:hAnsi="Times New Roman"/>
          <w:sz w:val="28"/>
          <w:szCs w:val="28"/>
          <w:lang w:val="vi-VN"/>
        </w:rPr>
        <w:t>TCTD</w:t>
      </w:r>
      <w:r w:rsidR="007C0FEE">
        <w:rPr>
          <w:rFonts w:ascii="Times New Roman" w:hAnsi="Times New Roman"/>
          <w:sz w:val="28"/>
          <w:szCs w:val="28"/>
          <w:lang w:val="en-GB"/>
        </w:rPr>
        <w:t xml:space="preserve"> </w:t>
      </w:r>
      <w:r w:rsidR="000451D1">
        <w:rPr>
          <w:rFonts w:ascii="Times New Roman" w:hAnsi="Times New Roman"/>
          <w:sz w:val="28"/>
          <w:szCs w:val="28"/>
          <w:lang w:val="en-GB"/>
        </w:rPr>
        <w:t xml:space="preserve">phải </w:t>
      </w:r>
      <w:r w:rsidR="00E9368D">
        <w:rPr>
          <w:rFonts w:ascii="Times New Roman" w:hAnsi="Times New Roman"/>
          <w:sz w:val="28"/>
          <w:szCs w:val="28"/>
          <w:lang w:val="en-GB"/>
        </w:rPr>
        <w:t xml:space="preserve">có </w:t>
      </w:r>
      <w:r w:rsidR="007C0FEE">
        <w:rPr>
          <w:rFonts w:ascii="Times New Roman" w:hAnsi="Times New Roman"/>
          <w:sz w:val="28"/>
          <w:szCs w:val="28"/>
        </w:rPr>
        <w:t>cam kết việc</w:t>
      </w:r>
      <w:r w:rsidR="00ED14BA">
        <w:rPr>
          <w:rFonts w:ascii="Times New Roman" w:hAnsi="Times New Roman"/>
          <w:sz w:val="28"/>
          <w:szCs w:val="28"/>
        </w:rPr>
        <w:t xml:space="preserve"> đáp ứng các tiêu chuẩn, điều kiện theo quy định của Luật </w:t>
      </w:r>
      <w:r w:rsidR="007C0FEE">
        <w:rPr>
          <w:rFonts w:ascii="Times New Roman" w:hAnsi="Times New Roman"/>
          <w:sz w:val="28"/>
          <w:szCs w:val="28"/>
        </w:rPr>
        <w:t>C</w:t>
      </w:r>
      <w:r w:rsidR="00954D67">
        <w:rPr>
          <w:rFonts w:ascii="Times New Roman" w:hAnsi="Times New Roman"/>
          <w:sz w:val="28"/>
          <w:szCs w:val="28"/>
          <w:lang w:val="vi-VN"/>
        </w:rPr>
        <w:t>ác TCTD</w:t>
      </w:r>
      <w:r w:rsidR="007C0FEE">
        <w:rPr>
          <w:rFonts w:ascii="Times New Roman" w:hAnsi="Times New Roman"/>
          <w:sz w:val="28"/>
          <w:szCs w:val="28"/>
          <w:lang w:val="en-GB"/>
        </w:rPr>
        <w:t xml:space="preserve"> </w:t>
      </w:r>
      <w:r w:rsidR="000451D1">
        <w:rPr>
          <w:rFonts w:ascii="Times New Roman" w:hAnsi="Times New Roman"/>
          <w:sz w:val="28"/>
          <w:szCs w:val="28"/>
          <w:lang w:val="en-GB"/>
        </w:rPr>
        <w:t>khi</w:t>
      </w:r>
      <w:r w:rsidR="007C0FEE">
        <w:rPr>
          <w:rFonts w:ascii="Times New Roman" w:hAnsi="Times New Roman"/>
          <w:sz w:val="28"/>
          <w:szCs w:val="28"/>
          <w:lang w:val="en-GB"/>
        </w:rPr>
        <w:t xml:space="preserve"> đảm nhận chức danh này</w:t>
      </w:r>
      <w:r w:rsidR="00ED14BA">
        <w:rPr>
          <w:rFonts w:ascii="Times New Roman" w:hAnsi="Times New Roman"/>
          <w:sz w:val="28"/>
          <w:szCs w:val="28"/>
        </w:rPr>
        <w:t xml:space="preserve">. </w:t>
      </w:r>
    </w:p>
    <w:p w:rsidR="00BB0D39" w:rsidRDefault="00362F50" w:rsidP="00627BEF">
      <w:pPr>
        <w:pStyle w:val="ListParagraph"/>
        <w:numPr>
          <w:ilvl w:val="0"/>
          <w:numId w:val="15"/>
        </w:numPr>
        <w:tabs>
          <w:tab w:val="left" w:pos="360"/>
        </w:tabs>
        <w:contextualSpacing w:val="0"/>
        <w:rPr>
          <w:rFonts w:ascii="Times New Roman" w:hAnsi="Times New Roman"/>
          <w:b/>
          <w:sz w:val="28"/>
          <w:szCs w:val="28"/>
        </w:rPr>
      </w:pPr>
      <w:r>
        <w:rPr>
          <w:rFonts w:ascii="Times New Roman" w:hAnsi="Times New Roman"/>
          <w:b/>
          <w:sz w:val="28"/>
          <w:szCs w:val="28"/>
        </w:rPr>
        <w:t xml:space="preserve">CÁC </w:t>
      </w:r>
      <w:r w:rsidR="00BA4A5E">
        <w:rPr>
          <w:rFonts w:ascii="Times New Roman" w:hAnsi="Times New Roman"/>
          <w:b/>
          <w:sz w:val="28"/>
          <w:szCs w:val="28"/>
        </w:rPr>
        <w:t>NỘI DUNG CHÍNH CỦA DỰ THẢO</w:t>
      </w:r>
    </w:p>
    <w:p w:rsidR="006B0ABE" w:rsidRPr="00627BEF" w:rsidRDefault="00903493" w:rsidP="00627BEF">
      <w:pPr>
        <w:pStyle w:val="ListParagraph"/>
        <w:numPr>
          <w:ilvl w:val="0"/>
          <w:numId w:val="16"/>
        </w:numPr>
        <w:contextualSpacing w:val="0"/>
        <w:jc w:val="both"/>
        <w:rPr>
          <w:rFonts w:ascii="Times New Roman" w:hAnsi="Times New Roman"/>
          <w:b/>
          <w:sz w:val="28"/>
          <w:szCs w:val="28"/>
        </w:rPr>
      </w:pPr>
      <w:r w:rsidRPr="00627BEF">
        <w:rPr>
          <w:rFonts w:ascii="Times New Roman" w:hAnsi="Times New Roman"/>
          <w:b/>
          <w:sz w:val="28"/>
          <w:szCs w:val="28"/>
        </w:rPr>
        <w:t xml:space="preserve">Tên gọi và phạm vi điều chỉnh của </w:t>
      </w:r>
      <w:r w:rsidR="001B12BE" w:rsidRPr="00627BEF">
        <w:rPr>
          <w:rFonts w:ascii="Times New Roman" w:hAnsi="Times New Roman"/>
          <w:b/>
          <w:sz w:val="28"/>
          <w:szCs w:val="28"/>
        </w:rPr>
        <w:t>dự thảo</w:t>
      </w:r>
    </w:p>
    <w:p w:rsidR="00265C99" w:rsidRDefault="006B0ABE" w:rsidP="006B0ABE">
      <w:pPr>
        <w:pStyle w:val="ListParagraph"/>
        <w:ind w:left="0" w:firstLine="720"/>
        <w:contextualSpacing w:val="0"/>
        <w:jc w:val="both"/>
        <w:rPr>
          <w:rFonts w:ascii="Times New Roman" w:hAnsi="Times New Roman"/>
          <w:sz w:val="28"/>
          <w:szCs w:val="28"/>
        </w:rPr>
      </w:pPr>
      <w:proofErr w:type="gramStart"/>
      <w:r>
        <w:rPr>
          <w:rFonts w:ascii="Times New Roman" w:hAnsi="Times New Roman"/>
          <w:sz w:val="28"/>
          <w:szCs w:val="28"/>
        </w:rPr>
        <w:t xml:space="preserve">Luật </w:t>
      </w:r>
      <w:r w:rsidR="00B52C1B">
        <w:rPr>
          <w:rFonts w:ascii="Times New Roman" w:hAnsi="Times New Roman"/>
          <w:sz w:val="28"/>
          <w:szCs w:val="28"/>
        </w:rPr>
        <w:t>C</w:t>
      </w:r>
      <w:r w:rsidR="00DD2E67">
        <w:rPr>
          <w:rFonts w:ascii="Times New Roman" w:hAnsi="Times New Roman"/>
          <w:sz w:val="28"/>
          <w:szCs w:val="28"/>
          <w:lang w:val="vi-VN"/>
        </w:rPr>
        <w:t>ác TCTD</w:t>
      </w:r>
      <w:r>
        <w:rPr>
          <w:rFonts w:ascii="Times New Roman" w:hAnsi="Times New Roman"/>
          <w:sz w:val="28"/>
          <w:szCs w:val="28"/>
        </w:rPr>
        <w:t xml:space="preserve"> chỉ quy định về việc góp vốn, mua cổ phần của </w:t>
      </w:r>
      <w:r w:rsidR="00DD2E67">
        <w:rPr>
          <w:rFonts w:ascii="Times New Roman" w:hAnsi="Times New Roman"/>
          <w:sz w:val="28"/>
          <w:szCs w:val="28"/>
          <w:lang w:val="vi-VN"/>
        </w:rPr>
        <w:t>NHTM</w:t>
      </w:r>
      <w:r>
        <w:rPr>
          <w:rFonts w:ascii="Times New Roman" w:hAnsi="Times New Roman"/>
          <w:sz w:val="28"/>
          <w:szCs w:val="28"/>
        </w:rPr>
        <w:t xml:space="preserve"> </w:t>
      </w:r>
      <w:r w:rsidRPr="00F8204A">
        <w:rPr>
          <w:rFonts w:ascii="Times New Roman" w:hAnsi="Times New Roman"/>
          <w:sz w:val="28"/>
          <w:szCs w:val="28"/>
        </w:rPr>
        <w:t>(Điều 103), công ty tài chính (Đi</w:t>
      </w:r>
      <w:r w:rsidR="000033DA" w:rsidRPr="00F8204A">
        <w:rPr>
          <w:rFonts w:ascii="Times New Roman" w:hAnsi="Times New Roman"/>
          <w:sz w:val="28"/>
          <w:szCs w:val="28"/>
        </w:rPr>
        <w:t>ề</w:t>
      </w:r>
      <w:r w:rsidRPr="00F8204A">
        <w:rPr>
          <w:rFonts w:ascii="Times New Roman" w:hAnsi="Times New Roman"/>
          <w:sz w:val="28"/>
          <w:szCs w:val="28"/>
        </w:rPr>
        <w:t>u 110), và công ty cho thuê tài chính (Điều 115)</w:t>
      </w:r>
      <w:r w:rsidRPr="00F8204A">
        <w:rPr>
          <w:rStyle w:val="FootnoteReference"/>
          <w:rFonts w:ascii="Times New Roman" w:hAnsi="Times New Roman"/>
          <w:sz w:val="28"/>
          <w:szCs w:val="28"/>
        </w:rPr>
        <w:footnoteReference w:id="2"/>
      </w:r>
      <w:r w:rsidRPr="00F8204A">
        <w:rPr>
          <w:rFonts w:ascii="Times New Roman" w:hAnsi="Times New Roman"/>
          <w:sz w:val="28"/>
          <w:szCs w:val="28"/>
        </w:rPr>
        <w:t>.</w:t>
      </w:r>
      <w:proofErr w:type="gramEnd"/>
      <w:r w:rsidR="00F8204A">
        <w:rPr>
          <w:rFonts w:ascii="Times New Roman" w:hAnsi="Times New Roman"/>
          <w:sz w:val="28"/>
          <w:szCs w:val="28"/>
        </w:rPr>
        <w:t xml:space="preserve"> Tuy nhiên, đối với công ty cho thuê tài chính, Luật Các TCTD quy định loại hình công ty này không được góp vốn, mua cổ phần để thành lập, mua lại công ty con, công ty liên kết dưới mọi hình thức.</w:t>
      </w:r>
      <w:r>
        <w:rPr>
          <w:rFonts w:ascii="Times New Roman" w:hAnsi="Times New Roman"/>
          <w:sz w:val="28"/>
          <w:szCs w:val="28"/>
        </w:rPr>
        <w:t xml:space="preserve"> </w:t>
      </w:r>
      <w:r w:rsidR="00857958">
        <w:rPr>
          <w:rFonts w:ascii="Times New Roman" w:hAnsi="Times New Roman"/>
          <w:sz w:val="28"/>
          <w:szCs w:val="28"/>
        </w:rPr>
        <w:t xml:space="preserve">Do vậy, </w:t>
      </w:r>
      <w:r w:rsidR="00FB3CD8">
        <w:rPr>
          <w:rFonts w:ascii="Times New Roman" w:hAnsi="Times New Roman"/>
          <w:sz w:val="28"/>
          <w:szCs w:val="28"/>
        </w:rPr>
        <w:t xml:space="preserve">phạm </w:t>
      </w:r>
      <w:proofErr w:type="gramStart"/>
      <w:r w:rsidR="00FB3CD8">
        <w:rPr>
          <w:rFonts w:ascii="Times New Roman" w:hAnsi="Times New Roman"/>
          <w:sz w:val="28"/>
          <w:szCs w:val="28"/>
        </w:rPr>
        <w:t>vi</w:t>
      </w:r>
      <w:proofErr w:type="gramEnd"/>
      <w:r w:rsidR="00FB3CD8">
        <w:rPr>
          <w:rFonts w:ascii="Times New Roman" w:hAnsi="Times New Roman"/>
          <w:sz w:val="28"/>
          <w:szCs w:val="28"/>
        </w:rPr>
        <w:t xml:space="preserve"> điều chỉnh của </w:t>
      </w:r>
      <w:r w:rsidR="00857958">
        <w:rPr>
          <w:rFonts w:ascii="Times New Roman" w:hAnsi="Times New Roman"/>
          <w:sz w:val="28"/>
          <w:szCs w:val="28"/>
        </w:rPr>
        <w:t xml:space="preserve">Thông tư </w:t>
      </w:r>
      <w:r w:rsidR="00FB3CD8">
        <w:rPr>
          <w:rFonts w:ascii="Times New Roman" w:hAnsi="Times New Roman"/>
          <w:sz w:val="28"/>
          <w:szCs w:val="28"/>
        </w:rPr>
        <w:t>dự kiến nhằm</w:t>
      </w:r>
      <w:r w:rsidR="00265C99">
        <w:rPr>
          <w:rFonts w:ascii="Times New Roman" w:hAnsi="Times New Roman"/>
          <w:sz w:val="28"/>
          <w:szCs w:val="28"/>
        </w:rPr>
        <w:t>:</w:t>
      </w:r>
    </w:p>
    <w:p w:rsidR="00265C99" w:rsidRDefault="00265C99" w:rsidP="006B0ABE">
      <w:pPr>
        <w:pStyle w:val="ListParagraph"/>
        <w:ind w:left="0" w:firstLine="720"/>
        <w:contextualSpacing w:val="0"/>
        <w:jc w:val="both"/>
        <w:rPr>
          <w:rFonts w:ascii="Times New Roman" w:hAnsi="Times New Roman"/>
          <w:sz w:val="28"/>
          <w:szCs w:val="28"/>
        </w:rPr>
      </w:pPr>
      <w:r>
        <w:rPr>
          <w:rFonts w:ascii="Times New Roman" w:hAnsi="Times New Roman"/>
          <w:sz w:val="28"/>
          <w:szCs w:val="28"/>
        </w:rPr>
        <w:t xml:space="preserve">- Điều chỉnh việc góp vốn, mua cổ phần của </w:t>
      </w:r>
      <w:r w:rsidR="00DD2E67" w:rsidRPr="009E484D">
        <w:rPr>
          <w:rFonts w:ascii="Times New Roman" w:hAnsi="Times New Roman"/>
          <w:b/>
          <w:sz w:val="28"/>
          <w:szCs w:val="28"/>
          <w:lang w:val="vi-VN"/>
        </w:rPr>
        <w:t>NHTM</w:t>
      </w:r>
      <w:r w:rsidRPr="009E484D">
        <w:rPr>
          <w:rFonts w:ascii="Times New Roman" w:hAnsi="Times New Roman"/>
          <w:b/>
          <w:sz w:val="28"/>
          <w:szCs w:val="28"/>
        </w:rPr>
        <w:t>, công ty tài chính</w:t>
      </w:r>
      <w:r>
        <w:rPr>
          <w:rFonts w:ascii="Times New Roman" w:hAnsi="Times New Roman"/>
          <w:sz w:val="28"/>
          <w:szCs w:val="28"/>
        </w:rPr>
        <w:t xml:space="preserve">, </w:t>
      </w:r>
      <w:r w:rsidRPr="00913E6F">
        <w:rPr>
          <w:rFonts w:ascii="Times New Roman" w:hAnsi="Times New Roman"/>
          <w:sz w:val="28"/>
          <w:szCs w:val="28"/>
        </w:rPr>
        <w:t xml:space="preserve">phải được sự chấp thuận trước bằng văn bản của Ngân hàng Nhà nước </w:t>
      </w:r>
      <w:proofErr w:type="gramStart"/>
      <w:r w:rsidRPr="00913E6F">
        <w:rPr>
          <w:rFonts w:ascii="Times New Roman" w:hAnsi="Times New Roman"/>
          <w:sz w:val="28"/>
          <w:szCs w:val="28"/>
        </w:rPr>
        <w:t>theo</w:t>
      </w:r>
      <w:proofErr w:type="gramEnd"/>
      <w:r w:rsidRPr="00913E6F">
        <w:rPr>
          <w:rFonts w:ascii="Times New Roman" w:hAnsi="Times New Roman"/>
          <w:sz w:val="28"/>
          <w:szCs w:val="28"/>
        </w:rPr>
        <w:t xml:space="preserve"> quy định của Luật </w:t>
      </w:r>
      <w:r w:rsidR="00B52C1B">
        <w:rPr>
          <w:rFonts w:ascii="Times New Roman" w:hAnsi="Times New Roman"/>
          <w:sz w:val="28"/>
          <w:szCs w:val="28"/>
        </w:rPr>
        <w:t>C</w:t>
      </w:r>
      <w:r w:rsidR="00DD2E67">
        <w:rPr>
          <w:rFonts w:ascii="Times New Roman" w:hAnsi="Times New Roman"/>
          <w:sz w:val="28"/>
          <w:szCs w:val="28"/>
          <w:lang w:val="vi-VN"/>
        </w:rPr>
        <w:t>ác TCTD;</w:t>
      </w:r>
      <w:r>
        <w:rPr>
          <w:rFonts w:ascii="Times New Roman" w:hAnsi="Times New Roman"/>
          <w:sz w:val="28"/>
          <w:szCs w:val="28"/>
        </w:rPr>
        <w:t xml:space="preserve"> và</w:t>
      </w:r>
    </w:p>
    <w:p w:rsidR="006B0ABE" w:rsidRDefault="00265C99" w:rsidP="006B0ABE">
      <w:pPr>
        <w:pStyle w:val="ListParagraph"/>
        <w:ind w:left="0" w:firstLine="720"/>
        <w:contextualSpacing w:val="0"/>
        <w:jc w:val="both"/>
        <w:rPr>
          <w:rFonts w:ascii="Times New Roman" w:hAnsi="Times New Roman"/>
          <w:sz w:val="28"/>
          <w:szCs w:val="28"/>
        </w:rPr>
      </w:pPr>
      <w:r>
        <w:rPr>
          <w:rFonts w:ascii="Times New Roman" w:hAnsi="Times New Roman"/>
          <w:sz w:val="28"/>
          <w:szCs w:val="28"/>
        </w:rPr>
        <w:t>- K</w:t>
      </w:r>
      <w:r w:rsidR="00857958">
        <w:rPr>
          <w:rFonts w:ascii="Times New Roman" w:hAnsi="Times New Roman"/>
          <w:sz w:val="28"/>
          <w:szCs w:val="28"/>
        </w:rPr>
        <w:t>hông điều chỉnh v</w:t>
      </w:r>
      <w:r w:rsidR="006B0ABE">
        <w:rPr>
          <w:rFonts w:ascii="Times New Roman" w:hAnsi="Times New Roman"/>
          <w:sz w:val="28"/>
          <w:szCs w:val="28"/>
        </w:rPr>
        <w:t xml:space="preserve">iệc góp vốn, mua cổ phần </w:t>
      </w:r>
      <w:r w:rsidR="000F0BE0">
        <w:rPr>
          <w:rFonts w:ascii="Times New Roman" w:hAnsi="Times New Roman"/>
          <w:sz w:val="28"/>
          <w:szCs w:val="28"/>
          <w:lang w:val="vi-VN"/>
        </w:rPr>
        <w:t>của các</w:t>
      </w:r>
      <w:r w:rsidR="006B0ABE">
        <w:rPr>
          <w:rFonts w:ascii="Times New Roman" w:hAnsi="Times New Roman"/>
          <w:sz w:val="28"/>
          <w:szCs w:val="28"/>
        </w:rPr>
        <w:t xml:space="preserve"> </w:t>
      </w:r>
      <w:r w:rsidR="00D85C72">
        <w:rPr>
          <w:rFonts w:ascii="Times New Roman" w:hAnsi="Times New Roman"/>
          <w:sz w:val="28"/>
          <w:szCs w:val="28"/>
        </w:rPr>
        <w:t xml:space="preserve">loại hình </w:t>
      </w:r>
      <w:r w:rsidR="00DD2E67">
        <w:rPr>
          <w:rFonts w:ascii="Times New Roman" w:hAnsi="Times New Roman"/>
          <w:sz w:val="28"/>
          <w:szCs w:val="28"/>
          <w:lang w:val="vi-VN"/>
        </w:rPr>
        <w:t>TCTD</w:t>
      </w:r>
      <w:r w:rsidR="006B0ABE">
        <w:rPr>
          <w:rFonts w:ascii="Times New Roman" w:hAnsi="Times New Roman"/>
          <w:sz w:val="28"/>
          <w:szCs w:val="28"/>
        </w:rPr>
        <w:t xml:space="preserve"> khác</w:t>
      </w:r>
      <w:r w:rsidR="00351A36">
        <w:rPr>
          <w:rFonts w:ascii="Times New Roman" w:hAnsi="Times New Roman"/>
          <w:sz w:val="28"/>
          <w:szCs w:val="28"/>
        </w:rPr>
        <w:t xml:space="preserve"> ngoài các đối tượng nêu trên</w:t>
      </w:r>
      <w:r w:rsidR="00043701">
        <w:rPr>
          <w:rFonts w:ascii="Times New Roman" w:hAnsi="Times New Roman"/>
          <w:sz w:val="28"/>
          <w:szCs w:val="28"/>
        </w:rPr>
        <w:t xml:space="preserve"> (do</w:t>
      </w:r>
      <w:r w:rsidR="00043701" w:rsidRPr="00043701">
        <w:rPr>
          <w:rFonts w:ascii="Times New Roman" w:hAnsi="Times New Roman"/>
          <w:sz w:val="28"/>
          <w:szCs w:val="28"/>
        </w:rPr>
        <w:t xml:space="preserve"> </w:t>
      </w:r>
      <w:r w:rsidR="00043701" w:rsidRPr="00913E6F">
        <w:rPr>
          <w:rFonts w:ascii="Times New Roman" w:hAnsi="Times New Roman"/>
          <w:sz w:val="28"/>
          <w:szCs w:val="28"/>
        </w:rPr>
        <w:t xml:space="preserve">Luật </w:t>
      </w:r>
      <w:r w:rsidR="00874E26">
        <w:rPr>
          <w:rFonts w:ascii="Times New Roman" w:hAnsi="Times New Roman"/>
          <w:sz w:val="28"/>
          <w:szCs w:val="28"/>
          <w:lang w:val="vi-VN"/>
        </w:rPr>
        <w:t>các TCTD</w:t>
      </w:r>
      <w:r w:rsidR="00043701">
        <w:rPr>
          <w:rFonts w:ascii="Times New Roman" w:hAnsi="Times New Roman"/>
          <w:sz w:val="28"/>
          <w:szCs w:val="28"/>
        </w:rPr>
        <w:t xml:space="preserve"> không quy định)</w:t>
      </w:r>
      <w:r w:rsidR="00351A36">
        <w:rPr>
          <w:rFonts w:ascii="Times New Roman" w:hAnsi="Times New Roman"/>
          <w:sz w:val="28"/>
          <w:szCs w:val="28"/>
        </w:rPr>
        <w:t>.</w:t>
      </w:r>
    </w:p>
    <w:p w:rsidR="003C0691" w:rsidRPr="003C0691" w:rsidRDefault="00913E6F" w:rsidP="003C0691">
      <w:pPr>
        <w:pStyle w:val="ListParagraph"/>
        <w:ind w:left="0" w:firstLine="720"/>
        <w:contextualSpacing w:val="0"/>
        <w:jc w:val="both"/>
        <w:rPr>
          <w:rFonts w:ascii="Times New Roman" w:hAnsi="Times New Roman"/>
          <w:sz w:val="28"/>
          <w:szCs w:val="28"/>
        </w:rPr>
      </w:pPr>
      <w:r>
        <w:rPr>
          <w:rFonts w:ascii="Times New Roman" w:hAnsi="Times New Roman"/>
          <w:sz w:val="28"/>
          <w:szCs w:val="28"/>
        </w:rPr>
        <w:t xml:space="preserve">Để đảm bảo tính hệ thống nhưng vẫn bám </w:t>
      </w:r>
      <w:r w:rsidR="00265C99">
        <w:rPr>
          <w:rFonts w:ascii="Times New Roman" w:hAnsi="Times New Roman"/>
          <w:sz w:val="28"/>
          <w:szCs w:val="28"/>
        </w:rPr>
        <w:t xml:space="preserve">sát </w:t>
      </w:r>
      <w:r>
        <w:rPr>
          <w:rFonts w:ascii="Times New Roman" w:hAnsi="Times New Roman"/>
          <w:sz w:val="28"/>
          <w:szCs w:val="28"/>
        </w:rPr>
        <w:t xml:space="preserve">các quy định cụ thể của Luật </w:t>
      </w:r>
      <w:r w:rsidR="002219AA" w:rsidRPr="0035088B">
        <w:rPr>
          <w:rFonts w:ascii="Times New Roman" w:hAnsi="Times New Roman"/>
          <w:sz w:val="28"/>
          <w:szCs w:val="28"/>
        </w:rPr>
        <w:t>c</w:t>
      </w:r>
      <w:r>
        <w:rPr>
          <w:rFonts w:ascii="Times New Roman" w:hAnsi="Times New Roman"/>
          <w:sz w:val="28"/>
          <w:szCs w:val="28"/>
        </w:rPr>
        <w:t xml:space="preserve">ác </w:t>
      </w:r>
      <w:r w:rsidR="002219AA" w:rsidRPr="0035088B">
        <w:rPr>
          <w:rFonts w:ascii="Times New Roman" w:hAnsi="Times New Roman"/>
          <w:sz w:val="28"/>
          <w:szCs w:val="28"/>
        </w:rPr>
        <w:t>TCTD</w:t>
      </w:r>
      <w:r>
        <w:rPr>
          <w:rFonts w:ascii="Times New Roman" w:hAnsi="Times New Roman"/>
          <w:sz w:val="28"/>
          <w:szCs w:val="28"/>
        </w:rPr>
        <w:t xml:space="preserve">, dự thảo đã </w:t>
      </w:r>
      <w:r w:rsidR="00265C99">
        <w:rPr>
          <w:rFonts w:ascii="Times New Roman" w:hAnsi="Times New Roman"/>
          <w:sz w:val="28"/>
          <w:szCs w:val="28"/>
        </w:rPr>
        <w:t xml:space="preserve">sử dụng </w:t>
      </w:r>
      <w:r>
        <w:rPr>
          <w:rFonts w:ascii="Times New Roman" w:hAnsi="Times New Roman"/>
          <w:sz w:val="28"/>
          <w:szCs w:val="28"/>
        </w:rPr>
        <w:t xml:space="preserve">tên là </w:t>
      </w:r>
      <w:r w:rsidR="006B0ABE" w:rsidRPr="009540F7">
        <w:rPr>
          <w:rFonts w:ascii="Times New Roman" w:hAnsi="Times New Roman"/>
          <w:i/>
          <w:sz w:val="28"/>
          <w:szCs w:val="28"/>
        </w:rPr>
        <w:t>Thông tư hướng dẫn điều kiện, hồ sơ</w:t>
      </w:r>
      <w:r w:rsidR="00C636D7" w:rsidRPr="009540F7">
        <w:rPr>
          <w:rFonts w:ascii="Times New Roman" w:hAnsi="Times New Roman"/>
          <w:i/>
          <w:sz w:val="28"/>
          <w:szCs w:val="28"/>
        </w:rPr>
        <w:t>,</w:t>
      </w:r>
      <w:r w:rsidR="006B0ABE" w:rsidRPr="009540F7">
        <w:rPr>
          <w:rFonts w:ascii="Times New Roman" w:hAnsi="Times New Roman"/>
          <w:i/>
          <w:sz w:val="28"/>
          <w:szCs w:val="28"/>
        </w:rPr>
        <w:t xml:space="preserve"> </w:t>
      </w:r>
      <w:r w:rsidR="00B52C1B" w:rsidRPr="009540F7">
        <w:rPr>
          <w:rFonts w:ascii="Times New Roman" w:hAnsi="Times New Roman"/>
          <w:i/>
          <w:sz w:val="28"/>
          <w:szCs w:val="28"/>
        </w:rPr>
        <w:t>trình tự</w:t>
      </w:r>
      <w:r w:rsidR="00C636D7" w:rsidRPr="009540F7">
        <w:rPr>
          <w:rFonts w:ascii="Times New Roman" w:hAnsi="Times New Roman"/>
          <w:i/>
          <w:sz w:val="28"/>
          <w:szCs w:val="28"/>
        </w:rPr>
        <w:t xml:space="preserve"> và</w:t>
      </w:r>
      <w:r w:rsidR="00B52C1B" w:rsidRPr="009540F7">
        <w:rPr>
          <w:rFonts w:ascii="Times New Roman" w:hAnsi="Times New Roman"/>
          <w:i/>
          <w:sz w:val="28"/>
          <w:szCs w:val="28"/>
        </w:rPr>
        <w:t xml:space="preserve"> </w:t>
      </w:r>
      <w:r w:rsidR="006B0ABE" w:rsidRPr="009540F7">
        <w:rPr>
          <w:rFonts w:ascii="Times New Roman" w:hAnsi="Times New Roman"/>
          <w:i/>
          <w:sz w:val="28"/>
          <w:szCs w:val="28"/>
        </w:rPr>
        <w:t>thủ tục</w:t>
      </w:r>
      <w:r w:rsidR="00C636D7" w:rsidRPr="009540F7">
        <w:rPr>
          <w:rFonts w:ascii="Times New Roman" w:hAnsi="Times New Roman"/>
          <w:i/>
          <w:sz w:val="28"/>
          <w:szCs w:val="28"/>
        </w:rPr>
        <w:t xml:space="preserve"> chấp thuận việc</w:t>
      </w:r>
      <w:r w:rsidR="006B0ABE" w:rsidRPr="009540F7">
        <w:rPr>
          <w:rFonts w:ascii="Times New Roman" w:hAnsi="Times New Roman"/>
          <w:i/>
          <w:sz w:val="28"/>
          <w:szCs w:val="28"/>
        </w:rPr>
        <w:t xml:space="preserve"> góp vốn, mua cổ phần của </w:t>
      </w:r>
      <w:r w:rsidR="002219AA" w:rsidRPr="009540F7">
        <w:rPr>
          <w:rFonts w:ascii="Times New Roman" w:hAnsi="Times New Roman"/>
          <w:i/>
          <w:sz w:val="28"/>
          <w:szCs w:val="28"/>
        </w:rPr>
        <w:t>TCTD</w:t>
      </w:r>
      <w:r>
        <w:rPr>
          <w:rFonts w:ascii="Times New Roman" w:hAnsi="Times New Roman"/>
          <w:sz w:val="28"/>
          <w:szCs w:val="28"/>
        </w:rPr>
        <w:t xml:space="preserve"> nhưng quy đị</w:t>
      </w:r>
      <w:r w:rsidR="0035088B">
        <w:rPr>
          <w:rFonts w:ascii="Times New Roman" w:hAnsi="Times New Roman"/>
          <w:sz w:val="28"/>
          <w:szCs w:val="28"/>
        </w:rPr>
        <w:t>nh rõ “</w:t>
      </w:r>
      <w:r>
        <w:rPr>
          <w:rFonts w:ascii="Times New Roman" w:hAnsi="Times New Roman"/>
          <w:sz w:val="28"/>
          <w:szCs w:val="28"/>
        </w:rPr>
        <w:t xml:space="preserve">phạm vi điều chỉnh </w:t>
      </w:r>
      <w:r w:rsidR="0035088B">
        <w:rPr>
          <w:rFonts w:ascii="Times New Roman" w:hAnsi="Times New Roman"/>
          <w:sz w:val="28"/>
          <w:szCs w:val="28"/>
        </w:rPr>
        <w:t xml:space="preserve">- </w:t>
      </w:r>
      <w:r>
        <w:rPr>
          <w:rFonts w:ascii="Times New Roman" w:hAnsi="Times New Roman"/>
          <w:sz w:val="28"/>
          <w:szCs w:val="28"/>
        </w:rPr>
        <w:t>Điều 1</w:t>
      </w:r>
      <w:r w:rsidR="0035088B">
        <w:rPr>
          <w:rFonts w:ascii="Times New Roman" w:hAnsi="Times New Roman"/>
          <w:sz w:val="28"/>
          <w:szCs w:val="28"/>
        </w:rPr>
        <w:t>”</w:t>
      </w:r>
      <w:r>
        <w:rPr>
          <w:rFonts w:ascii="Times New Roman" w:hAnsi="Times New Roman"/>
          <w:sz w:val="28"/>
          <w:szCs w:val="28"/>
        </w:rPr>
        <w:t xml:space="preserve"> là</w:t>
      </w:r>
      <w:r w:rsidR="0035088B">
        <w:rPr>
          <w:rFonts w:ascii="Times New Roman" w:hAnsi="Times New Roman"/>
          <w:sz w:val="28"/>
          <w:szCs w:val="28"/>
        </w:rPr>
        <w:t>:</w:t>
      </w:r>
      <w:r>
        <w:rPr>
          <w:rFonts w:ascii="Times New Roman" w:hAnsi="Times New Roman"/>
          <w:sz w:val="28"/>
          <w:szCs w:val="28"/>
        </w:rPr>
        <w:t xml:space="preserve"> </w:t>
      </w:r>
      <w:r w:rsidR="0035088B">
        <w:rPr>
          <w:rFonts w:ascii="Times New Roman" w:hAnsi="Times New Roman"/>
          <w:sz w:val="28"/>
          <w:szCs w:val="28"/>
        </w:rPr>
        <w:t>“</w:t>
      </w:r>
      <w:r w:rsidR="0035088B" w:rsidRPr="0035088B">
        <w:rPr>
          <w:rFonts w:ascii="Times New Roman" w:hAnsi="Times New Roman"/>
          <w:sz w:val="28"/>
          <w:szCs w:val="28"/>
        </w:rPr>
        <w:t xml:space="preserve">điều kiện, hồ sơ, trình tự và thủ tục chấp thuận </w:t>
      </w:r>
      <w:r w:rsidR="0035088B" w:rsidRPr="0035088B">
        <w:rPr>
          <w:rFonts w:ascii="Times New Roman" w:hAnsi="Times New Roman"/>
          <w:sz w:val="28"/>
          <w:szCs w:val="28"/>
        </w:rPr>
        <w:lastRenderedPageBreak/>
        <w:t xml:space="preserve">việc góp vốn, mua cổ phần để thành lập, mua lại công ty con, công ty liên kết, các trường hợp góp vốn, mua cổ phần khác (sau đây gọi là đầu tư thương mại) của tổ chức tín dụng </w:t>
      </w:r>
      <w:r w:rsidR="0035088B" w:rsidRPr="009540F7">
        <w:rPr>
          <w:rFonts w:ascii="Times New Roman" w:hAnsi="Times New Roman"/>
          <w:sz w:val="28"/>
          <w:szCs w:val="28"/>
          <w:u w:val="single"/>
        </w:rPr>
        <w:t>phải được sự chấp thuận trước của Ngân hàng Nhà nước theo quy định tại Luật Các tổ chức tín dụng</w:t>
      </w:r>
      <w:r w:rsidR="0035088B">
        <w:rPr>
          <w:rFonts w:ascii="Times New Roman" w:hAnsi="Times New Roman"/>
          <w:sz w:val="28"/>
          <w:szCs w:val="28"/>
        </w:rPr>
        <w:t>” và “đối tượng</w:t>
      </w:r>
      <w:r w:rsidR="003C0691">
        <w:rPr>
          <w:rFonts w:ascii="Times New Roman" w:hAnsi="Times New Roman"/>
          <w:sz w:val="28"/>
          <w:szCs w:val="28"/>
        </w:rPr>
        <w:t xml:space="preserve"> </w:t>
      </w:r>
      <w:r w:rsidR="003C0691" w:rsidRPr="003C0691">
        <w:rPr>
          <w:rFonts w:ascii="Times New Roman" w:hAnsi="Times New Roman"/>
          <w:sz w:val="28"/>
          <w:szCs w:val="28"/>
        </w:rPr>
        <w:t>áp dụng</w:t>
      </w:r>
      <w:r w:rsidR="003C0691">
        <w:rPr>
          <w:rFonts w:ascii="Times New Roman" w:hAnsi="Times New Roman"/>
          <w:sz w:val="28"/>
          <w:szCs w:val="28"/>
        </w:rPr>
        <w:t xml:space="preserve"> – Điều 2” là</w:t>
      </w:r>
      <w:r w:rsidR="003C0691" w:rsidRPr="003C0691">
        <w:rPr>
          <w:rFonts w:ascii="Times New Roman" w:hAnsi="Times New Roman"/>
          <w:sz w:val="28"/>
          <w:szCs w:val="28"/>
        </w:rPr>
        <w:t xml:space="preserve"> ngân hàng thương mại</w:t>
      </w:r>
      <w:r w:rsidR="009540F7">
        <w:rPr>
          <w:rFonts w:ascii="Times New Roman" w:hAnsi="Times New Roman"/>
          <w:sz w:val="28"/>
          <w:szCs w:val="28"/>
        </w:rPr>
        <w:t>,</w:t>
      </w:r>
      <w:r w:rsidR="003C0691" w:rsidRPr="003C0691">
        <w:rPr>
          <w:rFonts w:ascii="Times New Roman" w:hAnsi="Times New Roman"/>
          <w:sz w:val="28"/>
          <w:szCs w:val="28"/>
        </w:rPr>
        <w:t xml:space="preserve"> công ty tài chính</w:t>
      </w:r>
      <w:r w:rsidR="003C0691">
        <w:rPr>
          <w:rFonts w:ascii="Times New Roman" w:hAnsi="Times New Roman"/>
          <w:sz w:val="28"/>
          <w:szCs w:val="28"/>
        </w:rPr>
        <w:t xml:space="preserve"> (gọi chung là “TCTD”</w:t>
      </w:r>
      <w:r w:rsidR="009540F7">
        <w:rPr>
          <w:rFonts w:ascii="Times New Roman" w:hAnsi="Times New Roman"/>
          <w:sz w:val="28"/>
          <w:szCs w:val="28"/>
        </w:rPr>
        <w:t>),</w:t>
      </w:r>
      <w:r w:rsidR="003C0691">
        <w:rPr>
          <w:rFonts w:ascii="Times New Roman" w:hAnsi="Times New Roman"/>
          <w:sz w:val="28"/>
          <w:szCs w:val="28"/>
        </w:rPr>
        <w:t xml:space="preserve"> c</w:t>
      </w:r>
      <w:r w:rsidR="003C0691" w:rsidRPr="003C0691">
        <w:rPr>
          <w:rFonts w:ascii="Times New Roman" w:hAnsi="Times New Roman"/>
          <w:sz w:val="28"/>
          <w:szCs w:val="28"/>
        </w:rPr>
        <w:t xml:space="preserve">ác tổ chức, cá nhân có liên quan đến việc góp vốn, mua cổ phần của </w:t>
      </w:r>
      <w:r w:rsidR="003C0691">
        <w:rPr>
          <w:rFonts w:ascii="Times New Roman" w:hAnsi="Times New Roman"/>
          <w:sz w:val="28"/>
          <w:szCs w:val="28"/>
        </w:rPr>
        <w:t>TCTD</w:t>
      </w:r>
      <w:r w:rsidR="003C0691" w:rsidRPr="003C0691">
        <w:rPr>
          <w:rFonts w:ascii="Times New Roman" w:hAnsi="Times New Roman"/>
          <w:sz w:val="28"/>
          <w:szCs w:val="28"/>
        </w:rPr>
        <w:t>.</w:t>
      </w:r>
    </w:p>
    <w:p w:rsidR="00111139" w:rsidRPr="00627BEF" w:rsidRDefault="00D85C72" w:rsidP="00627BEF">
      <w:pPr>
        <w:pStyle w:val="ListParagraph"/>
        <w:ind w:left="0" w:firstLine="720"/>
        <w:contextualSpacing w:val="0"/>
        <w:jc w:val="both"/>
        <w:rPr>
          <w:rFonts w:ascii="Times New Roman" w:hAnsi="Times New Roman"/>
          <w:b/>
          <w:sz w:val="28"/>
          <w:szCs w:val="28"/>
        </w:rPr>
      </w:pPr>
      <w:r w:rsidRPr="00627BEF">
        <w:rPr>
          <w:rFonts w:ascii="Times New Roman" w:hAnsi="Times New Roman"/>
          <w:b/>
          <w:sz w:val="28"/>
          <w:szCs w:val="28"/>
        </w:rPr>
        <w:t>2</w:t>
      </w:r>
      <w:r w:rsidR="00D55FE4" w:rsidRPr="00627BEF">
        <w:rPr>
          <w:rFonts w:ascii="Times New Roman" w:hAnsi="Times New Roman"/>
          <w:b/>
          <w:sz w:val="28"/>
          <w:szCs w:val="28"/>
        </w:rPr>
        <w:t>.</w:t>
      </w:r>
      <w:r w:rsidR="008E5834" w:rsidRPr="00627BEF">
        <w:rPr>
          <w:rFonts w:ascii="Times New Roman" w:hAnsi="Times New Roman"/>
          <w:b/>
          <w:sz w:val="28"/>
          <w:szCs w:val="28"/>
        </w:rPr>
        <w:t xml:space="preserve"> </w:t>
      </w:r>
      <w:r w:rsidR="000B2F17" w:rsidRPr="00627BEF">
        <w:rPr>
          <w:rFonts w:ascii="Times New Roman" w:hAnsi="Times New Roman"/>
          <w:b/>
          <w:sz w:val="28"/>
          <w:szCs w:val="28"/>
        </w:rPr>
        <w:t>Điều kiện chấp thuận</w:t>
      </w:r>
    </w:p>
    <w:p w:rsidR="006002F2" w:rsidRDefault="00111139" w:rsidP="00111139">
      <w:pPr>
        <w:pStyle w:val="ListParagraph"/>
        <w:tabs>
          <w:tab w:val="left" w:pos="360"/>
        </w:tabs>
        <w:ind w:left="0"/>
        <w:contextualSpacing w:val="0"/>
        <w:jc w:val="both"/>
        <w:rPr>
          <w:rFonts w:ascii="Times New Roman" w:hAnsi="Times New Roman"/>
          <w:sz w:val="28"/>
          <w:szCs w:val="28"/>
          <w:lang w:val="vi-VN"/>
        </w:rPr>
      </w:pPr>
      <w:r>
        <w:rPr>
          <w:rFonts w:ascii="Times New Roman" w:hAnsi="Times New Roman"/>
          <w:sz w:val="28"/>
          <w:szCs w:val="28"/>
        </w:rPr>
        <w:tab/>
      </w:r>
      <w:r>
        <w:rPr>
          <w:rFonts w:ascii="Times New Roman" w:hAnsi="Times New Roman"/>
          <w:sz w:val="28"/>
          <w:szCs w:val="28"/>
        </w:rPr>
        <w:tab/>
        <w:t>Để được Thống đốc chấp thuận việc góp vốn, mua cổ phần</w:t>
      </w:r>
      <w:r w:rsidR="00EC591D">
        <w:rPr>
          <w:rFonts w:ascii="Times New Roman" w:hAnsi="Times New Roman"/>
          <w:sz w:val="28"/>
          <w:szCs w:val="28"/>
        </w:rPr>
        <w:t xml:space="preserve"> theo các hình thức</w:t>
      </w:r>
      <w:r w:rsidR="00D85C72">
        <w:rPr>
          <w:rFonts w:ascii="Times New Roman" w:hAnsi="Times New Roman"/>
          <w:sz w:val="28"/>
          <w:szCs w:val="28"/>
        </w:rPr>
        <w:t xml:space="preserve"> nêu trên</w:t>
      </w:r>
      <w:r w:rsidR="00EC591D">
        <w:rPr>
          <w:rFonts w:ascii="Times New Roman" w:hAnsi="Times New Roman"/>
          <w:sz w:val="28"/>
          <w:szCs w:val="28"/>
        </w:rPr>
        <w:t xml:space="preserve">, </w:t>
      </w:r>
      <w:r w:rsidR="00EC591D" w:rsidRPr="008B3F32">
        <w:rPr>
          <w:rFonts w:ascii="Times New Roman" w:hAnsi="Times New Roman"/>
          <w:b/>
          <w:sz w:val="28"/>
          <w:szCs w:val="28"/>
        </w:rPr>
        <w:t>các điều kiện cơ bả</w:t>
      </w:r>
      <w:r w:rsidR="00467D5A">
        <w:rPr>
          <w:rFonts w:ascii="Times New Roman" w:hAnsi="Times New Roman"/>
          <w:b/>
          <w:sz w:val="28"/>
          <w:szCs w:val="28"/>
        </w:rPr>
        <w:t xml:space="preserve">n mà </w:t>
      </w:r>
      <w:r w:rsidR="00467D5A">
        <w:rPr>
          <w:rFonts w:ascii="Times New Roman" w:hAnsi="Times New Roman"/>
          <w:b/>
          <w:sz w:val="28"/>
          <w:szCs w:val="28"/>
          <w:lang w:val="vi-VN"/>
        </w:rPr>
        <w:t>TCTD</w:t>
      </w:r>
      <w:r w:rsidR="00EC591D" w:rsidRPr="008B3F32">
        <w:rPr>
          <w:rFonts w:ascii="Times New Roman" w:hAnsi="Times New Roman"/>
          <w:b/>
          <w:sz w:val="28"/>
          <w:szCs w:val="28"/>
        </w:rPr>
        <w:t xml:space="preserve"> cần phải đáp ứng</w:t>
      </w:r>
      <w:r w:rsidR="00B6322F">
        <w:rPr>
          <w:rFonts w:ascii="Times New Roman" w:hAnsi="Times New Roman"/>
          <w:sz w:val="28"/>
          <w:szCs w:val="28"/>
        </w:rPr>
        <w:t xml:space="preserve"> là các</w:t>
      </w:r>
      <w:r w:rsidR="00EC591D">
        <w:rPr>
          <w:rFonts w:ascii="Times New Roman" w:hAnsi="Times New Roman"/>
          <w:sz w:val="28"/>
          <w:szCs w:val="28"/>
        </w:rPr>
        <w:t xml:space="preserve"> điều kiện về hoạt</w:t>
      </w:r>
      <w:r>
        <w:rPr>
          <w:rFonts w:ascii="Times New Roman" w:hAnsi="Times New Roman"/>
          <w:sz w:val="28"/>
          <w:szCs w:val="28"/>
        </w:rPr>
        <w:t xml:space="preserve"> động</w:t>
      </w:r>
      <w:r w:rsidR="00EC591D">
        <w:rPr>
          <w:rFonts w:ascii="Times New Roman" w:hAnsi="Times New Roman"/>
          <w:sz w:val="28"/>
          <w:szCs w:val="28"/>
        </w:rPr>
        <w:t xml:space="preserve"> (chất lượng và mức độ an toàn</w:t>
      </w:r>
      <w:r w:rsidR="00B6322F">
        <w:rPr>
          <w:rFonts w:ascii="Times New Roman" w:hAnsi="Times New Roman"/>
          <w:sz w:val="28"/>
          <w:szCs w:val="28"/>
        </w:rPr>
        <w:t xml:space="preserve"> trước và sau khi thực hiện góp vốn)</w:t>
      </w:r>
      <w:r>
        <w:rPr>
          <w:rFonts w:ascii="Times New Roman" w:hAnsi="Times New Roman"/>
          <w:sz w:val="28"/>
          <w:szCs w:val="28"/>
        </w:rPr>
        <w:t xml:space="preserve">, </w:t>
      </w:r>
      <w:r w:rsidR="00FB3CD8">
        <w:rPr>
          <w:rFonts w:ascii="Times New Roman" w:hAnsi="Times New Roman"/>
          <w:sz w:val="28"/>
          <w:szCs w:val="28"/>
        </w:rPr>
        <w:t xml:space="preserve">năng lực </w:t>
      </w:r>
      <w:r>
        <w:rPr>
          <w:rFonts w:ascii="Times New Roman" w:hAnsi="Times New Roman"/>
          <w:sz w:val="28"/>
          <w:szCs w:val="28"/>
        </w:rPr>
        <w:t>quản trị, điề</w:t>
      </w:r>
      <w:r w:rsidR="00230000">
        <w:rPr>
          <w:rFonts w:ascii="Times New Roman" w:hAnsi="Times New Roman"/>
          <w:sz w:val="28"/>
          <w:szCs w:val="28"/>
        </w:rPr>
        <w:t xml:space="preserve">u hành, </w:t>
      </w:r>
      <w:r>
        <w:rPr>
          <w:rFonts w:ascii="Times New Roman" w:hAnsi="Times New Roman"/>
          <w:sz w:val="28"/>
          <w:szCs w:val="28"/>
        </w:rPr>
        <w:t xml:space="preserve">… </w:t>
      </w:r>
      <w:r w:rsidR="00B6322F">
        <w:rPr>
          <w:rFonts w:ascii="Times New Roman" w:hAnsi="Times New Roman"/>
          <w:sz w:val="28"/>
          <w:szCs w:val="28"/>
        </w:rPr>
        <w:t>trong đó, các</w:t>
      </w:r>
      <w:r>
        <w:rPr>
          <w:rFonts w:ascii="Times New Roman" w:hAnsi="Times New Roman"/>
          <w:sz w:val="28"/>
          <w:szCs w:val="28"/>
        </w:rPr>
        <w:t xml:space="preserve"> điều kiện sẽ được áp dụng </w:t>
      </w:r>
      <w:r w:rsidRPr="008B3F32">
        <w:rPr>
          <w:rFonts w:ascii="Times New Roman" w:hAnsi="Times New Roman"/>
          <w:b/>
          <w:sz w:val="28"/>
          <w:szCs w:val="28"/>
        </w:rPr>
        <w:t xml:space="preserve">chặt </w:t>
      </w:r>
      <w:r w:rsidR="00043321" w:rsidRPr="008B3F32">
        <w:rPr>
          <w:rFonts w:ascii="Times New Roman" w:hAnsi="Times New Roman"/>
          <w:b/>
          <w:sz w:val="28"/>
          <w:szCs w:val="28"/>
        </w:rPr>
        <w:t xml:space="preserve">chẽ </w:t>
      </w:r>
      <w:r w:rsidRPr="008B3F32">
        <w:rPr>
          <w:rFonts w:ascii="Times New Roman" w:hAnsi="Times New Roman"/>
          <w:b/>
          <w:sz w:val="28"/>
          <w:szCs w:val="28"/>
        </w:rPr>
        <w:t xml:space="preserve">nhất đối với trường hợp góp vốn mua cổ phần dưới hình thức </w:t>
      </w:r>
      <w:r w:rsidR="00467D5A">
        <w:rPr>
          <w:rFonts w:ascii="Times New Roman" w:hAnsi="Times New Roman"/>
          <w:b/>
          <w:sz w:val="28"/>
          <w:szCs w:val="28"/>
          <w:lang w:val="vi-VN"/>
        </w:rPr>
        <w:t>đầu tư thương mại</w:t>
      </w:r>
      <w:r>
        <w:rPr>
          <w:rFonts w:ascii="Times New Roman" w:hAnsi="Times New Roman"/>
          <w:sz w:val="28"/>
          <w:szCs w:val="28"/>
        </w:rPr>
        <w:t xml:space="preserve">, sau đó </w:t>
      </w:r>
      <w:r w:rsidR="00230000">
        <w:rPr>
          <w:rFonts w:ascii="Times New Roman" w:hAnsi="Times New Roman"/>
          <w:sz w:val="28"/>
          <w:szCs w:val="28"/>
        </w:rPr>
        <w:t xml:space="preserve">các điều kiện sẽ </w:t>
      </w:r>
      <w:r>
        <w:rPr>
          <w:rFonts w:ascii="Times New Roman" w:hAnsi="Times New Roman"/>
          <w:sz w:val="28"/>
          <w:szCs w:val="28"/>
        </w:rPr>
        <w:t xml:space="preserve">nới lỏng dần đối với hình thức công ty </w:t>
      </w:r>
      <w:r w:rsidR="000934A6">
        <w:rPr>
          <w:rFonts w:ascii="Times New Roman" w:hAnsi="Times New Roman"/>
          <w:sz w:val="28"/>
          <w:szCs w:val="28"/>
          <w:lang w:val="vi-VN"/>
        </w:rPr>
        <w:t>liên kết</w:t>
      </w:r>
      <w:r>
        <w:rPr>
          <w:rFonts w:ascii="Times New Roman" w:hAnsi="Times New Roman"/>
          <w:sz w:val="28"/>
          <w:szCs w:val="28"/>
        </w:rPr>
        <w:t xml:space="preserve">, </w:t>
      </w:r>
      <w:r w:rsidR="000934A6">
        <w:rPr>
          <w:rFonts w:ascii="Times New Roman" w:hAnsi="Times New Roman"/>
          <w:sz w:val="28"/>
          <w:szCs w:val="28"/>
          <w:lang w:val="vi-VN"/>
        </w:rPr>
        <w:t>công ty con</w:t>
      </w:r>
      <w:r w:rsidR="005E008F">
        <w:rPr>
          <w:rFonts w:ascii="Times New Roman" w:hAnsi="Times New Roman"/>
          <w:sz w:val="28"/>
          <w:szCs w:val="28"/>
        </w:rPr>
        <w:t xml:space="preserve">, tùy thuộc vào </w:t>
      </w:r>
      <w:r w:rsidR="005E008F" w:rsidRPr="005E008F">
        <w:rPr>
          <w:rFonts w:ascii="Times New Roman" w:hAnsi="Times New Roman"/>
          <w:i/>
          <w:sz w:val="28"/>
          <w:szCs w:val="28"/>
        </w:rPr>
        <w:t>tỷ lệ góp vốn</w:t>
      </w:r>
      <w:r w:rsidR="005E008F">
        <w:rPr>
          <w:rFonts w:ascii="Times New Roman" w:hAnsi="Times New Roman"/>
          <w:sz w:val="28"/>
          <w:szCs w:val="28"/>
        </w:rPr>
        <w:t xml:space="preserve"> và </w:t>
      </w:r>
      <w:r w:rsidR="005E008F" w:rsidRPr="005E008F">
        <w:rPr>
          <w:rFonts w:ascii="Times New Roman" w:hAnsi="Times New Roman"/>
          <w:i/>
          <w:sz w:val="28"/>
          <w:szCs w:val="28"/>
        </w:rPr>
        <w:t xml:space="preserve">mức độ ảnh hưởng của </w:t>
      </w:r>
      <w:r w:rsidR="000934A6">
        <w:rPr>
          <w:rFonts w:ascii="Times New Roman" w:hAnsi="Times New Roman"/>
          <w:i/>
          <w:sz w:val="28"/>
          <w:szCs w:val="28"/>
          <w:lang w:val="vi-VN"/>
        </w:rPr>
        <w:t xml:space="preserve">TCTD </w:t>
      </w:r>
      <w:r w:rsidR="005E008F" w:rsidRPr="005E008F">
        <w:rPr>
          <w:rFonts w:ascii="Times New Roman" w:hAnsi="Times New Roman"/>
          <w:i/>
          <w:sz w:val="28"/>
          <w:szCs w:val="28"/>
        </w:rPr>
        <w:t>đối với khoản góp vốn, mua cổ phần</w:t>
      </w:r>
      <w:r w:rsidR="00B6322F">
        <w:rPr>
          <w:rFonts w:ascii="Times New Roman" w:hAnsi="Times New Roman"/>
          <w:sz w:val="28"/>
          <w:szCs w:val="28"/>
        </w:rPr>
        <w:t>. Cụ thể</w:t>
      </w:r>
      <w:r w:rsidR="00043321">
        <w:rPr>
          <w:rFonts w:ascii="Times New Roman" w:hAnsi="Times New Roman"/>
          <w:sz w:val="28"/>
          <w:szCs w:val="28"/>
        </w:rPr>
        <w:t>:</w:t>
      </w:r>
    </w:p>
    <w:p w:rsidR="006002F2" w:rsidRPr="006002F2" w:rsidRDefault="006002F2" w:rsidP="006002F2">
      <w:pPr>
        <w:pStyle w:val="ListParagraph"/>
        <w:tabs>
          <w:tab w:val="left" w:pos="709"/>
        </w:tabs>
        <w:ind w:left="0"/>
        <w:contextualSpacing w:val="0"/>
        <w:jc w:val="both"/>
        <w:rPr>
          <w:rFonts w:ascii="Times New Roman" w:hAnsi="Times New Roman"/>
          <w:sz w:val="28"/>
          <w:szCs w:val="28"/>
          <w:lang w:val="vi-VN"/>
        </w:rPr>
      </w:pPr>
      <w:r>
        <w:rPr>
          <w:rFonts w:ascii="Times New Roman" w:hAnsi="Times New Roman"/>
          <w:sz w:val="28"/>
          <w:szCs w:val="28"/>
          <w:lang w:val="vi-VN"/>
        </w:rPr>
        <w:tab/>
      </w:r>
      <w:r w:rsidRPr="006002F2">
        <w:rPr>
          <w:rFonts w:ascii="Times New Roman" w:hAnsi="Times New Roman"/>
          <w:sz w:val="28"/>
          <w:szCs w:val="28"/>
          <w:lang w:val="vi-VN"/>
        </w:rPr>
        <w:t>- Trong Giấy phép thành lập và hoạt động phải có nội dung được thực hiện góp vốn, mua cổ phần theo quy định của pháp luật.</w:t>
      </w:r>
    </w:p>
    <w:p w:rsidR="00111139" w:rsidRPr="004A6C97" w:rsidRDefault="00111139" w:rsidP="00111139">
      <w:pPr>
        <w:pStyle w:val="ListParagraph"/>
        <w:tabs>
          <w:tab w:val="left" w:pos="360"/>
        </w:tabs>
        <w:ind w:left="0"/>
        <w:contextualSpacing w:val="0"/>
        <w:jc w:val="both"/>
        <w:rPr>
          <w:rFonts w:ascii="Times New Roman" w:hAnsi="Times New Roman"/>
          <w:sz w:val="28"/>
          <w:szCs w:val="28"/>
          <w:lang w:val="vi-VN"/>
        </w:rPr>
      </w:pPr>
      <w:r w:rsidRPr="006002F2">
        <w:rPr>
          <w:rFonts w:ascii="Times New Roman" w:hAnsi="Times New Roman"/>
          <w:sz w:val="28"/>
          <w:szCs w:val="28"/>
          <w:lang w:val="vi-VN"/>
        </w:rPr>
        <w:tab/>
      </w:r>
      <w:r w:rsidRPr="006002F2">
        <w:rPr>
          <w:rFonts w:ascii="Times New Roman" w:hAnsi="Times New Roman"/>
          <w:sz w:val="28"/>
          <w:szCs w:val="28"/>
          <w:lang w:val="vi-VN"/>
        </w:rPr>
        <w:tab/>
      </w:r>
      <w:r w:rsidR="002F29C2" w:rsidRPr="004A6C97">
        <w:rPr>
          <w:rFonts w:ascii="Times New Roman" w:hAnsi="Times New Roman"/>
          <w:sz w:val="28"/>
          <w:szCs w:val="28"/>
          <w:lang w:val="vi-VN"/>
        </w:rPr>
        <w:t xml:space="preserve">- </w:t>
      </w:r>
      <w:r w:rsidRPr="004A6C97">
        <w:rPr>
          <w:rFonts w:ascii="Times New Roman" w:hAnsi="Times New Roman"/>
          <w:sz w:val="28"/>
          <w:szCs w:val="28"/>
          <w:lang w:val="vi-VN"/>
        </w:rPr>
        <w:t xml:space="preserve">Các điều kiện về hoạt động, kinh doanh có lãi nhằm đảm bảo </w:t>
      </w:r>
      <w:r w:rsidR="000934A6" w:rsidRPr="004A6C97">
        <w:rPr>
          <w:rFonts w:ascii="Times New Roman" w:hAnsi="Times New Roman"/>
          <w:sz w:val="28"/>
          <w:szCs w:val="28"/>
          <w:lang w:val="vi-VN"/>
        </w:rPr>
        <w:t>TCTD</w:t>
      </w:r>
      <w:r w:rsidRPr="004A6C97">
        <w:rPr>
          <w:rFonts w:ascii="Times New Roman" w:hAnsi="Times New Roman"/>
          <w:sz w:val="28"/>
          <w:szCs w:val="28"/>
          <w:lang w:val="vi-VN"/>
        </w:rPr>
        <w:t xml:space="preserve"> </w:t>
      </w:r>
      <w:r w:rsidR="00A2541F" w:rsidRPr="004A6C97">
        <w:rPr>
          <w:rFonts w:ascii="Times New Roman" w:hAnsi="Times New Roman"/>
          <w:sz w:val="28"/>
          <w:szCs w:val="28"/>
          <w:lang w:val="vi-VN"/>
        </w:rPr>
        <w:t>hoạt động phải có hiệu quả</w:t>
      </w:r>
      <w:r w:rsidRPr="004A6C97">
        <w:rPr>
          <w:rFonts w:ascii="Times New Roman" w:hAnsi="Times New Roman"/>
          <w:sz w:val="28"/>
          <w:szCs w:val="28"/>
          <w:lang w:val="vi-VN"/>
        </w:rPr>
        <w:t xml:space="preserve"> trước khi mở rộng sang các lĩnh vực khác</w:t>
      </w:r>
      <w:r w:rsidR="00D85C72" w:rsidRPr="004A6C97">
        <w:rPr>
          <w:rFonts w:ascii="Times New Roman" w:hAnsi="Times New Roman"/>
          <w:sz w:val="28"/>
          <w:szCs w:val="28"/>
          <w:lang w:val="vi-VN"/>
        </w:rPr>
        <w:t xml:space="preserve"> (ngoại trừ đối với loại hình công ty con, công ty liên kết hoạt động trong lĩnh vực quản lý tài sản bảo đảm là các công ty quản lý nợ và khai thác tài sản)</w:t>
      </w:r>
      <w:r w:rsidRPr="004A6C97">
        <w:rPr>
          <w:rFonts w:ascii="Times New Roman" w:hAnsi="Times New Roman"/>
          <w:sz w:val="28"/>
          <w:szCs w:val="28"/>
          <w:lang w:val="vi-VN"/>
        </w:rPr>
        <w:t>.</w:t>
      </w:r>
    </w:p>
    <w:p w:rsidR="00A2541F" w:rsidRPr="004A6C97" w:rsidRDefault="00A2541F" w:rsidP="00111139">
      <w:pPr>
        <w:pStyle w:val="ListParagraph"/>
        <w:tabs>
          <w:tab w:val="left" w:pos="360"/>
        </w:tabs>
        <w:ind w:left="0"/>
        <w:contextualSpacing w:val="0"/>
        <w:jc w:val="both"/>
        <w:rPr>
          <w:rFonts w:ascii="Times New Roman" w:hAnsi="Times New Roman"/>
          <w:sz w:val="28"/>
          <w:szCs w:val="28"/>
          <w:lang w:val="vi-VN"/>
        </w:rPr>
      </w:pPr>
      <w:r w:rsidRPr="004A6C97">
        <w:rPr>
          <w:rFonts w:ascii="Times New Roman" w:hAnsi="Times New Roman"/>
          <w:sz w:val="28"/>
          <w:szCs w:val="28"/>
          <w:lang w:val="vi-VN"/>
        </w:rPr>
        <w:tab/>
      </w:r>
      <w:r w:rsidRPr="004A6C97">
        <w:rPr>
          <w:rFonts w:ascii="Times New Roman" w:hAnsi="Times New Roman"/>
          <w:sz w:val="28"/>
          <w:szCs w:val="28"/>
          <w:lang w:val="vi-VN"/>
        </w:rPr>
        <w:tab/>
        <w:t>- Các điều kiện về việc đảm bảo tỷ lệ an toàn và tỷ lệ góp vốn mua cổ phần trước và sau khi góp vốn, mua cổ phần.</w:t>
      </w:r>
    </w:p>
    <w:p w:rsidR="001A15C3" w:rsidRPr="004A6C97" w:rsidRDefault="00111139" w:rsidP="001A15C3">
      <w:pPr>
        <w:pStyle w:val="ListParagraph"/>
        <w:tabs>
          <w:tab w:val="left" w:pos="360"/>
        </w:tabs>
        <w:ind w:left="0"/>
        <w:contextualSpacing w:val="0"/>
        <w:jc w:val="both"/>
        <w:rPr>
          <w:rFonts w:ascii="Times New Roman" w:hAnsi="Times New Roman"/>
          <w:sz w:val="28"/>
          <w:szCs w:val="28"/>
          <w:lang w:val="vi-VN"/>
        </w:rPr>
      </w:pPr>
      <w:r w:rsidRPr="004A6C97">
        <w:rPr>
          <w:rFonts w:ascii="Times New Roman" w:hAnsi="Times New Roman"/>
          <w:sz w:val="28"/>
          <w:szCs w:val="28"/>
          <w:lang w:val="vi-VN"/>
        </w:rPr>
        <w:tab/>
      </w:r>
      <w:r w:rsidRPr="004A6C97">
        <w:rPr>
          <w:rFonts w:ascii="Times New Roman" w:hAnsi="Times New Roman"/>
          <w:sz w:val="28"/>
          <w:szCs w:val="28"/>
          <w:lang w:val="vi-VN"/>
        </w:rPr>
        <w:tab/>
      </w:r>
      <w:r w:rsidR="002F29C2" w:rsidRPr="004A6C97">
        <w:rPr>
          <w:rFonts w:ascii="Times New Roman" w:hAnsi="Times New Roman"/>
          <w:sz w:val="28"/>
          <w:szCs w:val="28"/>
          <w:lang w:val="vi-VN"/>
        </w:rPr>
        <w:t xml:space="preserve">- </w:t>
      </w:r>
      <w:r w:rsidRPr="004A6C97">
        <w:rPr>
          <w:rFonts w:ascii="Times New Roman" w:hAnsi="Times New Roman"/>
          <w:sz w:val="28"/>
          <w:szCs w:val="28"/>
          <w:lang w:val="vi-VN"/>
        </w:rPr>
        <w:t xml:space="preserve">Điều kiện về </w:t>
      </w:r>
      <w:r w:rsidR="00EF5D0E" w:rsidRPr="004A6C97">
        <w:rPr>
          <w:rFonts w:ascii="Times New Roman" w:hAnsi="Times New Roman"/>
          <w:sz w:val="28"/>
          <w:szCs w:val="28"/>
          <w:lang w:val="vi-VN"/>
        </w:rPr>
        <w:t xml:space="preserve">năng lực </w:t>
      </w:r>
      <w:r w:rsidRPr="004A6C97">
        <w:rPr>
          <w:rFonts w:ascii="Times New Roman" w:hAnsi="Times New Roman"/>
          <w:sz w:val="28"/>
          <w:szCs w:val="28"/>
          <w:lang w:val="vi-VN"/>
        </w:rPr>
        <w:t xml:space="preserve">quản trị, điều hành </w:t>
      </w:r>
      <w:r w:rsidR="00EF5D0E" w:rsidRPr="004A6C97">
        <w:rPr>
          <w:rFonts w:ascii="Times New Roman" w:hAnsi="Times New Roman"/>
          <w:sz w:val="28"/>
          <w:szCs w:val="28"/>
          <w:lang w:val="vi-VN"/>
        </w:rPr>
        <w:t xml:space="preserve">nhằm đảm bảo </w:t>
      </w:r>
      <w:r w:rsidR="000934A6">
        <w:rPr>
          <w:rFonts w:ascii="Times New Roman" w:hAnsi="Times New Roman"/>
          <w:sz w:val="28"/>
          <w:szCs w:val="28"/>
          <w:lang w:val="vi-VN"/>
        </w:rPr>
        <w:t>TCTD</w:t>
      </w:r>
      <w:r w:rsidRPr="004A6C97">
        <w:rPr>
          <w:rFonts w:ascii="Times New Roman" w:hAnsi="Times New Roman"/>
          <w:sz w:val="28"/>
          <w:szCs w:val="28"/>
          <w:lang w:val="vi-VN"/>
        </w:rPr>
        <w:t xml:space="preserve"> phải có khả năng quản trị điều hành tốt</w:t>
      </w:r>
      <w:r w:rsidR="00043321" w:rsidRPr="004A6C97">
        <w:rPr>
          <w:rFonts w:ascii="Times New Roman" w:hAnsi="Times New Roman"/>
          <w:sz w:val="28"/>
          <w:szCs w:val="28"/>
          <w:lang w:val="vi-VN"/>
        </w:rPr>
        <w:t>,</w:t>
      </w:r>
      <w:r w:rsidRPr="004A6C97">
        <w:rPr>
          <w:rFonts w:ascii="Times New Roman" w:hAnsi="Times New Roman"/>
          <w:sz w:val="28"/>
          <w:szCs w:val="28"/>
          <w:lang w:val="vi-VN"/>
        </w:rPr>
        <w:t xml:space="preserve"> mới </w:t>
      </w:r>
      <w:r w:rsidR="00EF5D0E" w:rsidRPr="004A6C97">
        <w:rPr>
          <w:rFonts w:ascii="Times New Roman" w:hAnsi="Times New Roman"/>
          <w:sz w:val="28"/>
          <w:szCs w:val="28"/>
          <w:lang w:val="vi-VN"/>
        </w:rPr>
        <w:t>triển khai tiếp việc</w:t>
      </w:r>
      <w:r w:rsidRPr="004A6C97">
        <w:rPr>
          <w:rFonts w:ascii="Times New Roman" w:hAnsi="Times New Roman"/>
          <w:sz w:val="28"/>
          <w:szCs w:val="28"/>
          <w:lang w:val="vi-VN"/>
        </w:rPr>
        <w:t xml:space="preserve"> mở rộng hoạt động </w:t>
      </w:r>
      <w:r w:rsidR="00EF5D0E" w:rsidRPr="004A6C97">
        <w:rPr>
          <w:rFonts w:ascii="Times New Roman" w:hAnsi="Times New Roman"/>
          <w:sz w:val="28"/>
          <w:szCs w:val="28"/>
          <w:lang w:val="vi-VN"/>
        </w:rPr>
        <w:t xml:space="preserve">sang lĩnh vực khác </w:t>
      </w:r>
      <w:r w:rsidRPr="004A6C97">
        <w:rPr>
          <w:rFonts w:ascii="Times New Roman" w:hAnsi="Times New Roman"/>
          <w:sz w:val="28"/>
          <w:szCs w:val="28"/>
          <w:lang w:val="vi-VN"/>
        </w:rPr>
        <w:t xml:space="preserve">theo </w:t>
      </w:r>
      <w:r w:rsidR="00EF5D0E" w:rsidRPr="004A6C97">
        <w:rPr>
          <w:rFonts w:ascii="Times New Roman" w:hAnsi="Times New Roman"/>
          <w:sz w:val="28"/>
          <w:szCs w:val="28"/>
          <w:lang w:val="vi-VN"/>
        </w:rPr>
        <w:t xml:space="preserve">xu </w:t>
      </w:r>
      <w:r w:rsidRPr="004A6C97">
        <w:rPr>
          <w:rFonts w:ascii="Times New Roman" w:hAnsi="Times New Roman"/>
          <w:sz w:val="28"/>
          <w:szCs w:val="28"/>
          <w:lang w:val="vi-VN"/>
        </w:rPr>
        <w:t xml:space="preserve">hướng </w:t>
      </w:r>
      <w:r w:rsidR="00043321" w:rsidRPr="004A6C97">
        <w:rPr>
          <w:rFonts w:ascii="Times New Roman" w:hAnsi="Times New Roman"/>
          <w:sz w:val="28"/>
          <w:szCs w:val="28"/>
          <w:lang w:val="vi-VN"/>
        </w:rPr>
        <w:t xml:space="preserve">hình thành </w:t>
      </w:r>
      <w:r w:rsidRPr="004A6C97">
        <w:rPr>
          <w:rFonts w:ascii="Times New Roman" w:hAnsi="Times New Roman"/>
          <w:sz w:val="28"/>
          <w:szCs w:val="28"/>
          <w:lang w:val="vi-VN"/>
        </w:rPr>
        <w:t>tập đoàn.</w:t>
      </w:r>
    </w:p>
    <w:p w:rsidR="006002F2" w:rsidRPr="006002F2" w:rsidRDefault="006002F2" w:rsidP="006002F2">
      <w:pPr>
        <w:pStyle w:val="ListParagraph"/>
        <w:tabs>
          <w:tab w:val="left" w:pos="709"/>
        </w:tabs>
        <w:ind w:left="0"/>
        <w:contextualSpacing w:val="0"/>
        <w:jc w:val="both"/>
        <w:rPr>
          <w:rFonts w:ascii="Times New Roman" w:hAnsi="Times New Roman"/>
          <w:sz w:val="28"/>
          <w:szCs w:val="28"/>
          <w:lang w:val="vi-VN"/>
        </w:rPr>
      </w:pPr>
      <w:r>
        <w:rPr>
          <w:rFonts w:ascii="Times New Roman" w:hAnsi="Times New Roman"/>
          <w:sz w:val="28"/>
          <w:szCs w:val="28"/>
          <w:lang w:val="vi-VN"/>
        </w:rPr>
        <w:tab/>
        <w:t xml:space="preserve">- Quy trình thực hiện </w:t>
      </w:r>
      <w:r w:rsidR="00902A06">
        <w:rPr>
          <w:rFonts w:ascii="Times New Roman" w:hAnsi="Times New Roman"/>
          <w:sz w:val="28"/>
          <w:szCs w:val="28"/>
          <w:lang w:val="vi-VN"/>
        </w:rPr>
        <w:t xml:space="preserve">hoạt động góp vốn, mua cổ phần </w:t>
      </w:r>
      <w:r>
        <w:rPr>
          <w:rFonts w:ascii="Times New Roman" w:hAnsi="Times New Roman"/>
          <w:sz w:val="28"/>
          <w:szCs w:val="28"/>
          <w:lang w:val="vi-VN"/>
        </w:rPr>
        <w:t xml:space="preserve">và quản trị rủi ro đối với </w:t>
      </w:r>
      <w:r w:rsidR="00902A06">
        <w:rPr>
          <w:rFonts w:ascii="Times New Roman" w:hAnsi="Times New Roman"/>
          <w:sz w:val="28"/>
          <w:szCs w:val="28"/>
          <w:lang w:val="vi-VN"/>
        </w:rPr>
        <w:t>hoạt động</w:t>
      </w:r>
      <w:r>
        <w:rPr>
          <w:rFonts w:ascii="Times New Roman" w:hAnsi="Times New Roman"/>
          <w:sz w:val="28"/>
          <w:szCs w:val="28"/>
          <w:lang w:val="vi-VN"/>
        </w:rPr>
        <w:t xml:space="preserve"> này.</w:t>
      </w:r>
    </w:p>
    <w:p w:rsidR="00520D93" w:rsidRPr="004A6C97" w:rsidRDefault="00D338FD" w:rsidP="001A15C3">
      <w:pPr>
        <w:pStyle w:val="ListParagraph"/>
        <w:tabs>
          <w:tab w:val="left" w:pos="360"/>
        </w:tabs>
        <w:ind w:left="0"/>
        <w:contextualSpacing w:val="0"/>
        <w:jc w:val="both"/>
        <w:rPr>
          <w:rFonts w:ascii="Times New Roman" w:hAnsi="Times New Roman"/>
          <w:sz w:val="28"/>
          <w:szCs w:val="28"/>
          <w:lang w:val="vi-VN"/>
        </w:rPr>
      </w:pPr>
      <w:r w:rsidRPr="006002F2">
        <w:rPr>
          <w:rFonts w:ascii="Times New Roman" w:hAnsi="Times New Roman"/>
          <w:sz w:val="28"/>
          <w:szCs w:val="28"/>
          <w:lang w:val="vi-VN"/>
        </w:rPr>
        <w:tab/>
      </w:r>
      <w:r w:rsidRPr="006002F2">
        <w:rPr>
          <w:rFonts w:ascii="Times New Roman" w:hAnsi="Times New Roman"/>
          <w:sz w:val="28"/>
          <w:szCs w:val="28"/>
          <w:lang w:val="vi-VN"/>
        </w:rPr>
        <w:tab/>
      </w:r>
      <w:r w:rsidRPr="007A07BD">
        <w:rPr>
          <w:rFonts w:ascii="Times New Roman" w:hAnsi="Times New Roman"/>
          <w:sz w:val="28"/>
          <w:szCs w:val="28"/>
          <w:lang w:val="vi-VN"/>
        </w:rPr>
        <w:t xml:space="preserve">Ngoài ra, dự thảo đã phân định rõ ràng điều kiện góp vốn, mua cổ phần </w:t>
      </w:r>
      <w:r w:rsidR="006002F2">
        <w:rPr>
          <w:rFonts w:ascii="Times New Roman" w:hAnsi="Times New Roman"/>
          <w:sz w:val="28"/>
          <w:szCs w:val="28"/>
          <w:lang w:val="vi-VN"/>
        </w:rPr>
        <w:t xml:space="preserve">ở </w:t>
      </w:r>
      <w:r w:rsidRPr="007A07BD">
        <w:rPr>
          <w:rFonts w:ascii="Times New Roman" w:hAnsi="Times New Roman"/>
          <w:sz w:val="28"/>
          <w:szCs w:val="28"/>
          <w:lang w:val="vi-VN"/>
        </w:rPr>
        <w:t xml:space="preserve">nước </w:t>
      </w:r>
      <w:r w:rsidR="00146513" w:rsidRPr="007A07BD">
        <w:rPr>
          <w:rFonts w:ascii="Times New Roman" w:hAnsi="Times New Roman"/>
          <w:sz w:val="28"/>
          <w:szCs w:val="28"/>
          <w:lang w:val="vi-VN"/>
        </w:rPr>
        <w:t xml:space="preserve">ngoài so </w:t>
      </w:r>
      <w:r w:rsidRPr="007A07BD">
        <w:rPr>
          <w:rFonts w:ascii="Times New Roman" w:hAnsi="Times New Roman"/>
          <w:sz w:val="28"/>
          <w:szCs w:val="28"/>
          <w:lang w:val="vi-VN"/>
        </w:rPr>
        <w:t xml:space="preserve">với điều kiện góp vốn, mua cổ phần ở </w:t>
      </w:r>
      <w:r w:rsidR="00146513" w:rsidRPr="007A07BD">
        <w:rPr>
          <w:rFonts w:ascii="Times New Roman" w:hAnsi="Times New Roman"/>
          <w:sz w:val="28"/>
          <w:szCs w:val="28"/>
          <w:lang w:val="vi-VN"/>
        </w:rPr>
        <w:t xml:space="preserve">trong </w:t>
      </w:r>
      <w:r w:rsidRPr="007A07BD">
        <w:rPr>
          <w:rFonts w:ascii="Times New Roman" w:hAnsi="Times New Roman"/>
          <w:sz w:val="28"/>
          <w:szCs w:val="28"/>
          <w:lang w:val="vi-VN"/>
        </w:rPr>
        <w:t>nước</w:t>
      </w:r>
      <w:r w:rsidR="00520D93" w:rsidRPr="007A07BD">
        <w:rPr>
          <w:rFonts w:ascii="Times New Roman" w:hAnsi="Times New Roman"/>
          <w:sz w:val="28"/>
          <w:szCs w:val="28"/>
          <w:lang w:val="vi-VN"/>
        </w:rPr>
        <w:t xml:space="preserve">. </w:t>
      </w:r>
      <w:r w:rsidR="00520D93" w:rsidRPr="004A6C97">
        <w:rPr>
          <w:rFonts w:ascii="Times New Roman" w:hAnsi="Times New Roman"/>
          <w:sz w:val="28"/>
          <w:szCs w:val="28"/>
          <w:lang w:val="vi-VN"/>
        </w:rPr>
        <w:t>Theo đó:</w:t>
      </w:r>
    </w:p>
    <w:p w:rsidR="00D338FD" w:rsidRPr="00A87243" w:rsidRDefault="00520D93" w:rsidP="001A15C3">
      <w:pPr>
        <w:pStyle w:val="ListParagraph"/>
        <w:tabs>
          <w:tab w:val="left" w:pos="360"/>
        </w:tabs>
        <w:ind w:left="0"/>
        <w:contextualSpacing w:val="0"/>
        <w:jc w:val="both"/>
        <w:rPr>
          <w:rFonts w:ascii="Times New Roman" w:hAnsi="Times New Roman"/>
          <w:sz w:val="28"/>
          <w:szCs w:val="28"/>
          <w:lang w:val="vi-VN"/>
        </w:rPr>
      </w:pPr>
      <w:r w:rsidRPr="004A6C97">
        <w:rPr>
          <w:rFonts w:ascii="Times New Roman" w:hAnsi="Times New Roman"/>
          <w:sz w:val="28"/>
          <w:szCs w:val="28"/>
          <w:lang w:val="vi-VN"/>
        </w:rPr>
        <w:tab/>
      </w:r>
      <w:r w:rsidRPr="004A6C97">
        <w:rPr>
          <w:rFonts w:ascii="Times New Roman" w:hAnsi="Times New Roman"/>
          <w:sz w:val="28"/>
          <w:szCs w:val="28"/>
          <w:lang w:val="vi-VN"/>
        </w:rPr>
        <w:tab/>
        <w:t>- T</w:t>
      </w:r>
      <w:r w:rsidR="00751FDD">
        <w:rPr>
          <w:rFonts w:ascii="Times New Roman" w:hAnsi="Times New Roman"/>
          <w:sz w:val="28"/>
          <w:szCs w:val="28"/>
          <w:lang w:val="vi-VN"/>
        </w:rPr>
        <w:t>CTD</w:t>
      </w:r>
      <w:r w:rsidRPr="004A6C97">
        <w:rPr>
          <w:rFonts w:ascii="Times New Roman" w:hAnsi="Times New Roman"/>
          <w:sz w:val="28"/>
          <w:szCs w:val="28"/>
          <w:lang w:val="vi-VN"/>
        </w:rPr>
        <w:t xml:space="preserve"> phải đáp ứng một số điều kiện bổ sung như</w:t>
      </w:r>
      <w:r w:rsidR="00A87243">
        <w:rPr>
          <w:rFonts w:ascii="Times New Roman" w:hAnsi="Times New Roman"/>
          <w:sz w:val="28"/>
          <w:szCs w:val="28"/>
          <w:lang w:val="vi-VN"/>
        </w:rPr>
        <w:t xml:space="preserve"> c</w:t>
      </w:r>
      <w:r w:rsidR="007A2BEB" w:rsidRPr="00A87243">
        <w:rPr>
          <w:rFonts w:ascii="Times New Roman" w:hAnsi="Times New Roman"/>
          <w:sz w:val="28"/>
          <w:szCs w:val="28"/>
          <w:lang w:val="vi-VN"/>
        </w:rPr>
        <w:t>ó Đề án thành lập chặt chẽ, đòi hỏi phải có sự chuẩn bị kỹ lưỡng (</w:t>
      </w:r>
      <w:r w:rsidR="00284DC1" w:rsidRPr="00A87243">
        <w:rPr>
          <w:rFonts w:ascii="Times New Roman" w:hAnsi="Times New Roman"/>
          <w:sz w:val="28"/>
          <w:szCs w:val="28"/>
          <w:lang w:val="vi-VN"/>
        </w:rPr>
        <w:t xml:space="preserve">có </w:t>
      </w:r>
      <w:r w:rsidR="007A2BEB" w:rsidRPr="00A87243">
        <w:rPr>
          <w:rFonts w:ascii="Times New Roman" w:hAnsi="Times New Roman"/>
          <w:sz w:val="28"/>
          <w:szCs w:val="28"/>
          <w:lang w:val="vi-VN"/>
        </w:rPr>
        <w:t>báo cáo nghiên cứu khả thi);</w:t>
      </w:r>
    </w:p>
    <w:p w:rsidR="00520D93" w:rsidRPr="007A07BD" w:rsidRDefault="007A2BEB" w:rsidP="00A87243">
      <w:pPr>
        <w:pStyle w:val="ListParagraph"/>
        <w:tabs>
          <w:tab w:val="left" w:pos="360"/>
        </w:tabs>
        <w:ind w:left="0"/>
        <w:contextualSpacing w:val="0"/>
        <w:jc w:val="both"/>
        <w:rPr>
          <w:rFonts w:ascii="Times New Roman" w:hAnsi="Times New Roman"/>
          <w:sz w:val="28"/>
          <w:szCs w:val="28"/>
          <w:lang w:val="vi-VN"/>
        </w:rPr>
      </w:pPr>
      <w:r w:rsidRPr="00A87243">
        <w:rPr>
          <w:rFonts w:ascii="Times New Roman" w:hAnsi="Times New Roman"/>
          <w:sz w:val="28"/>
          <w:szCs w:val="28"/>
          <w:lang w:val="vi-VN"/>
        </w:rPr>
        <w:tab/>
      </w:r>
      <w:r w:rsidRPr="00A87243">
        <w:rPr>
          <w:rFonts w:ascii="Times New Roman" w:hAnsi="Times New Roman"/>
          <w:sz w:val="28"/>
          <w:szCs w:val="28"/>
          <w:lang w:val="vi-VN"/>
        </w:rPr>
        <w:tab/>
      </w:r>
      <w:r w:rsidRPr="007A07BD">
        <w:rPr>
          <w:rFonts w:ascii="Times New Roman" w:hAnsi="Times New Roman"/>
          <w:sz w:val="28"/>
          <w:szCs w:val="28"/>
          <w:lang w:val="vi-VN"/>
        </w:rPr>
        <w:t xml:space="preserve">- Cơ quan </w:t>
      </w:r>
      <w:r w:rsidR="00705C00">
        <w:rPr>
          <w:rFonts w:ascii="Times New Roman" w:hAnsi="Times New Roman"/>
          <w:sz w:val="28"/>
          <w:szCs w:val="28"/>
          <w:lang w:val="vi-VN"/>
        </w:rPr>
        <w:t>Thanh tra giám sát</w:t>
      </w:r>
      <w:r w:rsidR="007A07BD">
        <w:rPr>
          <w:rFonts w:ascii="Times New Roman" w:hAnsi="Times New Roman"/>
          <w:sz w:val="28"/>
          <w:szCs w:val="28"/>
          <w:lang w:val="vi-VN"/>
        </w:rPr>
        <w:t xml:space="preserve"> </w:t>
      </w:r>
      <w:r w:rsidRPr="007A07BD">
        <w:rPr>
          <w:rFonts w:ascii="Times New Roman" w:hAnsi="Times New Roman"/>
          <w:sz w:val="28"/>
          <w:szCs w:val="28"/>
          <w:lang w:val="vi-VN"/>
        </w:rPr>
        <w:t xml:space="preserve">nước </w:t>
      </w:r>
      <w:r w:rsidR="007A07BD">
        <w:rPr>
          <w:rFonts w:ascii="Times New Roman" w:hAnsi="Times New Roman"/>
          <w:sz w:val="28"/>
          <w:szCs w:val="28"/>
          <w:lang w:val="vi-VN"/>
        </w:rPr>
        <w:t xml:space="preserve">sở tại </w:t>
      </w:r>
      <w:r w:rsidRPr="007A07BD">
        <w:rPr>
          <w:rFonts w:ascii="Times New Roman" w:hAnsi="Times New Roman"/>
          <w:sz w:val="28"/>
          <w:szCs w:val="28"/>
          <w:lang w:val="vi-VN"/>
        </w:rPr>
        <w:t>phải có khả năng thực hiện việc thanh tra, giám sát qua biên giớ</w:t>
      </w:r>
      <w:r w:rsidR="007A07BD">
        <w:rPr>
          <w:rFonts w:ascii="Times New Roman" w:hAnsi="Times New Roman"/>
          <w:sz w:val="28"/>
          <w:szCs w:val="28"/>
          <w:lang w:val="vi-VN"/>
        </w:rPr>
        <w:t xml:space="preserve">i, </w:t>
      </w:r>
      <w:r w:rsidR="007A07BD" w:rsidRPr="00705C00">
        <w:rPr>
          <w:rFonts w:ascii="Times New Roman" w:hAnsi="Times New Roman"/>
          <w:sz w:val="28"/>
          <w:szCs w:val="28"/>
          <w:lang w:val="vi-VN"/>
        </w:rPr>
        <w:t xml:space="preserve">đã ký kết </w:t>
      </w:r>
      <w:r w:rsidR="00705C00" w:rsidRPr="00705C00">
        <w:rPr>
          <w:rFonts w:ascii="Times New Roman" w:hAnsi="Times New Roman"/>
          <w:sz w:val="28"/>
          <w:szCs w:val="28"/>
          <w:lang w:val="vi-VN"/>
        </w:rPr>
        <w:t xml:space="preserve">thỏa thuận về hợp tác trao đổi thông tin, thanh tra giám sát </w:t>
      </w:r>
      <w:r w:rsidR="007A07BD">
        <w:rPr>
          <w:rFonts w:ascii="Times New Roman" w:hAnsi="Times New Roman"/>
          <w:sz w:val="28"/>
          <w:szCs w:val="28"/>
          <w:lang w:val="vi-VN"/>
        </w:rPr>
        <w:t>với Ngân hàng Nhà nước.</w:t>
      </w:r>
    </w:p>
    <w:p w:rsidR="003F6BB5" w:rsidRPr="00881CC3" w:rsidRDefault="00627BEF" w:rsidP="00627BEF">
      <w:pPr>
        <w:pStyle w:val="ListParagraph"/>
        <w:ind w:left="0" w:firstLine="720"/>
        <w:contextualSpacing w:val="0"/>
        <w:jc w:val="both"/>
        <w:rPr>
          <w:rFonts w:ascii="Times New Roman" w:hAnsi="Times New Roman"/>
          <w:b/>
          <w:sz w:val="28"/>
          <w:szCs w:val="28"/>
          <w:lang w:val="vi-VN"/>
        </w:rPr>
      </w:pPr>
      <w:r w:rsidRPr="00881CC3">
        <w:rPr>
          <w:rFonts w:ascii="Times New Roman" w:hAnsi="Times New Roman"/>
          <w:b/>
          <w:sz w:val="28"/>
          <w:szCs w:val="28"/>
          <w:lang w:val="vi-VN"/>
        </w:rPr>
        <w:lastRenderedPageBreak/>
        <w:t xml:space="preserve">3. </w:t>
      </w:r>
      <w:r w:rsidR="003F6BB5" w:rsidRPr="00881CC3">
        <w:rPr>
          <w:rFonts w:ascii="Times New Roman" w:hAnsi="Times New Roman"/>
          <w:b/>
          <w:sz w:val="28"/>
          <w:szCs w:val="28"/>
          <w:lang w:val="vi-VN"/>
        </w:rPr>
        <w:t>Hồ sơ</w:t>
      </w:r>
      <w:r w:rsidR="00057BA7" w:rsidRPr="00881CC3">
        <w:rPr>
          <w:rFonts w:ascii="Times New Roman" w:hAnsi="Times New Roman"/>
          <w:b/>
          <w:sz w:val="28"/>
          <w:szCs w:val="28"/>
          <w:lang w:val="vi-VN"/>
        </w:rPr>
        <w:t xml:space="preserve"> và </w:t>
      </w:r>
      <w:r w:rsidR="003F6BB5" w:rsidRPr="00881CC3">
        <w:rPr>
          <w:rFonts w:ascii="Times New Roman" w:hAnsi="Times New Roman"/>
          <w:b/>
          <w:sz w:val="28"/>
          <w:szCs w:val="28"/>
          <w:lang w:val="vi-VN"/>
        </w:rPr>
        <w:t>thủ tục</w:t>
      </w:r>
      <w:r w:rsidR="00057BA7" w:rsidRPr="00881CC3">
        <w:rPr>
          <w:rFonts w:ascii="Times New Roman" w:hAnsi="Times New Roman"/>
          <w:b/>
          <w:sz w:val="28"/>
          <w:szCs w:val="28"/>
          <w:lang w:val="vi-VN"/>
        </w:rPr>
        <w:t xml:space="preserve"> chấp thuận</w:t>
      </w:r>
    </w:p>
    <w:p w:rsidR="005E008F" w:rsidRPr="004A6C97" w:rsidRDefault="003F6BB5" w:rsidP="005E008F">
      <w:pPr>
        <w:pStyle w:val="ListParagraph"/>
        <w:tabs>
          <w:tab w:val="left" w:pos="360"/>
        </w:tabs>
        <w:ind w:left="0"/>
        <w:contextualSpacing w:val="0"/>
        <w:jc w:val="both"/>
        <w:rPr>
          <w:rFonts w:ascii="Times New Roman" w:hAnsi="Times New Roman"/>
          <w:sz w:val="28"/>
          <w:szCs w:val="28"/>
          <w:lang w:val="vi-VN"/>
        </w:rPr>
      </w:pPr>
      <w:r w:rsidRPr="004A6C97">
        <w:rPr>
          <w:rFonts w:ascii="Times New Roman" w:hAnsi="Times New Roman"/>
          <w:sz w:val="28"/>
          <w:szCs w:val="28"/>
          <w:lang w:val="vi-VN"/>
        </w:rPr>
        <w:tab/>
      </w:r>
      <w:r w:rsidRPr="004A6C97">
        <w:rPr>
          <w:rFonts w:ascii="Times New Roman" w:hAnsi="Times New Roman"/>
          <w:sz w:val="28"/>
          <w:szCs w:val="28"/>
          <w:lang w:val="vi-VN"/>
        </w:rPr>
        <w:tab/>
      </w:r>
      <w:r w:rsidR="007467A7" w:rsidRPr="004A6C97">
        <w:rPr>
          <w:rFonts w:ascii="Times New Roman" w:hAnsi="Times New Roman"/>
          <w:sz w:val="28"/>
          <w:szCs w:val="28"/>
          <w:lang w:val="vi-VN"/>
        </w:rPr>
        <w:t>Quy định về h</w:t>
      </w:r>
      <w:r w:rsidR="00057BA7" w:rsidRPr="004A6C97">
        <w:rPr>
          <w:rFonts w:ascii="Times New Roman" w:hAnsi="Times New Roman"/>
          <w:sz w:val="28"/>
          <w:szCs w:val="28"/>
          <w:lang w:val="vi-VN"/>
        </w:rPr>
        <w:t xml:space="preserve">ồ sơ trình </w:t>
      </w:r>
      <w:r w:rsidR="00AA6D1C" w:rsidRPr="004A6C97">
        <w:rPr>
          <w:rFonts w:ascii="Times New Roman" w:hAnsi="Times New Roman"/>
          <w:sz w:val="28"/>
          <w:szCs w:val="28"/>
          <w:lang w:val="vi-VN"/>
        </w:rPr>
        <w:t>Ngân hàng Nhà nước</w:t>
      </w:r>
      <w:r w:rsidR="00057BA7" w:rsidRPr="004A6C97">
        <w:rPr>
          <w:rFonts w:ascii="Times New Roman" w:hAnsi="Times New Roman"/>
          <w:sz w:val="28"/>
          <w:szCs w:val="28"/>
          <w:lang w:val="vi-VN"/>
        </w:rPr>
        <w:t xml:space="preserve"> chấp thuận việc góp vốn, mua cổ phần của </w:t>
      </w:r>
      <w:r w:rsidR="00751FDD">
        <w:rPr>
          <w:rFonts w:ascii="Times New Roman" w:hAnsi="Times New Roman"/>
          <w:sz w:val="28"/>
          <w:szCs w:val="28"/>
          <w:lang w:val="vi-VN"/>
        </w:rPr>
        <w:t>TCTD</w:t>
      </w:r>
      <w:r w:rsidR="00057BA7" w:rsidRPr="004A6C97">
        <w:rPr>
          <w:rFonts w:ascii="Times New Roman" w:hAnsi="Times New Roman"/>
          <w:sz w:val="28"/>
          <w:szCs w:val="28"/>
          <w:lang w:val="vi-VN"/>
        </w:rPr>
        <w:t xml:space="preserve"> được xây dựng </w:t>
      </w:r>
      <w:r w:rsidR="00043321" w:rsidRPr="004A6C97">
        <w:rPr>
          <w:rFonts w:ascii="Times New Roman" w:hAnsi="Times New Roman"/>
          <w:sz w:val="28"/>
          <w:szCs w:val="28"/>
          <w:lang w:val="vi-VN"/>
        </w:rPr>
        <w:t xml:space="preserve">nhằm thể hiện việc đáp ứng </w:t>
      </w:r>
      <w:r w:rsidR="00057BA7" w:rsidRPr="004A6C97">
        <w:rPr>
          <w:rFonts w:ascii="Times New Roman" w:hAnsi="Times New Roman"/>
          <w:sz w:val="28"/>
          <w:szCs w:val="28"/>
          <w:lang w:val="vi-VN"/>
        </w:rPr>
        <w:t xml:space="preserve">các điều kiện đối với hình thức góp vốn, mua cổ phần tương ứng. </w:t>
      </w:r>
    </w:p>
    <w:p w:rsidR="003F6BB5" w:rsidRPr="004A6C97" w:rsidRDefault="005E008F" w:rsidP="00057BA7">
      <w:pPr>
        <w:pStyle w:val="ListParagraph"/>
        <w:tabs>
          <w:tab w:val="left" w:pos="360"/>
        </w:tabs>
        <w:ind w:left="0"/>
        <w:contextualSpacing w:val="0"/>
        <w:jc w:val="both"/>
        <w:rPr>
          <w:rFonts w:ascii="Times New Roman" w:hAnsi="Times New Roman"/>
          <w:sz w:val="28"/>
          <w:szCs w:val="28"/>
          <w:lang w:val="vi-VN"/>
        </w:rPr>
      </w:pPr>
      <w:r w:rsidRPr="004A6C97">
        <w:rPr>
          <w:rFonts w:ascii="Times New Roman" w:hAnsi="Times New Roman"/>
          <w:sz w:val="28"/>
          <w:szCs w:val="28"/>
          <w:lang w:val="vi-VN"/>
        </w:rPr>
        <w:tab/>
      </w:r>
      <w:r w:rsidRPr="004A6C97">
        <w:rPr>
          <w:rFonts w:ascii="Times New Roman" w:hAnsi="Times New Roman"/>
          <w:sz w:val="28"/>
          <w:szCs w:val="28"/>
          <w:lang w:val="vi-VN"/>
        </w:rPr>
        <w:tab/>
      </w:r>
      <w:r w:rsidR="00057BA7" w:rsidRPr="004A6C97">
        <w:rPr>
          <w:rFonts w:ascii="Times New Roman" w:hAnsi="Times New Roman"/>
          <w:sz w:val="28"/>
          <w:szCs w:val="28"/>
          <w:lang w:val="vi-VN"/>
        </w:rPr>
        <w:t xml:space="preserve">Ngoài ra, hồ sơ còn yêu cầu phải có Đề án góp vốn, mua cổ phần với những thông tin cơ bản, tối thiểu về việc góp vốn, mua cổ phần mà </w:t>
      </w:r>
      <w:r w:rsidR="00751FDD">
        <w:rPr>
          <w:rFonts w:ascii="Times New Roman" w:hAnsi="Times New Roman"/>
          <w:sz w:val="28"/>
          <w:szCs w:val="28"/>
          <w:lang w:val="vi-VN"/>
        </w:rPr>
        <w:t>TCTD</w:t>
      </w:r>
      <w:r w:rsidR="002F78D8" w:rsidRPr="004A6C97">
        <w:rPr>
          <w:rFonts w:ascii="Times New Roman" w:hAnsi="Times New Roman"/>
          <w:sz w:val="28"/>
          <w:szCs w:val="28"/>
          <w:lang w:val="vi-VN"/>
        </w:rPr>
        <w:t xml:space="preserve"> dự kiến thực hiện</w:t>
      </w:r>
      <w:r w:rsidRPr="004A6C97">
        <w:rPr>
          <w:rFonts w:ascii="Times New Roman" w:hAnsi="Times New Roman"/>
          <w:sz w:val="28"/>
          <w:szCs w:val="28"/>
          <w:lang w:val="vi-VN"/>
        </w:rPr>
        <w:t xml:space="preserve">; theo đó, </w:t>
      </w:r>
      <w:r w:rsidR="00751FDD">
        <w:rPr>
          <w:rFonts w:ascii="Times New Roman" w:hAnsi="Times New Roman"/>
          <w:sz w:val="28"/>
          <w:szCs w:val="28"/>
          <w:lang w:val="vi-VN"/>
        </w:rPr>
        <w:t>TCTD</w:t>
      </w:r>
      <w:r w:rsidRPr="004A6C97">
        <w:rPr>
          <w:rFonts w:ascii="Times New Roman" w:hAnsi="Times New Roman"/>
          <w:sz w:val="28"/>
          <w:szCs w:val="28"/>
          <w:lang w:val="vi-VN"/>
        </w:rPr>
        <w:t xml:space="preserve"> phải chứng minh được khả năng nâng cao sức cạnh tranh</w:t>
      </w:r>
      <w:r w:rsidR="007467A7" w:rsidRPr="004A6C97">
        <w:rPr>
          <w:rFonts w:ascii="Times New Roman" w:hAnsi="Times New Roman"/>
          <w:sz w:val="28"/>
          <w:szCs w:val="28"/>
          <w:lang w:val="vi-VN"/>
        </w:rPr>
        <w:t>, chất lượng hoạt động</w:t>
      </w:r>
      <w:r w:rsidRPr="004A6C97">
        <w:rPr>
          <w:rFonts w:ascii="Times New Roman" w:hAnsi="Times New Roman"/>
          <w:sz w:val="28"/>
          <w:szCs w:val="28"/>
          <w:lang w:val="vi-VN"/>
        </w:rPr>
        <w:t xml:space="preserve"> sau khi góp vốn, mua cổ phần; tác động và hiệu quả dự kiến của việc góp vốn, mua cổ phần đối với </w:t>
      </w:r>
      <w:r w:rsidR="00751FDD">
        <w:rPr>
          <w:rFonts w:ascii="Times New Roman" w:hAnsi="Times New Roman"/>
          <w:sz w:val="28"/>
          <w:szCs w:val="28"/>
          <w:lang w:val="vi-VN"/>
        </w:rPr>
        <w:t>TCTD</w:t>
      </w:r>
      <w:r w:rsidRPr="004A6C97">
        <w:rPr>
          <w:rFonts w:ascii="Times New Roman" w:hAnsi="Times New Roman"/>
          <w:sz w:val="28"/>
          <w:szCs w:val="28"/>
          <w:lang w:val="vi-VN"/>
        </w:rPr>
        <w:t xml:space="preserve">, các vấn đề về bảo đảm an toàn hoạt động và quản lý rủi ro đối với </w:t>
      </w:r>
      <w:r w:rsidR="00751FDD">
        <w:rPr>
          <w:rFonts w:ascii="Times New Roman" w:hAnsi="Times New Roman"/>
          <w:sz w:val="28"/>
          <w:szCs w:val="28"/>
          <w:lang w:val="vi-VN"/>
        </w:rPr>
        <w:t>TCTD</w:t>
      </w:r>
      <w:r w:rsidRPr="004A6C97">
        <w:rPr>
          <w:rFonts w:ascii="Times New Roman" w:hAnsi="Times New Roman"/>
          <w:sz w:val="28"/>
          <w:szCs w:val="28"/>
          <w:lang w:val="vi-VN"/>
        </w:rPr>
        <w:t>…</w:t>
      </w:r>
    </w:p>
    <w:p w:rsidR="00DC4FC7" w:rsidRPr="004A6C97" w:rsidRDefault="00DC4FC7" w:rsidP="00057BA7">
      <w:pPr>
        <w:pStyle w:val="ListParagraph"/>
        <w:tabs>
          <w:tab w:val="left" w:pos="360"/>
        </w:tabs>
        <w:ind w:left="0"/>
        <w:contextualSpacing w:val="0"/>
        <w:jc w:val="both"/>
        <w:rPr>
          <w:rFonts w:ascii="Times New Roman" w:hAnsi="Times New Roman"/>
          <w:sz w:val="28"/>
          <w:szCs w:val="28"/>
          <w:lang w:val="vi-VN"/>
        </w:rPr>
      </w:pPr>
      <w:r w:rsidRPr="004A6C97">
        <w:rPr>
          <w:rFonts w:ascii="Times New Roman" w:hAnsi="Times New Roman"/>
          <w:sz w:val="28"/>
          <w:szCs w:val="28"/>
          <w:lang w:val="vi-VN"/>
        </w:rPr>
        <w:tab/>
      </w:r>
      <w:r w:rsidRPr="004A6C97">
        <w:rPr>
          <w:rFonts w:ascii="Times New Roman" w:hAnsi="Times New Roman"/>
          <w:sz w:val="28"/>
          <w:szCs w:val="28"/>
          <w:lang w:val="vi-VN"/>
        </w:rPr>
        <w:tab/>
        <w:t xml:space="preserve">Thủ tục chấp thuận </w:t>
      </w:r>
      <w:r w:rsidR="002F3C20" w:rsidRPr="004A6C97">
        <w:rPr>
          <w:rFonts w:ascii="Times New Roman" w:hAnsi="Times New Roman"/>
          <w:sz w:val="28"/>
          <w:szCs w:val="28"/>
          <w:lang w:val="vi-VN"/>
        </w:rPr>
        <w:t xml:space="preserve">cũng </w:t>
      </w:r>
      <w:r w:rsidRPr="004A6C97">
        <w:rPr>
          <w:rFonts w:ascii="Times New Roman" w:hAnsi="Times New Roman"/>
          <w:sz w:val="28"/>
          <w:szCs w:val="28"/>
          <w:lang w:val="vi-VN"/>
        </w:rPr>
        <w:t>được quy định rõ từng khâu và thời gian xem xét, xử lý hồ sơ ở mỗi khâu</w:t>
      </w:r>
      <w:r w:rsidR="002F78D8" w:rsidRPr="004A6C97">
        <w:rPr>
          <w:rFonts w:ascii="Times New Roman" w:hAnsi="Times New Roman"/>
          <w:sz w:val="28"/>
          <w:szCs w:val="28"/>
          <w:lang w:val="vi-VN"/>
        </w:rPr>
        <w:t xml:space="preserve"> đảm bảo đúng theo tinh thần chỉ đạo của Thủ tướng Chính phủ về việc đơn giản hoá thủ tục hành chính</w:t>
      </w:r>
      <w:r w:rsidRPr="004A6C97">
        <w:rPr>
          <w:rFonts w:ascii="Times New Roman" w:hAnsi="Times New Roman"/>
          <w:sz w:val="28"/>
          <w:szCs w:val="28"/>
          <w:lang w:val="vi-VN"/>
        </w:rPr>
        <w:t xml:space="preserve">. </w:t>
      </w:r>
      <w:r w:rsidR="002F3C20" w:rsidRPr="004A6C97">
        <w:rPr>
          <w:rFonts w:ascii="Times New Roman" w:hAnsi="Times New Roman"/>
          <w:sz w:val="28"/>
          <w:szCs w:val="28"/>
          <w:lang w:val="vi-VN"/>
        </w:rPr>
        <w:t xml:space="preserve">Theo đó, các đơn vị chức năng có liên quan có trách nhiệm thực hiện nhiệm vụ của mình theo một quy trình và thời gian thống nhất khi xem xét đề nghị của các </w:t>
      </w:r>
      <w:r w:rsidR="00751FDD">
        <w:rPr>
          <w:rFonts w:ascii="Times New Roman" w:hAnsi="Times New Roman"/>
          <w:sz w:val="28"/>
          <w:szCs w:val="28"/>
          <w:lang w:val="vi-VN"/>
        </w:rPr>
        <w:t>TCTD</w:t>
      </w:r>
      <w:r w:rsidRPr="004A6C97">
        <w:rPr>
          <w:rFonts w:ascii="Times New Roman" w:hAnsi="Times New Roman"/>
          <w:sz w:val="28"/>
          <w:szCs w:val="28"/>
          <w:lang w:val="vi-VN"/>
        </w:rPr>
        <w:t>.</w:t>
      </w:r>
    </w:p>
    <w:p w:rsidR="00C478B0" w:rsidRPr="00881CC3" w:rsidRDefault="00627BEF" w:rsidP="00627BEF">
      <w:pPr>
        <w:pStyle w:val="ListParagraph"/>
        <w:ind w:left="0" w:firstLine="720"/>
        <w:contextualSpacing w:val="0"/>
        <w:jc w:val="both"/>
        <w:rPr>
          <w:rFonts w:ascii="Times New Roman" w:hAnsi="Times New Roman"/>
          <w:b/>
          <w:sz w:val="28"/>
          <w:szCs w:val="28"/>
          <w:lang w:val="vi-VN"/>
        </w:rPr>
      </w:pPr>
      <w:r w:rsidRPr="00881CC3">
        <w:rPr>
          <w:rFonts w:ascii="Times New Roman" w:hAnsi="Times New Roman"/>
          <w:b/>
          <w:sz w:val="28"/>
          <w:szCs w:val="28"/>
          <w:lang w:val="vi-VN"/>
        </w:rPr>
        <w:t xml:space="preserve">4. </w:t>
      </w:r>
      <w:r w:rsidR="00C478B0" w:rsidRPr="00881CC3">
        <w:rPr>
          <w:rFonts w:ascii="Times New Roman" w:hAnsi="Times New Roman"/>
          <w:b/>
          <w:sz w:val="28"/>
          <w:szCs w:val="28"/>
          <w:lang w:val="vi-VN"/>
        </w:rPr>
        <w:t xml:space="preserve">Các thay đổi liên quan đến việc góp vốn, mua cổ phần của </w:t>
      </w:r>
      <w:r w:rsidR="00751FDD" w:rsidRPr="00881CC3">
        <w:rPr>
          <w:rFonts w:ascii="Times New Roman" w:hAnsi="Times New Roman"/>
          <w:b/>
          <w:sz w:val="28"/>
          <w:szCs w:val="28"/>
          <w:lang w:val="vi-VN"/>
        </w:rPr>
        <w:t>TCTD</w:t>
      </w:r>
    </w:p>
    <w:p w:rsidR="00C478B0" w:rsidRPr="004A6C97" w:rsidRDefault="00C478B0" w:rsidP="007467A7">
      <w:pPr>
        <w:pStyle w:val="ListParagraph"/>
        <w:tabs>
          <w:tab w:val="left" w:pos="360"/>
        </w:tabs>
        <w:ind w:left="0"/>
        <w:contextualSpacing w:val="0"/>
        <w:jc w:val="both"/>
        <w:rPr>
          <w:rFonts w:ascii="Times New Roman" w:hAnsi="Times New Roman"/>
          <w:sz w:val="28"/>
          <w:szCs w:val="28"/>
          <w:lang w:val="vi-VN"/>
        </w:rPr>
      </w:pPr>
      <w:r w:rsidRPr="004A6C97">
        <w:rPr>
          <w:rFonts w:ascii="Times New Roman" w:hAnsi="Times New Roman"/>
          <w:sz w:val="28"/>
          <w:szCs w:val="28"/>
          <w:lang w:val="vi-VN"/>
        </w:rPr>
        <w:tab/>
      </w:r>
      <w:r w:rsidRPr="004A6C97">
        <w:rPr>
          <w:rFonts w:ascii="Times New Roman" w:hAnsi="Times New Roman"/>
          <w:sz w:val="28"/>
          <w:szCs w:val="28"/>
          <w:lang w:val="vi-VN"/>
        </w:rPr>
        <w:tab/>
      </w:r>
      <w:r w:rsidR="007467A7" w:rsidRPr="004A6C97">
        <w:rPr>
          <w:rFonts w:ascii="Times New Roman" w:hAnsi="Times New Roman"/>
          <w:sz w:val="28"/>
          <w:szCs w:val="28"/>
          <w:lang w:val="vi-VN"/>
        </w:rPr>
        <w:t>Theo quy định tại dự thảo, c</w:t>
      </w:r>
      <w:r w:rsidRPr="004A6C97">
        <w:rPr>
          <w:rFonts w:ascii="Times New Roman" w:hAnsi="Times New Roman"/>
          <w:sz w:val="28"/>
          <w:szCs w:val="28"/>
          <w:lang w:val="vi-VN"/>
        </w:rPr>
        <w:t xml:space="preserve">ác thay đổi liên quan đến việc góp vốn, mua cổ phần của </w:t>
      </w:r>
      <w:r w:rsidR="00751FDD">
        <w:rPr>
          <w:rFonts w:ascii="Times New Roman" w:hAnsi="Times New Roman"/>
          <w:sz w:val="28"/>
          <w:szCs w:val="28"/>
          <w:lang w:val="vi-VN"/>
        </w:rPr>
        <w:t>TCTD</w:t>
      </w:r>
      <w:r w:rsidRPr="004A6C97">
        <w:rPr>
          <w:rFonts w:ascii="Times New Roman" w:hAnsi="Times New Roman"/>
          <w:sz w:val="28"/>
          <w:szCs w:val="28"/>
          <w:lang w:val="vi-VN"/>
        </w:rPr>
        <w:t xml:space="preserve"> phải thông báo với Ngân hàng Nhà nước</w:t>
      </w:r>
      <w:r w:rsidR="007467A7" w:rsidRPr="004A6C97">
        <w:rPr>
          <w:rFonts w:ascii="Times New Roman" w:hAnsi="Times New Roman"/>
          <w:sz w:val="28"/>
          <w:szCs w:val="28"/>
          <w:lang w:val="vi-VN"/>
        </w:rPr>
        <w:t xml:space="preserve"> l</w:t>
      </w:r>
      <w:r w:rsidRPr="004A6C97">
        <w:rPr>
          <w:rFonts w:ascii="Times New Roman" w:hAnsi="Times New Roman"/>
          <w:sz w:val="28"/>
          <w:szCs w:val="28"/>
          <w:lang w:val="vi-VN"/>
        </w:rPr>
        <w:t xml:space="preserve">à những thay đổi không có ảnh hưởng trọng yếu đến hoạt động của </w:t>
      </w:r>
      <w:r w:rsidR="00A87243" w:rsidRPr="00F57D1C">
        <w:rPr>
          <w:rFonts w:ascii="Times New Roman" w:hAnsi="Times New Roman"/>
          <w:sz w:val="28"/>
          <w:szCs w:val="28"/>
          <w:lang w:val="vi-VN"/>
        </w:rPr>
        <w:t>TCTD</w:t>
      </w:r>
      <w:r w:rsidRPr="004A6C97">
        <w:rPr>
          <w:rFonts w:ascii="Times New Roman" w:hAnsi="Times New Roman"/>
          <w:sz w:val="28"/>
          <w:szCs w:val="28"/>
          <w:lang w:val="vi-VN"/>
        </w:rPr>
        <w:t>, chủ yếu là các nội dung thay đổi của công ty con, công ty liên kết không liên quan đến điều kiện thực hiện</w:t>
      </w:r>
      <w:r w:rsidR="004D2C23" w:rsidRPr="004A6C97">
        <w:rPr>
          <w:rFonts w:ascii="Times New Roman" w:hAnsi="Times New Roman"/>
          <w:sz w:val="28"/>
          <w:szCs w:val="28"/>
          <w:lang w:val="vi-VN"/>
        </w:rPr>
        <w:t xml:space="preserve">. Đối với những thay đổi này, </w:t>
      </w:r>
      <w:r w:rsidR="00A87243" w:rsidRPr="00F57D1C">
        <w:rPr>
          <w:rFonts w:ascii="Times New Roman" w:hAnsi="Times New Roman"/>
          <w:sz w:val="28"/>
          <w:szCs w:val="28"/>
          <w:lang w:val="vi-VN"/>
        </w:rPr>
        <w:t>TCTD</w:t>
      </w:r>
      <w:r w:rsidRPr="004A6C97">
        <w:rPr>
          <w:rFonts w:ascii="Times New Roman" w:hAnsi="Times New Roman"/>
          <w:sz w:val="28"/>
          <w:szCs w:val="28"/>
          <w:lang w:val="vi-VN"/>
        </w:rPr>
        <w:t xml:space="preserve"> chỉ cần thông báo với Ngân hàng Nhà nước để cập nhật thông tin theo dõi, quản lý.</w:t>
      </w:r>
    </w:p>
    <w:p w:rsidR="00AA6D1C" w:rsidRPr="00627BEF" w:rsidRDefault="00AA6D1C" w:rsidP="00627BEF">
      <w:pPr>
        <w:pStyle w:val="ListParagraph"/>
        <w:ind w:left="0" w:firstLine="720"/>
        <w:contextualSpacing w:val="0"/>
        <w:jc w:val="both"/>
        <w:rPr>
          <w:rFonts w:ascii="Times New Roman" w:hAnsi="Times New Roman"/>
          <w:b/>
          <w:sz w:val="28"/>
          <w:szCs w:val="28"/>
        </w:rPr>
      </w:pPr>
      <w:r w:rsidRPr="00627BEF">
        <w:rPr>
          <w:rFonts w:ascii="Times New Roman" w:hAnsi="Times New Roman"/>
          <w:b/>
          <w:sz w:val="28"/>
          <w:szCs w:val="28"/>
        </w:rPr>
        <w:t xml:space="preserve"> </w:t>
      </w:r>
      <w:r w:rsidR="00627BEF">
        <w:rPr>
          <w:rFonts w:ascii="Times New Roman" w:hAnsi="Times New Roman"/>
          <w:b/>
          <w:sz w:val="28"/>
          <w:szCs w:val="28"/>
        </w:rPr>
        <w:t xml:space="preserve">5. </w:t>
      </w:r>
      <w:r w:rsidRPr="00627BEF">
        <w:rPr>
          <w:rFonts w:ascii="Times New Roman" w:hAnsi="Times New Roman"/>
          <w:b/>
          <w:sz w:val="28"/>
          <w:szCs w:val="28"/>
        </w:rPr>
        <w:t xml:space="preserve">Nguyên tắc chấp thuận việc góp vốn, mua cổ phần của </w:t>
      </w:r>
      <w:r w:rsidR="00A87243" w:rsidRPr="00627BEF">
        <w:rPr>
          <w:rFonts w:ascii="Times New Roman" w:hAnsi="Times New Roman"/>
          <w:b/>
          <w:sz w:val="28"/>
          <w:szCs w:val="28"/>
        </w:rPr>
        <w:t>TCTD</w:t>
      </w:r>
    </w:p>
    <w:p w:rsidR="00627BEF" w:rsidRDefault="00AA6D1C" w:rsidP="00627BEF">
      <w:pPr>
        <w:pStyle w:val="ListParagraph"/>
        <w:tabs>
          <w:tab w:val="left" w:pos="360"/>
        </w:tabs>
        <w:ind w:left="0"/>
        <w:contextualSpacing w:val="0"/>
        <w:jc w:val="both"/>
        <w:rPr>
          <w:rFonts w:ascii="Times New Roman" w:hAnsi="Times New Roman"/>
          <w:sz w:val="28"/>
          <w:szCs w:val="28"/>
          <w:lang w:val="en-GB"/>
        </w:rPr>
      </w:pPr>
      <w:r w:rsidRPr="004A6C97">
        <w:rPr>
          <w:rFonts w:ascii="Times New Roman" w:hAnsi="Times New Roman"/>
          <w:sz w:val="28"/>
          <w:szCs w:val="28"/>
          <w:lang w:val="vi-VN"/>
        </w:rPr>
        <w:tab/>
        <w:t xml:space="preserve">     </w:t>
      </w:r>
      <w:r w:rsidR="004F37C0" w:rsidRPr="004A6C97">
        <w:rPr>
          <w:rFonts w:ascii="Times New Roman" w:hAnsi="Times New Roman"/>
          <w:sz w:val="28"/>
          <w:szCs w:val="28"/>
          <w:lang w:val="vi-VN"/>
        </w:rPr>
        <w:t xml:space="preserve">Trên cơ sở </w:t>
      </w:r>
      <w:r w:rsidR="007E4092" w:rsidRPr="004A6C97">
        <w:rPr>
          <w:rFonts w:ascii="Times New Roman" w:hAnsi="Times New Roman"/>
          <w:sz w:val="28"/>
          <w:szCs w:val="28"/>
          <w:lang w:val="vi-VN"/>
        </w:rPr>
        <w:t xml:space="preserve">thẩm định </w:t>
      </w:r>
      <w:r w:rsidR="004F37C0" w:rsidRPr="004A6C97">
        <w:rPr>
          <w:rFonts w:ascii="Times New Roman" w:hAnsi="Times New Roman"/>
          <w:sz w:val="28"/>
          <w:szCs w:val="28"/>
          <w:lang w:val="vi-VN"/>
        </w:rPr>
        <w:t>các điều kiện góp vốn, mua cổ phần theo quy định tại Thông tư, Ngân hàng Nhà nước sẽ xem xét, quyết định đề nghị</w:t>
      </w:r>
      <w:r w:rsidR="00BD4FBD" w:rsidRPr="004A6C97">
        <w:rPr>
          <w:rFonts w:ascii="Times New Roman" w:hAnsi="Times New Roman"/>
          <w:sz w:val="28"/>
          <w:szCs w:val="28"/>
          <w:lang w:val="vi-VN"/>
        </w:rPr>
        <w:t xml:space="preserve"> của </w:t>
      </w:r>
      <w:r w:rsidR="00F57D1C" w:rsidRPr="00F57D1C">
        <w:rPr>
          <w:rFonts w:ascii="Times New Roman" w:hAnsi="Times New Roman"/>
          <w:sz w:val="28"/>
          <w:szCs w:val="28"/>
          <w:lang w:val="vi-VN"/>
        </w:rPr>
        <w:t>TCTD</w:t>
      </w:r>
      <w:r w:rsidR="00BD4FBD" w:rsidRPr="004A6C97">
        <w:rPr>
          <w:rFonts w:ascii="Times New Roman" w:hAnsi="Times New Roman"/>
          <w:sz w:val="28"/>
          <w:szCs w:val="28"/>
          <w:lang w:val="vi-VN"/>
        </w:rPr>
        <w:t xml:space="preserve"> phù hợp với mục tiêu điều hành chính sách tiền tệ trong từng thời kỳ</w:t>
      </w:r>
      <w:r w:rsidR="007E4092" w:rsidRPr="004A6C97">
        <w:rPr>
          <w:rFonts w:ascii="Times New Roman" w:hAnsi="Times New Roman"/>
          <w:sz w:val="28"/>
          <w:szCs w:val="28"/>
          <w:lang w:val="vi-VN"/>
        </w:rPr>
        <w:t>.</w:t>
      </w:r>
    </w:p>
    <w:p w:rsidR="00AA6D1C" w:rsidRPr="00627BEF" w:rsidRDefault="00627BEF" w:rsidP="00627BEF">
      <w:pPr>
        <w:pStyle w:val="ListParagraph"/>
        <w:tabs>
          <w:tab w:val="left" w:pos="360"/>
        </w:tabs>
        <w:ind w:left="0"/>
        <w:contextualSpacing w:val="0"/>
        <w:jc w:val="both"/>
        <w:rPr>
          <w:rFonts w:ascii="Times New Roman" w:hAnsi="Times New Roman"/>
          <w:sz w:val="28"/>
          <w:szCs w:val="28"/>
          <w:lang w:val="vi-VN"/>
        </w:rPr>
      </w:pPr>
      <w:r>
        <w:rPr>
          <w:rFonts w:ascii="Times New Roman" w:hAnsi="Times New Roman"/>
          <w:sz w:val="28"/>
          <w:szCs w:val="28"/>
          <w:lang w:val="en-GB"/>
        </w:rPr>
        <w:tab/>
      </w:r>
      <w:r>
        <w:rPr>
          <w:rFonts w:ascii="Times New Roman" w:hAnsi="Times New Roman"/>
          <w:sz w:val="28"/>
          <w:szCs w:val="28"/>
          <w:lang w:val="en-GB"/>
        </w:rPr>
        <w:tab/>
      </w:r>
      <w:r w:rsidR="00FF3657">
        <w:rPr>
          <w:rFonts w:ascii="Times New Roman" w:hAnsi="Times New Roman"/>
          <w:b/>
          <w:i/>
          <w:sz w:val="28"/>
          <w:szCs w:val="28"/>
          <w:lang w:val="en-GB"/>
        </w:rPr>
        <w:t xml:space="preserve"> </w:t>
      </w:r>
      <w:r w:rsidR="003C794F" w:rsidRPr="00627BEF">
        <w:rPr>
          <w:rFonts w:ascii="Times New Roman" w:hAnsi="Times New Roman"/>
          <w:b/>
          <w:sz w:val="28"/>
          <w:szCs w:val="28"/>
        </w:rPr>
        <w:t>6.</w:t>
      </w:r>
      <w:r w:rsidR="00AA6D1C" w:rsidRPr="00627BEF">
        <w:rPr>
          <w:rFonts w:ascii="Times New Roman" w:hAnsi="Times New Roman"/>
          <w:b/>
          <w:sz w:val="28"/>
          <w:szCs w:val="28"/>
        </w:rPr>
        <w:t xml:space="preserve"> Thẩm quyền xem xét cấp phép và thực hiện chức năng quản lý nhà nước đối với việc góp vốn mua cổ phần của </w:t>
      </w:r>
      <w:r w:rsidR="00F57D1C" w:rsidRPr="00627BEF">
        <w:rPr>
          <w:rFonts w:ascii="Times New Roman" w:hAnsi="Times New Roman"/>
          <w:b/>
          <w:sz w:val="28"/>
          <w:szCs w:val="28"/>
        </w:rPr>
        <w:t>TCTD</w:t>
      </w:r>
    </w:p>
    <w:p w:rsidR="00F57D1C" w:rsidRPr="004A6C97" w:rsidRDefault="00AA6D1C" w:rsidP="003C13C4">
      <w:pPr>
        <w:pStyle w:val="ListParagraph"/>
        <w:tabs>
          <w:tab w:val="left" w:pos="1008"/>
        </w:tabs>
        <w:ind w:left="0"/>
        <w:contextualSpacing w:val="0"/>
        <w:jc w:val="both"/>
        <w:rPr>
          <w:rFonts w:ascii="Times New Roman" w:hAnsi="Times New Roman"/>
          <w:sz w:val="28"/>
          <w:szCs w:val="28"/>
          <w:lang w:val="vi-VN"/>
        </w:rPr>
      </w:pPr>
      <w:r w:rsidRPr="004A6C97">
        <w:rPr>
          <w:rFonts w:ascii="Times New Roman" w:hAnsi="Times New Roman"/>
          <w:sz w:val="28"/>
          <w:szCs w:val="28"/>
          <w:lang w:val="vi-VN"/>
        </w:rPr>
        <w:t xml:space="preserve">          Thống đốc Ngân hàng Nhà nước </w:t>
      </w:r>
      <w:r w:rsidR="003C13C4" w:rsidRPr="004A6C97">
        <w:rPr>
          <w:rFonts w:ascii="Times New Roman" w:hAnsi="Times New Roman"/>
          <w:sz w:val="28"/>
          <w:szCs w:val="28"/>
          <w:lang w:val="vi-VN"/>
        </w:rPr>
        <w:t xml:space="preserve">xem xét, quyết định các vấn đề liên quan việc </w:t>
      </w:r>
      <w:r w:rsidR="00F57D1C" w:rsidRPr="00F57D1C">
        <w:rPr>
          <w:rFonts w:ascii="Times New Roman" w:hAnsi="Times New Roman"/>
          <w:sz w:val="28"/>
          <w:szCs w:val="28"/>
          <w:lang w:val="vi-VN"/>
        </w:rPr>
        <w:t>TCTD</w:t>
      </w:r>
      <w:r w:rsidR="003C13C4" w:rsidRPr="004A6C97">
        <w:rPr>
          <w:rFonts w:ascii="Times New Roman" w:hAnsi="Times New Roman"/>
          <w:sz w:val="28"/>
          <w:szCs w:val="28"/>
          <w:lang w:val="vi-VN"/>
        </w:rPr>
        <w:t xml:space="preserve"> góp vốn, mua cổ phần</w:t>
      </w:r>
      <w:r w:rsidR="001D331F" w:rsidRPr="004A6C97">
        <w:rPr>
          <w:rFonts w:ascii="Times New Roman" w:hAnsi="Times New Roman"/>
          <w:sz w:val="28"/>
          <w:szCs w:val="28"/>
          <w:lang w:val="vi-VN"/>
        </w:rPr>
        <w:t xml:space="preserve"> để thành lập, mua lại</w:t>
      </w:r>
      <w:r w:rsidR="003C13C4" w:rsidRPr="004A6C97">
        <w:rPr>
          <w:rFonts w:ascii="Times New Roman" w:hAnsi="Times New Roman"/>
          <w:sz w:val="28"/>
          <w:szCs w:val="28"/>
          <w:lang w:val="vi-VN"/>
        </w:rPr>
        <w:t xml:space="preserve"> công ty con, công ty liên kế</w:t>
      </w:r>
      <w:r w:rsidR="001D331F" w:rsidRPr="004A6C97">
        <w:rPr>
          <w:rFonts w:ascii="Times New Roman" w:hAnsi="Times New Roman"/>
          <w:sz w:val="28"/>
          <w:szCs w:val="28"/>
          <w:lang w:val="vi-VN"/>
        </w:rPr>
        <w:t>t</w:t>
      </w:r>
      <w:r w:rsidR="00F57D1C" w:rsidRPr="00F57D1C">
        <w:rPr>
          <w:rFonts w:ascii="Times New Roman" w:hAnsi="Times New Roman"/>
          <w:sz w:val="28"/>
          <w:szCs w:val="28"/>
          <w:lang w:val="vi-VN"/>
        </w:rPr>
        <w:t xml:space="preserve"> và</w:t>
      </w:r>
      <w:r w:rsidR="003C13C4" w:rsidRPr="004A6C97">
        <w:rPr>
          <w:rFonts w:ascii="Times New Roman" w:hAnsi="Times New Roman"/>
          <w:sz w:val="28"/>
          <w:szCs w:val="28"/>
          <w:lang w:val="vi-VN"/>
        </w:rPr>
        <w:t xml:space="preserve"> đầu tư </w:t>
      </w:r>
      <w:r w:rsidR="004D2C23" w:rsidRPr="004A6C97">
        <w:rPr>
          <w:rFonts w:ascii="Times New Roman" w:hAnsi="Times New Roman"/>
          <w:sz w:val="28"/>
          <w:szCs w:val="28"/>
          <w:lang w:val="vi-VN"/>
        </w:rPr>
        <w:t>thương mại</w:t>
      </w:r>
      <w:r w:rsidR="003C13C4" w:rsidRPr="004A6C97">
        <w:rPr>
          <w:rFonts w:ascii="Times New Roman" w:hAnsi="Times New Roman"/>
          <w:sz w:val="28"/>
          <w:szCs w:val="28"/>
          <w:lang w:val="vi-VN"/>
        </w:rPr>
        <w:t>.</w:t>
      </w:r>
    </w:p>
    <w:p w:rsidR="00D20E1E" w:rsidRPr="004A6C97" w:rsidRDefault="003C13C4" w:rsidP="00627BEF">
      <w:pPr>
        <w:pStyle w:val="ListParagraph"/>
        <w:tabs>
          <w:tab w:val="left" w:pos="1008"/>
        </w:tabs>
        <w:ind w:left="0"/>
        <w:contextualSpacing w:val="0"/>
        <w:jc w:val="both"/>
        <w:rPr>
          <w:rFonts w:ascii="Times New Roman" w:hAnsi="Times New Roman"/>
          <w:sz w:val="28"/>
          <w:szCs w:val="28"/>
          <w:lang w:val="vi-VN"/>
        </w:rPr>
      </w:pPr>
      <w:r w:rsidRPr="00F57D1C">
        <w:rPr>
          <w:rFonts w:ascii="Times New Roman" w:hAnsi="Times New Roman"/>
          <w:sz w:val="28"/>
          <w:szCs w:val="28"/>
          <w:lang w:val="vi-VN"/>
        </w:rPr>
        <w:t xml:space="preserve">          </w:t>
      </w:r>
      <w:r w:rsidR="00B1205A" w:rsidRPr="00F57D1C">
        <w:rPr>
          <w:rFonts w:ascii="Times New Roman" w:hAnsi="Times New Roman"/>
          <w:sz w:val="28"/>
          <w:szCs w:val="28"/>
          <w:lang w:val="vi-VN"/>
        </w:rPr>
        <w:t xml:space="preserve">Trên đây là tóm tắt những nét chính của </w:t>
      </w:r>
      <w:r w:rsidR="00680CDA" w:rsidRPr="00F57D1C">
        <w:rPr>
          <w:rFonts w:ascii="Times New Roman" w:hAnsi="Times New Roman"/>
          <w:sz w:val="28"/>
          <w:szCs w:val="28"/>
          <w:lang w:val="vi-VN"/>
        </w:rPr>
        <w:t>d</w:t>
      </w:r>
      <w:r w:rsidR="00B1205A" w:rsidRPr="00F57D1C">
        <w:rPr>
          <w:rFonts w:ascii="Times New Roman" w:hAnsi="Times New Roman"/>
          <w:sz w:val="28"/>
          <w:szCs w:val="28"/>
          <w:lang w:val="vi-VN"/>
        </w:rPr>
        <w:t xml:space="preserve">ự thảo </w:t>
      </w:r>
      <w:r w:rsidR="00680CDA" w:rsidRPr="00F57D1C">
        <w:rPr>
          <w:rFonts w:ascii="Times New Roman" w:hAnsi="Times New Roman"/>
          <w:sz w:val="28"/>
          <w:szCs w:val="28"/>
          <w:lang w:val="vi-VN"/>
        </w:rPr>
        <w:t xml:space="preserve">Thông tư </w:t>
      </w:r>
      <w:r w:rsidR="00F57D1C" w:rsidRPr="00F57D1C">
        <w:rPr>
          <w:rFonts w:ascii="Times New Roman" w:hAnsi="Times New Roman"/>
          <w:i/>
          <w:sz w:val="28"/>
          <w:szCs w:val="28"/>
          <w:lang w:val="vi-VN"/>
        </w:rPr>
        <w:t>hướng dẫn điều kiện, hồ</w:t>
      </w:r>
      <w:r w:rsidR="00A14ADD">
        <w:rPr>
          <w:rFonts w:ascii="Times New Roman" w:hAnsi="Times New Roman"/>
          <w:i/>
          <w:sz w:val="28"/>
          <w:szCs w:val="28"/>
          <w:lang w:val="vi-VN"/>
        </w:rPr>
        <w:t xml:space="preserve"> sơ</w:t>
      </w:r>
      <w:r w:rsidR="00A14ADD" w:rsidRPr="004A6C97">
        <w:rPr>
          <w:rFonts w:ascii="Times New Roman" w:hAnsi="Times New Roman"/>
          <w:i/>
          <w:sz w:val="28"/>
          <w:szCs w:val="28"/>
          <w:lang w:val="vi-VN"/>
        </w:rPr>
        <w:t xml:space="preserve">, trình tự và </w:t>
      </w:r>
      <w:r w:rsidR="00F57D1C" w:rsidRPr="00F57D1C">
        <w:rPr>
          <w:rFonts w:ascii="Times New Roman" w:hAnsi="Times New Roman"/>
          <w:i/>
          <w:sz w:val="28"/>
          <w:szCs w:val="28"/>
          <w:lang w:val="vi-VN"/>
        </w:rPr>
        <w:t>thủ tục góp vốn, mua cổ phần của TCTD</w:t>
      </w:r>
      <w:r w:rsidR="00F57D1C" w:rsidRPr="00F57D1C">
        <w:rPr>
          <w:rFonts w:ascii="Times New Roman" w:hAnsi="Times New Roman"/>
          <w:sz w:val="28"/>
          <w:szCs w:val="28"/>
          <w:lang w:val="vi-VN"/>
        </w:rPr>
        <w:t xml:space="preserve"> </w:t>
      </w:r>
      <w:r w:rsidR="00D20E1E" w:rsidRPr="00F57D1C">
        <w:rPr>
          <w:rFonts w:ascii="Times New Roman" w:hAnsi="Times New Roman"/>
          <w:sz w:val="28"/>
          <w:szCs w:val="28"/>
          <w:lang w:val="vi-VN"/>
        </w:rPr>
        <w:t>và một số nội dung cần thêm nhiều ý kiến góp ý. Ban soạn thảo rất mong nhận được sự quan tâm và ý kiến góp ý</w:t>
      </w:r>
      <w:r w:rsidR="00F57D1C" w:rsidRPr="00F57D1C">
        <w:rPr>
          <w:rFonts w:ascii="Times New Roman" w:hAnsi="Times New Roman"/>
          <w:sz w:val="28"/>
          <w:szCs w:val="28"/>
          <w:lang w:val="vi-VN"/>
        </w:rPr>
        <w:t xml:space="preserve"> đối với dự thảo này</w:t>
      </w:r>
      <w:r w:rsidR="00D20E1E" w:rsidRPr="00F57D1C">
        <w:rPr>
          <w:rFonts w:ascii="Times New Roman" w:hAnsi="Times New Roman"/>
          <w:sz w:val="28"/>
          <w:szCs w:val="28"/>
          <w:lang w:val="vi-VN"/>
        </w:rPr>
        <w:t xml:space="preserve">. </w:t>
      </w:r>
      <w:r w:rsidR="00D20E1E" w:rsidRPr="004A6C97">
        <w:rPr>
          <w:rFonts w:ascii="Times New Roman" w:hAnsi="Times New Roman"/>
          <w:sz w:val="28"/>
          <w:szCs w:val="28"/>
          <w:lang w:val="vi-VN"/>
        </w:rPr>
        <w:t>Xin chân thành cảm ơn.</w:t>
      </w:r>
      <w:r w:rsidR="001B12BE" w:rsidRPr="004A6C97">
        <w:rPr>
          <w:rFonts w:ascii="Times New Roman" w:hAnsi="Times New Roman"/>
          <w:sz w:val="28"/>
          <w:szCs w:val="28"/>
          <w:lang w:val="vi-VN"/>
        </w:rPr>
        <w:t>/.</w:t>
      </w:r>
    </w:p>
    <w:sectPr w:rsidR="00D20E1E" w:rsidRPr="004A6C97" w:rsidSect="001F53B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D8E" w:rsidRDefault="005D5D8E" w:rsidP="00B1205A">
      <w:pPr>
        <w:spacing w:after="0"/>
      </w:pPr>
      <w:r>
        <w:separator/>
      </w:r>
    </w:p>
  </w:endnote>
  <w:endnote w:type="continuationSeparator" w:id="0">
    <w:p w:rsidR="005D5D8E" w:rsidRDefault="005D5D8E" w:rsidP="00B120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A5" w:rsidRDefault="00A8706D" w:rsidP="00A8706D">
    <w:pPr>
      <w:pStyle w:val="Footer"/>
      <w:tabs>
        <w:tab w:val="left" w:pos="1044"/>
      </w:tabs>
    </w:pPr>
    <w:r w:rsidRPr="00A8706D">
      <w:rPr>
        <w:i/>
        <w:sz w:val="16"/>
        <w:szCs w:val="16"/>
      </w:rPr>
      <w:t>29062016</w:t>
    </w:r>
    <w:r>
      <w:tab/>
    </w:r>
    <w:r>
      <w:tab/>
    </w:r>
    <w:fldSimple w:instr=" PAGE   \* MERGEFORMAT ">
      <w:r w:rsidR="00881CC3">
        <w:rPr>
          <w:noProof/>
        </w:rPr>
        <w:t>1</w:t>
      </w:r>
    </w:fldSimple>
  </w:p>
  <w:p w:rsidR="00EB5751" w:rsidRDefault="00EB5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D8E" w:rsidRDefault="005D5D8E" w:rsidP="00B1205A">
      <w:pPr>
        <w:spacing w:after="0"/>
      </w:pPr>
      <w:r>
        <w:separator/>
      </w:r>
    </w:p>
  </w:footnote>
  <w:footnote w:type="continuationSeparator" w:id="0">
    <w:p w:rsidR="005D5D8E" w:rsidRDefault="005D5D8E" w:rsidP="00B1205A">
      <w:pPr>
        <w:spacing w:after="0"/>
      </w:pPr>
      <w:r>
        <w:continuationSeparator/>
      </w:r>
    </w:p>
  </w:footnote>
  <w:footnote w:id="1">
    <w:p w:rsidR="00EB5751" w:rsidRDefault="00EB5751" w:rsidP="000C27C4">
      <w:pPr>
        <w:pStyle w:val="FootnoteText"/>
        <w:jc w:val="both"/>
      </w:pPr>
      <w:r>
        <w:rPr>
          <w:rStyle w:val="FootnoteReference"/>
        </w:rPr>
        <w:footnoteRef/>
      </w:r>
      <w:r>
        <w:t xml:space="preserve"> </w:t>
      </w:r>
      <w:r w:rsidRPr="000C27C4">
        <w:rPr>
          <w:rFonts w:ascii="Times New Roman" w:hAnsi="Times New Roman"/>
        </w:rPr>
        <w:t>Thông tư số 04/1999/TT-NHNN5 ngày 2/11/1999 của Thống đốc Ngân hàng Nhà nước hướng dẫn việc thành lập công ty chứng khoán của tổ chức tín dụng; Quyết định số 1389/2001/QĐ-NHNN ngày 7/11/2001 của Thống đốc Ngân hàng Nhà nước ban hành Quy định về việc thành lập Công ty quản lý nợ và khai thác tài sản trực thuộc tổ chức tín dụng; Quyết định số 1390/2001/QĐ-NHNN ngày 07/11/2001 của Thống đốc Ngân hàng Nhà nước ban hành Điều lệ mẫu về tổ chức và hoạt động của Công ty quản lý nợ và khai thác tài sản trực thuộc tổ chức tín dụng; Quyết định số 951/2003/QĐ-NHNN ngày 18/8/2003 của Thống đốc Ngân hàng Nhà nước ban hành Quy định về việc thành lập và hoạt động Công ty kiều hối trực thuộc tổ chức tín dụng cổ phần của Nhà nước và nhân dân.</w:t>
      </w:r>
    </w:p>
  </w:footnote>
  <w:footnote w:id="2">
    <w:p w:rsidR="00EB5751" w:rsidRPr="000C27C4" w:rsidRDefault="00EB5751">
      <w:pPr>
        <w:pStyle w:val="FootnoteText"/>
        <w:rPr>
          <w:rFonts w:ascii="Times New Roman" w:hAnsi="Times New Roman"/>
        </w:rPr>
      </w:pPr>
      <w:r w:rsidRPr="000C27C4">
        <w:rPr>
          <w:rStyle w:val="FootnoteReference"/>
          <w:rFonts w:ascii="Times New Roman" w:hAnsi="Times New Roman"/>
        </w:rPr>
        <w:footnoteRef/>
      </w:r>
      <w:r w:rsidRPr="000C27C4">
        <w:rPr>
          <w:rFonts w:ascii="Times New Roman" w:hAnsi="Times New Roman"/>
        </w:rPr>
        <w:t xml:space="preserve"> </w:t>
      </w:r>
      <w:proofErr w:type="gramStart"/>
      <w:r w:rsidRPr="000C27C4">
        <w:rPr>
          <w:rFonts w:ascii="Times New Roman" w:hAnsi="Times New Roman"/>
        </w:rPr>
        <w:t>Công ty cho thuê tài chính không được góp vốn, mua cổ phần, thành lập công ty con, công ty liên kết dưới mọi hình thức.</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384A"/>
    <w:multiLevelType w:val="hybridMultilevel"/>
    <w:tmpl w:val="5C80F226"/>
    <w:lvl w:ilvl="0" w:tplc="66CE749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6006F7"/>
    <w:multiLevelType w:val="multilevel"/>
    <w:tmpl w:val="F2183C3A"/>
    <w:lvl w:ilvl="0">
      <w:start w:val="1"/>
      <w:numFmt w:val="decimal"/>
      <w:lvlText w:val="%1."/>
      <w:lvlJc w:val="left"/>
      <w:pPr>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BC10C53"/>
    <w:multiLevelType w:val="hybridMultilevel"/>
    <w:tmpl w:val="7BD632EC"/>
    <w:lvl w:ilvl="0" w:tplc="871CA7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F851E7A"/>
    <w:multiLevelType w:val="hybridMultilevel"/>
    <w:tmpl w:val="04EC1C9C"/>
    <w:lvl w:ilvl="0" w:tplc="FF121A80">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EC1373"/>
    <w:multiLevelType w:val="hybridMultilevel"/>
    <w:tmpl w:val="654A501E"/>
    <w:lvl w:ilvl="0" w:tplc="04090017">
      <w:start w:val="1"/>
      <w:numFmt w:val="lowerLetter"/>
      <w:lvlText w:val="%1)"/>
      <w:lvlJc w:val="left"/>
      <w:pPr>
        <w:ind w:left="1440" w:hanging="360"/>
      </w:pPr>
    </w:lvl>
    <w:lvl w:ilvl="1" w:tplc="0B44AA5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1C5292"/>
    <w:multiLevelType w:val="hybridMultilevel"/>
    <w:tmpl w:val="06D8D18E"/>
    <w:lvl w:ilvl="0" w:tplc="C748C40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B66B6"/>
    <w:multiLevelType w:val="hybridMultilevel"/>
    <w:tmpl w:val="C8004DCC"/>
    <w:lvl w:ilvl="0" w:tplc="DC9E3B8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2A3560B"/>
    <w:multiLevelType w:val="hybridMultilevel"/>
    <w:tmpl w:val="82F6AD72"/>
    <w:lvl w:ilvl="0" w:tplc="5CD26D6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D1530D"/>
    <w:multiLevelType w:val="multilevel"/>
    <w:tmpl w:val="0C6AB762"/>
    <w:lvl w:ilvl="0">
      <w:start w:val="1"/>
      <w:numFmt w:val="upperRoman"/>
      <w:lvlText w:val="%1."/>
      <w:lvlJc w:val="right"/>
      <w:pPr>
        <w:ind w:left="3054" w:hanging="360"/>
      </w:p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46317B41"/>
    <w:multiLevelType w:val="hybridMultilevel"/>
    <w:tmpl w:val="654A501E"/>
    <w:lvl w:ilvl="0" w:tplc="04090017">
      <w:start w:val="1"/>
      <w:numFmt w:val="lowerLetter"/>
      <w:lvlText w:val="%1)"/>
      <w:lvlJc w:val="left"/>
      <w:pPr>
        <w:ind w:left="1440" w:hanging="360"/>
      </w:pPr>
    </w:lvl>
    <w:lvl w:ilvl="1" w:tplc="0B44AA56">
      <w:start w:val="1"/>
      <w:numFmt w:val="decimal"/>
      <w:lvlText w:val="%2."/>
      <w:lvlJc w:val="left"/>
      <w:pPr>
        <w:ind w:left="279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8427ED"/>
    <w:multiLevelType w:val="hybridMultilevel"/>
    <w:tmpl w:val="E1484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654028"/>
    <w:multiLevelType w:val="hybridMultilevel"/>
    <w:tmpl w:val="D670FEFA"/>
    <w:lvl w:ilvl="0" w:tplc="1D9C53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933E7D"/>
    <w:multiLevelType w:val="hybridMultilevel"/>
    <w:tmpl w:val="FF109AB6"/>
    <w:lvl w:ilvl="0" w:tplc="C5BC6C28">
      <w:start w:val="1"/>
      <w:numFmt w:val="decimal"/>
      <w:lvlText w:val="%1."/>
      <w:lvlJc w:val="left"/>
      <w:pPr>
        <w:ind w:left="1440" w:hanging="360"/>
      </w:pPr>
    </w:lvl>
    <w:lvl w:ilvl="1" w:tplc="ADC053B0">
      <w:numFmt w:val="none"/>
      <w:lvlText w:val=""/>
      <w:lvlJc w:val="left"/>
      <w:pPr>
        <w:tabs>
          <w:tab w:val="num" w:pos="360"/>
        </w:tabs>
      </w:pPr>
    </w:lvl>
    <w:lvl w:ilvl="2" w:tplc="E7180722">
      <w:numFmt w:val="none"/>
      <w:lvlText w:val=""/>
      <w:lvlJc w:val="left"/>
      <w:pPr>
        <w:tabs>
          <w:tab w:val="num" w:pos="360"/>
        </w:tabs>
      </w:pPr>
    </w:lvl>
    <w:lvl w:ilvl="3" w:tplc="19F6425E">
      <w:numFmt w:val="none"/>
      <w:lvlText w:val=""/>
      <w:lvlJc w:val="left"/>
      <w:pPr>
        <w:tabs>
          <w:tab w:val="num" w:pos="360"/>
        </w:tabs>
      </w:pPr>
    </w:lvl>
    <w:lvl w:ilvl="4" w:tplc="91F4DC18">
      <w:numFmt w:val="none"/>
      <w:lvlText w:val=""/>
      <w:lvlJc w:val="left"/>
      <w:pPr>
        <w:tabs>
          <w:tab w:val="num" w:pos="360"/>
        </w:tabs>
      </w:pPr>
    </w:lvl>
    <w:lvl w:ilvl="5" w:tplc="37285B78">
      <w:numFmt w:val="none"/>
      <w:lvlText w:val=""/>
      <w:lvlJc w:val="left"/>
      <w:pPr>
        <w:tabs>
          <w:tab w:val="num" w:pos="360"/>
        </w:tabs>
      </w:pPr>
    </w:lvl>
    <w:lvl w:ilvl="6" w:tplc="60448778">
      <w:numFmt w:val="none"/>
      <w:lvlText w:val=""/>
      <w:lvlJc w:val="left"/>
      <w:pPr>
        <w:tabs>
          <w:tab w:val="num" w:pos="360"/>
        </w:tabs>
      </w:pPr>
    </w:lvl>
    <w:lvl w:ilvl="7" w:tplc="65D2A278">
      <w:numFmt w:val="none"/>
      <w:lvlText w:val=""/>
      <w:lvlJc w:val="left"/>
      <w:pPr>
        <w:tabs>
          <w:tab w:val="num" w:pos="360"/>
        </w:tabs>
      </w:pPr>
    </w:lvl>
    <w:lvl w:ilvl="8" w:tplc="727447B4">
      <w:numFmt w:val="none"/>
      <w:lvlText w:val=""/>
      <w:lvlJc w:val="left"/>
      <w:pPr>
        <w:tabs>
          <w:tab w:val="num" w:pos="360"/>
        </w:tabs>
      </w:pPr>
    </w:lvl>
  </w:abstractNum>
  <w:abstractNum w:abstractNumId="13">
    <w:nsid w:val="638A6614"/>
    <w:multiLevelType w:val="hybridMultilevel"/>
    <w:tmpl w:val="543614EA"/>
    <w:lvl w:ilvl="0" w:tplc="C35E8EE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nsid w:val="63C12E02"/>
    <w:multiLevelType w:val="hybridMultilevel"/>
    <w:tmpl w:val="632CE706"/>
    <w:lvl w:ilvl="0" w:tplc="6E564924">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4112813"/>
    <w:multiLevelType w:val="hybridMultilevel"/>
    <w:tmpl w:val="D402EF36"/>
    <w:lvl w:ilvl="0" w:tplc="174E80E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7"/>
  </w:num>
  <w:num w:numId="4">
    <w:abstractNumId w:val="1"/>
  </w:num>
  <w:num w:numId="5">
    <w:abstractNumId w:val="15"/>
  </w:num>
  <w:num w:numId="6">
    <w:abstractNumId w:val="4"/>
  </w:num>
  <w:num w:numId="7">
    <w:abstractNumId w:val="5"/>
  </w:num>
  <w:num w:numId="8">
    <w:abstractNumId w:val="10"/>
  </w:num>
  <w:num w:numId="9">
    <w:abstractNumId w:val="9"/>
  </w:num>
  <w:num w:numId="10">
    <w:abstractNumId w:val="0"/>
  </w:num>
  <w:num w:numId="11">
    <w:abstractNumId w:val="2"/>
  </w:num>
  <w:num w:numId="12">
    <w:abstractNumId w:val="6"/>
  </w:num>
  <w:num w:numId="13">
    <w:abstractNumId w:val="12"/>
  </w:num>
  <w:num w:numId="14">
    <w:abstractNumId w:val="14"/>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activeWritingStyle w:appName="MSWord" w:lang="en-GB" w:vendorID="64" w:dllVersion="131078" w:nlCheck="1" w:checkStyle="1"/>
  <w:proofState w:grammar="clean"/>
  <w:defaultTabStop w:val="720"/>
  <w:characterSpacingControl w:val="doNotCompress"/>
  <w:footnotePr>
    <w:footnote w:id="-1"/>
    <w:footnote w:id="0"/>
  </w:footnotePr>
  <w:endnotePr>
    <w:endnote w:id="-1"/>
    <w:endnote w:id="0"/>
  </w:endnotePr>
  <w:compat/>
  <w:rsids>
    <w:rsidRoot w:val="00BD0FAF"/>
    <w:rsid w:val="000033DA"/>
    <w:rsid w:val="000106EE"/>
    <w:rsid w:val="00013F1E"/>
    <w:rsid w:val="00023473"/>
    <w:rsid w:val="00033313"/>
    <w:rsid w:val="00033718"/>
    <w:rsid w:val="00041265"/>
    <w:rsid w:val="00041818"/>
    <w:rsid w:val="000427A6"/>
    <w:rsid w:val="00043321"/>
    <w:rsid w:val="00043701"/>
    <w:rsid w:val="000451D1"/>
    <w:rsid w:val="00057BA7"/>
    <w:rsid w:val="00057E59"/>
    <w:rsid w:val="000649EA"/>
    <w:rsid w:val="0007300F"/>
    <w:rsid w:val="00074D39"/>
    <w:rsid w:val="000934A6"/>
    <w:rsid w:val="0009557B"/>
    <w:rsid w:val="000A4AA4"/>
    <w:rsid w:val="000B2F17"/>
    <w:rsid w:val="000B36B1"/>
    <w:rsid w:val="000B7868"/>
    <w:rsid w:val="000C27C4"/>
    <w:rsid w:val="000D067F"/>
    <w:rsid w:val="000E409B"/>
    <w:rsid w:val="000F0BE0"/>
    <w:rsid w:val="000F1459"/>
    <w:rsid w:val="001036AB"/>
    <w:rsid w:val="00105A36"/>
    <w:rsid w:val="00111139"/>
    <w:rsid w:val="001166DD"/>
    <w:rsid w:val="001209EC"/>
    <w:rsid w:val="001219B1"/>
    <w:rsid w:val="0013265B"/>
    <w:rsid w:val="001375F3"/>
    <w:rsid w:val="00146513"/>
    <w:rsid w:val="00146BFE"/>
    <w:rsid w:val="00163B4D"/>
    <w:rsid w:val="00163DA8"/>
    <w:rsid w:val="001801D0"/>
    <w:rsid w:val="00190144"/>
    <w:rsid w:val="00192411"/>
    <w:rsid w:val="00192DB2"/>
    <w:rsid w:val="001A15C3"/>
    <w:rsid w:val="001A3EBB"/>
    <w:rsid w:val="001A731A"/>
    <w:rsid w:val="001B12BE"/>
    <w:rsid w:val="001B6781"/>
    <w:rsid w:val="001C016E"/>
    <w:rsid w:val="001C2C83"/>
    <w:rsid w:val="001C3E5F"/>
    <w:rsid w:val="001D331F"/>
    <w:rsid w:val="001F3096"/>
    <w:rsid w:val="001F38BC"/>
    <w:rsid w:val="001F53B1"/>
    <w:rsid w:val="00221835"/>
    <w:rsid w:val="002219AA"/>
    <w:rsid w:val="00225472"/>
    <w:rsid w:val="002279E9"/>
    <w:rsid w:val="00230000"/>
    <w:rsid w:val="00255E7F"/>
    <w:rsid w:val="00264212"/>
    <w:rsid w:val="00265C99"/>
    <w:rsid w:val="00271DEB"/>
    <w:rsid w:val="00284248"/>
    <w:rsid w:val="00284DC1"/>
    <w:rsid w:val="0028635F"/>
    <w:rsid w:val="0029137B"/>
    <w:rsid w:val="002933C2"/>
    <w:rsid w:val="002A34B8"/>
    <w:rsid w:val="002C611E"/>
    <w:rsid w:val="002D3E3D"/>
    <w:rsid w:val="002D44B1"/>
    <w:rsid w:val="002E45A8"/>
    <w:rsid w:val="002E5037"/>
    <w:rsid w:val="002F0AC9"/>
    <w:rsid w:val="002F29C2"/>
    <w:rsid w:val="002F3C1A"/>
    <w:rsid w:val="002F3C20"/>
    <w:rsid w:val="002F78D8"/>
    <w:rsid w:val="00305EE6"/>
    <w:rsid w:val="00307B81"/>
    <w:rsid w:val="003116FF"/>
    <w:rsid w:val="003159B8"/>
    <w:rsid w:val="0032513F"/>
    <w:rsid w:val="0035088B"/>
    <w:rsid w:val="003510B8"/>
    <w:rsid w:val="00351A36"/>
    <w:rsid w:val="00354BDA"/>
    <w:rsid w:val="00355990"/>
    <w:rsid w:val="00362F50"/>
    <w:rsid w:val="00365731"/>
    <w:rsid w:val="00372773"/>
    <w:rsid w:val="0038001C"/>
    <w:rsid w:val="00392212"/>
    <w:rsid w:val="00396336"/>
    <w:rsid w:val="00396A22"/>
    <w:rsid w:val="003A2204"/>
    <w:rsid w:val="003A7AD8"/>
    <w:rsid w:val="003C0691"/>
    <w:rsid w:val="003C13C4"/>
    <w:rsid w:val="003C794F"/>
    <w:rsid w:val="003D512A"/>
    <w:rsid w:val="003F2B8C"/>
    <w:rsid w:val="003F33D9"/>
    <w:rsid w:val="003F6BB5"/>
    <w:rsid w:val="00405AE4"/>
    <w:rsid w:val="00406412"/>
    <w:rsid w:val="004110D7"/>
    <w:rsid w:val="00415CB5"/>
    <w:rsid w:val="004229B6"/>
    <w:rsid w:val="00451F58"/>
    <w:rsid w:val="004540A5"/>
    <w:rsid w:val="0045638B"/>
    <w:rsid w:val="00456BA7"/>
    <w:rsid w:val="004571D5"/>
    <w:rsid w:val="00462059"/>
    <w:rsid w:val="00467D5A"/>
    <w:rsid w:val="00471179"/>
    <w:rsid w:val="004714E6"/>
    <w:rsid w:val="004933D3"/>
    <w:rsid w:val="004A65BE"/>
    <w:rsid w:val="004A6C97"/>
    <w:rsid w:val="004B600F"/>
    <w:rsid w:val="004C1B9E"/>
    <w:rsid w:val="004C73FF"/>
    <w:rsid w:val="004D271B"/>
    <w:rsid w:val="004D2C23"/>
    <w:rsid w:val="004F37C0"/>
    <w:rsid w:val="004F4AE2"/>
    <w:rsid w:val="00506A3D"/>
    <w:rsid w:val="0051763D"/>
    <w:rsid w:val="00520D93"/>
    <w:rsid w:val="005222CA"/>
    <w:rsid w:val="0052648D"/>
    <w:rsid w:val="0052696B"/>
    <w:rsid w:val="00530C21"/>
    <w:rsid w:val="00531CDF"/>
    <w:rsid w:val="00545631"/>
    <w:rsid w:val="005509ED"/>
    <w:rsid w:val="00552F4C"/>
    <w:rsid w:val="00567306"/>
    <w:rsid w:val="00575850"/>
    <w:rsid w:val="005770DB"/>
    <w:rsid w:val="005804AE"/>
    <w:rsid w:val="00581105"/>
    <w:rsid w:val="00581ED9"/>
    <w:rsid w:val="00583D72"/>
    <w:rsid w:val="005875BC"/>
    <w:rsid w:val="005935E0"/>
    <w:rsid w:val="005A0254"/>
    <w:rsid w:val="005A3E55"/>
    <w:rsid w:val="005A7F0C"/>
    <w:rsid w:val="005B00EB"/>
    <w:rsid w:val="005C3DB9"/>
    <w:rsid w:val="005D0595"/>
    <w:rsid w:val="005D0837"/>
    <w:rsid w:val="005D5D8E"/>
    <w:rsid w:val="005E008F"/>
    <w:rsid w:val="006002F2"/>
    <w:rsid w:val="00603B35"/>
    <w:rsid w:val="00607A7E"/>
    <w:rsid w:val="006118BD"/>
    <w:rsid w:val="00617200"/>
    <w:rsid w:val="00627BEF"/>
    <w:rsid w:val="0064551F"/>
    <w:rsid w:val="00680CDA"/>
    <w:rsid w:val="00690256"/>
    <w:rsid w:val="006A66C3"/>
    <w:rsid w:val="006B0ABE"/>
    <w:rsid w:val="006B6D8F"/>
    <w:rsid w:val="006C03BD"/>
    <w:rsid w:val="006C3859"/>
    <w:rsid w:val="006D3687"/>
    <w:rsid w:val="00701177"/>
    <w:rsid w:val="00704CAD"/>
    <w:rsid w:val="00705C00"/>
    <w:rsid w:val="0070765D"/>
    <w:rsid w:val="00711CA3"/>
    <w:rsid w:val="00715000"/>
    <w:rsid w:val="007155F1"/>
    <w:rsid w:val="00721B83"/>
    <w:rsid w:val="00730DBE"/>
    <w:rsid w:val="007434E8"/>
    <w:rsid w:val="00745B61"/>
    <w:rsid w:val="007467A7"/>
    <w:rsid w:val="00751FDD"/>
    <w:rsid w:val="00755627"/>
    <w:rsid w:val="00767ABC"/>
    <w:rsid w:val="007809BB"/>
    <w:rsid w:val="00787B72"/>
    <w:rsid w:val="00797DB9"/>
    <w:rsid w:val="007A07BD"/>
    <w:rsid w:val="007A2BEB"/>
    <w:rsid w:val="007C0FEE"/>
    <w:rsid w:val="007D234D"/>
    <w:rsid w:val="007E4092"/>
    <w:rsid w:val="007F035E"/>
    <w:rsid w:val="007F1240"/>
    <w:rsid w:val="0081444B"/>
    <w:rsid w:val="00827B2C"/>
    <w:rsid w:val="0084767B"/>
    <w:rsid w:val="00853902"/>
    <w:rsid w:val="00856574"/>
    <w:rsid w:val="00857958"/>
    <w:rsid w:val="008607D3"/>
    <w:rsid w:val="00862275"/>
    <w:rsid w:val="00874E26"/>
    <w:rsid w:val="008779E2"/>
    <w:rsid w:val="00881CC3"/>
    <w:rsid w:val="00890E7E"/>
    <w:rsid w:val="008A4798"/>
    <w:rsid w:val="008B0158"/>
    <w:rsid w:val="008B3289"/>
    <w:rsid w:val="008B3F32"/>
    <w:rsid w:val="008C185C"/>
    <w:rsid w:val="008E3300"/>
    <w:rsid w:val="008E5834"/>
    <w:rsid w:val="008F3E14"/>
    <w:rsid w:val="008F7157"/>
    <w:rsid w:val="00902A06"/>
    <w:rsid w:val="00903493"/>
    <w:rsid w:val="00903D66"/>
    <w:rsid w:val="00913E6F"/>
    <w:rsid w:val="0091773B"/>
    <w:rsid w:val="00923CDE"/>
    <w:rsid w:val="00923D68"/>
    <w:rsid w:val="00930EE4"/>
    <w:rsid w:val="00950369"/>
    <w:rsid w:val="009540F7"/>
    <w:rsid w:val="00954BBC"/>
    <w:rsid w:val="00954CFD"/>
    <w:rsid w:val="00954D67"/>
    <w:rsid w:val="00960459"/>
    <w:rsid w:val="009745AA"/>
    <w:rsid w:val="00980B61"/>
    <w:rsid w:val="00994CE4"/>
    <w:rsid w:val="009974BB"/>
    <w:rsid w:val="009A1F4E"/>
    <w:rsid w:val="009B33EB"/>
    <w:rsid w:val="009C353D"/>
    <w:rsid w:val="009E1ADF"/>
    <w:rsid w:val="009E484D"/>
    <w:rsid w:val="009F48B2"/>
    <w:rsid w:val="00A14ADD"/>
    <w:rsid w:val="00A2541F"/>
    <w:rsid w:val="00A41184"/>
    <w:rsid w:val="00A41C66"/>
    <w:rsid w:val="00A41D8D"/>
    <w:rsid w:val="00A52ACE"/>
    <w:rsid w:val="00A62CDE"/>
    <w:rsid w:val="00A8706D"/>
    <w:rsid w:val="00A87243"/>
    <w:rsid w:val="00A87B80"/>
    <w:rsid w:val="00AA01A5"/>
    <w:rsid w:val="00AA1D72"/>
    <w:rsid w:val="00AA6D1C"/>
    <w:rsid w:val="00AB4687"/>
    <w:rsid w:val="00AD1FAE"/>
    <w:rsid w:val="00AD5030"/>
    <w:rsid w:val="00AD6980"/>
    <w:rsid w:val="00AF0081"/>
    <w:rsid w:val="00AF2440"/>
    <w:rsid w:val="00AF606B"/>
    <w:rsid w:val="00B1205A"/>
    <w:rsid w:val="00B253FE"/>
    <w:rsid w:val="00B3440E"/>
    <w:rsid w:val="00B42A6C"/>
    <w:rsid w:val="00B45C4F"/>
    <w:rsid w:val="00B52C1B"/>
    <w:rsid w:val="00B54F02"/>
    <w:rsid w:val="00B6106C"/>
    <w:rsid w:val="00B61743"/>
    <w:rsid w:val="00B6322F"/>
    <w:rsid w:val="00B6768C"/>
    <w:rsid w:val="00B67ECB"/>
    <w:rsid w:val="00B86450"/>
    <w:rsid w:val="00BA4A5E"/>
    <w:rsid w:val="00BB0D39"/>
    <w:rsid w:val="00BB4F27"/>
    <w:rsid w:val="00BB6E42"/>
    <w:rsid w:val="00BC144E"/>
    <w:rsid w:val="00BC52D8"/>
    <w:rsid w:val="00BD0FAF"/>
    <w:rsid w:val="00BD4FBD"/>
    <w:rsid w:val="00BE0323"/>
    <w:rsid w:val="00BE64EC"/>
    <w:rsid w:val="00BE6C08"/>
    <w:rsid w:val="00C00B5A"/>
    <w:rsid w:val="00C103F7"/>
    <w:rsid w:val="00C2407E"/>
    <w:rsid w:val="00C24B58"/>
    <w:rsid w:val="00C24D5A"/>
    <w:rsid w:val="00C26062"/>
    <w:rsid w:val="00C35BE0"/>
    <w:rsid w:val="00C425B1"/>
    <w:rsid w:val="00C441D1"/>
    <w:rsid w:val="00C478B0"/>
    <w:rsid w:val="00C50AC0"/>
    <w:rsid w:val="00C5471D"/>
    <w:rsid w:val="00C636D7"/>
    <w:rsid w:val="00C944AF"/>
    <w:rsid w:val="00CA52DA"/>
    <w:rsid w:val="00CA5DF3"/>
    <w:rsid w:val="00CB20D8"/>
    <w:rsid w:val="00CD0448"/>
    <w:rsid w:val="00CD6650"/>
    <w:rsid w:val="00CE74CF"/>
    <w:rsid w:val="00CF1573"/>
    <w:rsid w:val="00D05363"/>
    <w:rsid w:val="00D112D0"/>
    <w:rsid w:val="00D135F6"/>
    <w:rsid w:val="00D16FB9"/>
    <w:rsid w:val="00D20E1E"/>
    <w:rsid w:val="00D338FD"/>
    <w:rsid w:val="00D47A3B"/>
    <w:rsid w:val="00D507D0"/>
    <w:rsid w:val="00D55FE4"/>
    <w:rsid w:val="00D5647C"/>
    <w:rsid w:val="00D8541B"/>
    <w:rsid w:val="00D85C72"/>
    <w:rsid w:val="00DB6F8B"/>
    <w:rsid w:val="00DC0C06"/>
    <w:rsid w:val="00DC4FC7"/>
    <w:rsid w:val="00DD2E67"/>
    <w:rsid w:val="00DD2FC3"/>
    <w:rsid w:val="00DD729F"/>
    <w:rsid w:val="00DE0514"/>
    <w:rsid w:val="00DE1257"/>
    <w:rsid w:val="00DE1B96"/>
    <w:rsid w:val="00DE7EA1"/>
    <w:rsid w:val="00DF1772"/>
    <w:rsid w:val="00DF42CD"/>
    <w:rsid w:val="00DF6B5D"/>
    <w:rsid w:val="00DF6D18"/>
    <w:rsid w:val="00E26E21"/>
    <w:rsid w:val="00E33BE5"/>
    <w:rsid w:val="00E37D23"/>
    <w:rsid w:val="00E41345"/>
    <w:rsid w:val="00E438E5"/>
    <w:rsid w:val="00E55605"/>
    <w:rsid w:val="00E65580"/>
    <w:rsid w:val="00E6692F"/>
    <w:rsid w:val="00E74C01"/>
    <w:rsid w:val="00E8735C"/>
    <w:rsid w:val="00E9368D"/>
    <w:rsid w:val="00EA0E28"/>
    <w:rsid w:val="00EA693D"/>
    <w:rsid w:val="00EA7002"/>
    <w:rsid w:val="00EB4DA0"/>
    <w:rsid w:val="00EB5751"/>
    <w:rsid w:val="00EB5DA3"/>
    <w:rsid w:val="00EC591D"/>
    <w:rsid w:val="00EC614F"/>
    <w:rsid w:val="00ED14BA"/>
    <w:rsid w:val="00EE5F3F"/>
    <w:rsid w:val="00EF1F9D"/>
    <w:rsid w:val="00EF5D0E"/>
    <w:rsid w:val="00EF6F58"/>
    <w:rsid w:val="00F0589B"/>
    <w:rsid w:val="00F1365E"/>
    <w:rsid w:val="00F57D1C"/>
    <w:rsid w:val="00F6520D"/>
    <w:rsid w:val="00F723DD"/>
    <w:rsid w:val="00F74851"/>
    <w:rsid w:val="00F75F1E"/>
    <w:rsid w:val="00F8204A"/>
    <w:rsid w:val="00F92B32"/>
    <w:rsid w:val="00F95365"/>
    <w:rsid w:val="00F96510"/>
    <w:rsid w:val="00FA3560"/>
    <w:rsid w:val="00FB3CD8"/>
    <w:rsid w:val="00FD33F3"/>
    <w:rsid w:val="00FE53D7"/>
    <w:rsid w:val="00FF365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B1"/>
    <w:pPr>
      <w:spacing w:after="12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AA6D1C"/>
    <w:pPr>
      <w:spacing w:after="0"/>
      <w:ind w:firstLine="720"/>
      <w:jc w:val="both"/>
    </w:pPr>
    <w:rPr>
      <w:rFonts w:ascii="Times New Roman" w:eastAsia="Times New Roman" w:hAnsi="Times New Roman"/>
      <w:b/>
      <w:bCs/>
      <w:i/>
      <w:sz w:val="28"/>
      <w:szCs w:val="28"/>
    </w:rPr>
  </w:style>
  <w:style w:type="paragraph" w:styleId="ListParagraph">
    <w:name w:val="List Paragraph"/>
    <w:basedOn w:val="Normal"/>
    <w:uiPriority w:val="34"/>
    <w:qFormat/>
    <w:rsid w:val="00DF1772"/>
    <w:pPr>
      <w:ind w:left="720"/>
      <w:contextualSpacing/>
    </w:pPr>
  </w:style>
  <w:style w:type="paragraph" w:styleId="BodyTextIndent">
    <w:name w:val="Body Text Indent"/>
    <w:basedOn w:val="Normal"/>
    <w:link w:val="BodyTextIndentChar"/>
    <w:rsid w:val="00DF1772"/>
    <w:pPr>
      <w:spacing w:before="120" w:after="0"/>
      <w:ind w:left="1418" w:firstLine="22"/>
      <w:jc w:val="both"/>
    </w:pPr>
    <w:rPr>
      <w:rFonts w:ascii="Times New Roman" w:eastAsia="Times New Roman" w:hAnsi="Times New Roman"/>
      <w:sz w:val="28"/>
      <w:szCs w:val="20"/>
    </w:rPr>
  </w:style>
  <w:style w:type="character" w:customStyle="1" w:styleId="BodyTextIndentChar">
    <w:name w:val="Body Text Indent Char"/>
    <w:basedOn w:val="DefaultParagraphFont"/>
    <w:link w:val="BodyTextIndent"/>
    <w:rsid w:val="00DF1772"/>
    <w:rPr>
      <w:rFonts w:ascii="Times New Roman" w:eastAsia="Times New Roman" w:hAnsi="Times New Roman" w:cs="Times New Roman"/>
      <w:sz w:val="28"/>
      <w:szCs w:val="20"/>
    </w:rPr>
  </w:style>
  <w:style w:type="paragraph" w:styleId="Header">
    <w:name w:val="header"/>
    <w:basedOn w:val="Normal"/>
    <w:link w:val="HeaderChar"/>
    <w:uiPriority w:val="99"/>
    <w:semiHidden/>
    <w:unhideWhenUsed/>
    <w:rsid w:val="00B1205A"/>
    <w:pPr>
      <w:tabs>
        <w:tab w:val="center" w:pos="4680"/>
        <w:tab w:val="right" w:pos="9360"/>
      </w:tabs>
    </w:pPr>
  </w:style>
  <w:style w:type="character" w:customStyle="1" w:styleId="HeaderChar">
    <w:name w:val="Header Char"/>
    <w:basedOn w:val="DefaultParagraphFont"/>
    <w:link w:val="Header"/>
    <w:uiPriority w:val="99"/>
    <w:semiHidden/>
    <w:rsid w:val="00B1205A"/>
    <w:rPr>
      <w:sz w:val="22"/>
      <w:szCs w:val="22"/>
    </w:rPr>
  </w:style>
  <w:style w:type="paragraph" w:styleId="Footer">
    <w:name w:val="footer"/>
    <w:basedOn w:val="Normal"/>
    <w:link w:val="FooterChar"/>
    <w:uiPriority w:val="99"/>
    <w:unhideWhenUsed/>
    <w:rsid w:val="00B1205A"/>
    <w:pPr>
      <w:tabs>
        <w:tab w:val="center" w:pos="4680"/>
        <w:tab w:val="right" w:pos="9360"/>
      </w:tabs>
    </w:pPr>
  </w:style>
  <w:style w:type="character" w:customStyle="1" w:styleId="FooterChar">
    <w:name w:val="Footer Char"/>
    <w:basedOn w:val="DefaultParagraphFont"/>
    <w:link w:val="Footer"/>
    <w:uiPriority w:val="99"/>
    <w:rsid w:val="00B1205A"/>
    <w:rPr>
      <w:sz w:val="22"/>
      <w:szCs w:val="22"/>
    </w:rPr>
  </w:style>
  <w:style w:type="paragraph" w:styleId="FootnoteText">
    <w:name w:val="footnote text"/>
    <w:basedOn w:val="Normal"/>
    <w:link w:val="FootnoteTextChar"/>
    <w:uiPriority w:val="99"/>
    <w:semiHidden/>
    <w:unhideWhenUsed/>
    <w:rsid w:val="005A0254"/>
    <w:rPr>
      <w:sz w:val="20"/>
      <w:szCs w:val="20"/>
    </w:rPr>
  </w:style>
  <w:style w:type="character" w:customStyle="1" w:styleId="FootnoteTextChar">
    <w:name w:val="Footnote Text Char"/>
    <w:basedOn w:val="DefaultParagraphFont"/>
    <w:link w:val="FootnoteText"/>
    <w:uiPriority w:val="99"/>
    <w:semiHidden/>
    <w:rsid w:val="005A0254"/>
  </w:style>
  <w:style w:type="character" w:styleId="FootnoteReference">
    <w:name w:val="footnote reference"/>
    <w:basedOn w:val="DefaultParagraphFont"/>
    <w:uiPriority w:val="99"/>
    <w:semiHidden/>
    <w:unhideWhenUsed/>
    <w:rsid w:val="005A0254"/>
    <w:rPr>
      <w:vertAlign w:val="superscript"/>
    </w:rPr>
  </w:style>
  <w:style w:type="paragraph" w:customStyle="1" w:styleId="normal-p">
    <w:name w:val="normal-p"/>
    <w:basedOn w:val="Normal"/>
    <w:rsid w:val="005A3E55"/>
    <w:pPr>
      <w:spacing w:after="0"/>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3D51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12A"/>
    <w:rPr>
      <w:rFonts w:ascii="Tahoma" w:hAnsi="Tahoma" w:cs="Tahoma"/>
      <w:sz w:val="16"/>
      <w:szCs w:val="16"/>
      <w:lang w:val="en-US" w:eastAsia="en-US"/>
    </w:rPr>
  </w:style>
  <w:style w:type="paragraph" w:styleId="BodyTextIndent3">
    <w:name w:val="Body Text Indent 3"/>
    <w:basedOn w:val="Normal"/>
    <w:link w:val="BodyTextIndent3Char"/>
    <w:rsid w:val="00B6768C"/>
    <w:pPr>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B6768C"/>
    <w:rPr>
      <w:rFonts w:ascii="Times New Roman" w:eastAsia="Times New Roman" w:hAnsi="Times New Roman"/>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GIẢI TRÌNH DỰ THẢO</vt:lpstr>
    </vt:vector>
  </TitlesOfParts>
  <Company>Microsoft</Company>
  <LinksUpToDate>false</LinksUpToDate>
  <CharactersWithSpaces>16445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GIẢI TRÌNH DỰ THẢO</dc:title>
  <dc:creator>user</dc:creator>
  <cp:lastModifiedBy>del</cp:lastModifiedBy>
  <cp:revision>2</cp:revision>
  <cp:lastPrinted>2016-06-29T03:47:00Z</cp:lastPrinted>
  <dcterms:created xsi:type="dcterms:W3CDTF">2016-09-24T03:24:00Z</dcterms:created>
  <dcterms:modified xsi:type="dcterms:W3CDTF">2016-09-24T03:24:00Z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SBV244646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admin</vt:lpwstr>
  </property>
  <property fmtid="{D5CDD505-2E9C-101B-9397-08002B2CF9AE}" pid="6" name="DISdID">
    <vt:lpwstr>247066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http://webcenter-app01:16200/cs/idcplg?IdcService=DESKTOP_DOC_INFO&amp;dDocName=SBV244646&amp;dID=247066&amp;ClientControlled=DocMan,taskpane&amp;coreContentOnly=1</vt:lpwstr>
  </property>
</Properties>
</file>