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CF" w:rsidRPr="00EB6349" w:rsidRDefault="00757CCF" w:rsidP="00757CCF">
      <w:pPr>
        <w:tabs>
          <w:tab w:val="left" w:pos="6379"/>
        </w:tabs>
        <w:jc w:val="center"/>
        <w:rPr>
          <w:rFonts w:ascii="Times New Roman" w:hAnsi="Times New Roman" w:cs="Times New Roman"/>
          <w:b/>
          <w:sz w:val="28"/>
          <w:szCs w:val="28"/>
        </w:rPr>
      </w:pPr>
      <w:r>
        <w:rPr>
          <w:rFonts w:ascii="Times New Roman" w:hAnsi="Times New Roman" w:cs="Times New Roman"/>
          <w:b/>
          <w:sz w:val="28"/>
          <w:szCs w:val="28"/>
        </w:rPr>
        <w:t>C</w:t>
      </w:r>
      <w:r w:rsidRPr="00EB6349">
        <w:rPr>
          <w:rFonts w:ascii="Times New Roman" w:hAnsi="Times New Roman" w:cs="Times New Roman"/>
          <w:b/>
          <w:sz w:val="28"/>
          <w:szCs w:val="28"/>
        </w:rPr>
        <w:t>ác câu hỏi FATCA thường gặp năm 2021</w:t>
      </w:r>
      <w:r w:rsidR="00015172">
        <w:rPr>
          <w:rFonts w:ascii="Times New Roman" w:hAnsi="Times New Roman" w:cs="Times New Roman"/>
          <w:b/>
          <w:sz w:val="28"/>
          <w:szCs w:val="28"/>
        </w:rPr>
        <w:t xml:space="preserve"> - 2022</w:t>
      </w:r>
    </w:p>
    <w:tbl>
      <w:tblPr>
        <w:tblStyle w:val="TableGrid"/>
        <w:tblW w:w="13182" w:type="dxa"/>
        <w:tblInd w:w="-176" w:type="dxa"/>
        <w:tblLayout w:type="fixed"/>
        <w:tblLook w:val="04A0" w:firstRow="1" w:lastRow="0" w:firstColumn="1" w:lastColumn="0" w:noHBand="0" w:noVBand="1"/>
      </w:tblPr>
      <w:tblGrid>
        <w:gridCol w:w="709"/>
        <w:gridCol w:w="5953"/>
        <w:gridCol w:w="6520"/>
      </w:tblGrid>
      <w:tr w:rsidR="009444CC" w:rsidRPr="00A470FC" w:rsidTr="009444CC">
        <w:trPr>
          <w:trHeight w:val="481"/>
        </w:trPr>
        <w:tc>
          <w:tcPr>
            <w:tcW w:w="709" w:type="dxa"/>
          </w:tcPr>
          <w:p w:rsidR="009444CC" w:rsidRPr="00A470FC" w:rsidRDefault="009444CC" w:rsidP="00BD71EE">
            <w:pPr>
              <w:spacing w:before="120"/>
              <w:jc w:val="center"/>
              <w:rPr>
                <w:rFonts w:ascii="Times New Roman" w:hAnsi="Times New Roman" w:cs="Times New Roman"/>
                <w:b/>
                <w:sz w:val="24"/>
                <w:szCs w:val="24"/>
              </w:rPr>
            </w:pPr>
            <w:r w:rsidRPr="00A470FC">
              <w:rPr>
                <w:rFonts w:ascii="Times New Roman" w:hAnsi="Times New Roman" w:cs="Times New Roman"/>
                <w:b/>
                <w:sz w:val="24"/>
                <w:szCs w:val="24"/>
              </w:rPr>
              <w:t>STT</w:t>
            </w:r>
          </w:p>
        </w:tc>
        <w:tc>
          <w:tcPr>
            <w:tcW w:w="5953" w:type="dxa"/>
          </w:tcPr>
          <w:p w:rsidR="009444CC" w:rsidRPr="00A470FC" w:rsidRDefault="009444CC" w:rsidP="00BD71EE">
            <w:pPr>
              <w:spacing w:before="120"/>
              <w:jc w:val="center"/>
              <w:rPr>
                <w:rFonts w:ascii="Times New Roman" w:hAnsi="Times New Roman" w:cs="Times New Roman"/>
                <w:b/>
                <w:sz w:val="24"/>
                <w:szCs w:val="24"/>
              </w:rPr>
            </w:pPr>
            <w:r w:rsidRPr="00A470FC">
              <w:rPr>
                <w:rFonts w:ascii="Times New Roman" w:hAnsi="Times New Roman" w:cs="Times New Roman"/>
                <w:b/>
                <w:sz w:val="24"/>
                <w:szCs w:val="24"/>
              </w:rPr>
              <w:t>Câu hỏi</w:t>
            </w:r>
          </w:p>
        </w:tc>
        <w:tc>
          <w:tcPr>
            <w:tcW w:w="6520" w:type="dxa"/>
          </w:tcPr>
          <w:p w:rsidR="009444CC" w:rsidRPr="00A470FC" w:rsidRDefault="009444CC" w:rsidP="009444CC">
            <w:pPr>
              <w:spacing w:before="120"/>
              <w:ind w:left="1168" w:hanging="1168"/>
              <w:jc w:val="center"/>
              <w:rPr>
                <w:rFonts w:ascii="Times New Roman" w:hAnsi="Times New Roman" w:cs="Times New Roman"/>
                <w:b/>
                <w:sz w:val="24"/>
                <w:szCs w:val="24"/>
              </w:rPr>
            </w:pPr>
            <w:r w:rsidRPr="00A470FC">
              <w:rPr>
                <w:rFonts w:ascii="Times New Roman" w:hAnsi="Times New Roman" w:cs="Times New Roman"/>
                <w:b/>
                <w:sz w:val="24"/>
                <w:szCs w:val="24"/>
              </w:rPr>
              <w:t>Câu trả lời</w:t>
            </w:r>
          </w:p>
        </w:tc>
      </w:tr>
      <w:tr w:rsidR="009444CC" w:rsidRPr="00A470FC" w:rsidTr="009444CC">
        <w:tc>
          <w:tcPr>
            <w:tcW w:w="709" w:type="dxa"/>
          </w:tcPr>
          <w:p w:rsidR="009444CC" w:rsidRPr="00A470FC" w:rsidRDefault="009444CC" w:rsidP="00BD71EE">
            <w:pPr>
              <w:pStyle w:val="ListParagraph"/>
              <w:numPr>
                <w:ilvl w:val="0"/>
                <w:numId w:val="3"/>
              </w:numPr>
              <w:spacing w:before="120" w:beforeAutospacing="0" w:after="0" w:afterAutospacing="0"/>
            </w:pPr>
          </w:p>
        </w:tc>
        <w:tc>
          <w:tcPr>
            <w:tcW w:w="5953" w:type="dxa"/>
          </w:tcPr>
          <w:p w:rsidR="009444CC" w:rsidRPr="00A470FC" w:rsidRDefault="009444CC" w:rsidP="00BD71EE">
            <w:pPr>
              <w:spacing w:before="120"/>
              <w:jc w:val="both"/>
              <w:rPr>
                <w:rFonts w:ascii="Times New Roman" w:hAnsi="Times New Roman" w:cs="Times New Roman"/>
                <w:sz w:val="24"/>
                <w:szCs w:val="24"/>
              </w:rPr>
            </w:pPr>
            <w:r>
              <w:rPr>
                <w:rFonts w:ascii="Times New Roman" w:hAnsi="Times New Roman" w:cs="Times New Roman"/>
                <w:sz w:val="24"/>
                <w:szCs w:val="24"/>
              </w:rPr>
              <w:t>Đề nghị cho biết tài khoản hiện có và tài khoản mới là thế nào?</w:t>
            </w:r>
          </w:p>
        </w:tc>
        <w:tc>
          <w:tcPr>
            <w:tcW w:w="6520" w:type="dxa"/>
          </w:tcPr>
          <w:p w:rsidR="009444CC" w:rsidRPr="00A470FC" w:rsidRDefault="009444CC" w:rsidP="00BD71EE">
            <w:pPr>
              <w:spacing w:before="120"/>
              <w:jc w:val="both"/>
              <w:rPr>
                <w:rFonts w:ascii="Times New Roman" w:hAnsi="Times New Roman" w:cs="Times New Roman"/>
                <w:sz w:val="24"/>
                <w:szCs w:val="24"/>
              </w:rPr>
            </w:pPr>
            <w:r>
              <w:rPr>
                <w:rFonts w:ascii="Times New Roman" w:hAnsi="Times New Roman" w:cs="Times New Roman"/>
                <w:sz w:val="24"/>
                <w:szCs w:val="24"/>
              </w:rPr>
              <w:t>Đề nghị xem định nghĩa tại IGA – Annex I – Section VI – B5 và B6</w:t>
            </w:r>
          </w:p>
        </w:tc>
      </w:tr>
      <w:tr w:rsidR="009444CC" w:rsidRPr="00A470FC" w:rsidTr="009444CC">
        <w:tc>
          <w:tcPr>
            <w:tcW w:w="709" w:type="dxa"/>
          </w:tcPr>
          <w:p w:rsidR="009444CC" w:rsidRPr="00A470FC" w:rsidRDefault="009444CC" w:rsidP="00BD71EE">
            <w:pPr>
              <w:pStyle w:val="ListParagraph"/>
              <w:numPr>
                <w:ilvl w:val="0"/>
                <w:numId w:val="3"/>
              </w:numPr>
              <w:spacing w:before="120" w:beforeAutospacing="0" w:after="0" w:afterAutospacing="0"/>
            </w:pPr>
          </w:p>
        </w:tc>
        <w:tc>
          <w:tcPr>
            <w:tcW w:w="5953" w:type="dxa"/>
          </w:tcPr>
          <w:p w:rsidR="009444CC" w:rsidRPr="00CB4CD3" w:rsidRDefault="009444CC" w:rsidP="00B42997">
            <w:pPr>
              <w:jc w:val="both"/>
              <w:rPr>
                <w:rFonts w:ascii="Times New Roman" w:hAnsi="Times New Roman" w:cs="Times New Roman"/>
                <w:sz w:val="24"/>
                <w:szCs w:val="24"/>
              </w:rPr>
            </w:pPr>
            <w:r>
              <w:rPr>
                <w:rFonts w:ascii="Times New Roman" w:hAnsi="Times New Roman" w:cs="Times New Roman"/>
                <w:sz w:val="24"/>
                <w:szCs w:val="24"/>
              </w:rPr>
              <w:t>Nếu một tài khoản có chủ sở hữu Hoa Kỳ đáng k</w:t>
            </w:r>
            <w:r w:rsidR="00DD622C">
              <w:rPr>
                <w:rFonts w:ascii="Times New Roman" w:hAnsi="Times New Roman" w:cs="Times New Roman"/>
                <w:sz w:val="24"/>
                <w:szCs w:val="24"/>
              </w:rPr>
              <w:t>ể</w:t>
            </w:r>
            <w:r>
              <w:rPr>
                <w:rFonts w:ascii="Times New Roman" w:hAnsi="Times New Roman" w:cs="Times New Roman"/>
                <w:sz w:val="24"/>
                <w:szCs w:val="24"/>
              </w:rPr>
              <w:t xml:space="preserve"> nhưng chủ tài khoản không phải người Hoa Kỳ (hoặc ngược lại), tổ chức tài chính (TCTC) có thể điền Mã số định danh thuế Hoa Kỳ (TIN) như thế nào (tại dòng 4 - Phần II. Chủ tài khoản hoặc thông tin người thanh toán – Mẫu biểu 8966) đối với cá nhân/tổ chức không phải người Hoa Kỳ để tránh tạo ra lỗi. </w:t>
            </w:r>
          </w:p>
          <w:p w:rsidR="009444CC" w:rsidRPr="00CB4CD3" w:rsidRDefault="009444CC" w:rsidP="00B33B8F">
            <w:pPr>
              <w:rPr>
                <w:rFonts w:ascii="Times New Roman" w:hAnsi="Times New Roman" w:cs="Times New Roman"/>
                <w:sz w:val="24"/>
                <w:szCs w:val="24"/>
              </w:rPr>
            </w:pPr>
          </w:p>
          <w:p w:rsidR="009444CC" w:rsidRPr="00A470FC" w:rsidRDefault="009444CC" w:rsidP="00CC6EA5">
            <w:pPr>
              <w:rPr>
                <w:rFonts w:ascii="Times New Roman" w:hAnsi="Times New Roman" w:cs="Times New Roman"/>
                <w:sz w:val="24"/>
                <w:szCs w:val="24"/>
              </w:rPr>
            </w:pPr>
          </w:p>
        </w:tc>
        <w:tc>
          <w:tcPr>
            <w:tcW w:w="6520" w:type="dxa"/>
          </w:tcPr>
          <w:p w:rsidR="009444CC" w:rsidRDefault="009444CC" w:rsidP="00763175">
            <w:pPr>
              <w:shd w:val="clear" w:color="auto" w:fill="FFFFFF"/>
              <w:spacing w:after="150"/>
              <w:jc w:val="both"/>
              <w:rPr>
                <w:rFonts w:ascii="Times New Roman" w:hAnsi="Times New Roman" w:cs="Times New Roman"/>
                <w:sz w:val="24"/>
                <w:szCs w:val="24"/>
              </w:rPr>
            </w:pPr>
            <w:r>
              <w:rPr>
                <w:rFonts w:ascii="Times New Roman" w:hAnsi="Times New Roman" w:cs="Times New Roman"/>
                <w:sz w:val="24"/>
                <w:szCs w:val="24"/>
              </w:rPr>
              <w:t>TCTC phải có TIN đối với Chủ tài khoản và người sở hữu đáng kế. Nếu cả hai đều là cá nhân/tổ chức Hoa Kỳ, TCTC phải điền TIN đối với cả hai. Nếu chỉ một trong hai là cá nhân/tổ chức Hoa Kỳ, TCTC sẽ không bị thông báo lỗi nếu TCTC điền TIN Hoa Kỳ có format hợp lệ đối với cá nhân/tổ chức Hoa Kỳ và mã số thuế nước ngoài (với trường</w:t>
            </w:r>
            <w:r w:rsidRPr="00CB4CD3">
              <w:rPr>
                <w:rFonts w:ascii="Times New Roman" w:hAnsi="Times New Roman" w:cs="Times New Roman"/>
                <w:sz w:val="24"/>
                <w:szCs w:val="24"/>
              </w:rPr>
              <w:t xml:space="preserve"> “TIN Issued by” </w:t>
            </w:r>
            <w:r>
              <w:rPr>
                <w:rFonts w:ascii="Times New Roman" w:hAnsi="Times New Roman" w:cs="Times New Roman"/>
                <w:sz w:val="24"/>
                <w:szCs w:val="24"/>
              </w:rPr>
              <w:t>được điền là mã số quốc gia cấp mã số thuế) đối với cá nhân/tổ chức nước ngoài. Nếu không có mã số thuế nước ngoài đối với cá nhân/tổ chức nước ngoài, TCTC có thể điền mã số quốc gia của TCTC tại trường “TIN issued by” và các kí tự “NA” (để thể hiện “Not available”) tại trường TIN (Đề nghị xem ví dụ dưới đây)</w:t>
            </w:r>
            <w:r w:rsidR="00DD622C">
              <w:rPr>
                <w:rFonts w:ascii="Times New Roman" w:hAnsi="Times New Roman" w:cs="Times New Roman"/>
                <w:sz w:val="24"/>
                <w:szCs w:val="24"/>
              </w:rPr>
              <w:t>:</w:t>
            </w:r>
          </w:p>
          <w:p w:rsidR="00763175" w:rsidRDefault="009444CC" w:rsidP="00A355E4">
            <w:pPr>
              <w:shd w:val="clear" w:color="auto" w:fill="FFFFFF"/>
              <w:spacing w:after="150"/>
              <w:rPr>
                <w:rFonts w:ascii="Times New Roman" w:hAnsi="Times New Roman" w:cs="Times New Roman"/>
                <w:sz w:val="24"/>
                <w:szCs w:val="24"/>
              </w:rPr>
            </w:pPr>
            <w:r w:rsidRPr="00CB4CD3">
              <w:rPr>
                <w:rFonts w:ascii="Times New Roman" w:hAnsi="Times New Roman" w:cs="Times New Roman"/>
                <w:sz w:val="24"/>
                <w:szCs w:val="24"/>
              </w:rPr>
              <w:t>                                &lt;ftc:AccountHolder&gt;</w:t>
            </w:r>
            <w:r w:rsidRPr="00CB4CD3">
              <w:rPr>
                <w:rFonts w:ascii="Times New Roman" w:hAnsi="Times New Roman" w:cs="Times New Roman"/>
                <w:sz w:val="24"/>
                <w:szCs w:val="24"/>
              </w:rPr>
              <w:br/>
              <w:t>                                       &lt;ftc:Individual&gt;</w:t>
            </w:r>
            <w:r w:rsidRPr="00CB4CD3">
              <w:rPr>
                <w:rFonts w:ascii="Times New Roman" w:hAnsi="Times New Roman" w:cs="Times New Roman"/>
                <w:sz w:val="24"/>
                <w:szCs w:val="24"/>
              </w:rPr>
              <w:br/>
              <w:t>                                          &lt;sfa:ResCountryCode&gt;CA&lt;/sfa:ResCountryCode&gt;</w:t>
            </w:r>
            <w:r w:rsidRPr="00CB4CD3">
              <w:rPr>
                <w:rFonts w:ascii="Times New Roman" w:hAnsi="Times New Roman" w:cs="Times New Roman"/>
                <w:sz w:val="24"/>
                <w:szCs w:val="24"/>
              </w:rPr>
              <w:br/>
              <w:t>                                          &lt;sfa:TIN   issuedBy=”LI”&gt;NA&lt;/sfa:TIN&gt;</w:t>
            </w:r>
            <w:r w:rsidRPr="00CB4CD3">
              <w:rPr>
                <w:rFonts w:ascii="Times New Roman" w:hAnsi="Times New Roman" w:cs="Times New Roman"/>
                <w:sz w:val="24"/>
                <w:szCs w:val="24"/>
              </w:rPr>
              <w:br/>
              <w:t>                                          &lt;sfa:Name&gt;</w:t>
            </w:r>
            <w:r w:rsidRPr="00CB4CD3">
              <w:rPr>
                <w:rFonts w:ascii="Times New Roman" w:hAnsi="Times New Roman" w:cs="Times New Roman"/>
                <w:sz w:val="24"/>
                <w:szCs w:val="24"/>
              </w:rPr>
              <w:br/>
              <w:t>                               </w:t>
            </w:r>
            <w:r w:rsidRPr="00CB4CD3">
              <w:rPr>
                <w:rFonts w:ascii="Times New Roman" w:hAnsi="Times New Roman" w:cs="Times New Roman"/>
                <w:sz w:val="24"/>
                <w:szCs w:val="24"/>
              </w:rPr>
              <w:br/>
              <w:t>                                &lt;ftc:SubstantialOwner&gt;</w:t>
            </w:r>
            <w:r w:rsidRPr="00CB4CD3">
              <w:rPr>
                <w:rFonts w:ascii="Times New Roman" w:hAnsi="Times New Roman" w:cs="Times New Roman"/>
                <w:sz w:val="24"/>
                <w:szCs w:val="24"/>
              </w:rPr>
              <w:br/>
              <w:t>                                       &lt;ftc:Individual&gt;</w:t>
            </w:r>
            <w:r w:rsidRPr="00CB4CD3">
              <w:rPr>
                <w:rFonts w:ascii="Times New Roman" w:hAnsi="Times New Roman" w:cs="Times New Roman"/>
                <w:sz w:val="24"/>
                <w:szCs w:val="24"/>
              </w:rPr>
              <w:br/>
              <w:t>                                &lt;sfa:TIN  issuedBy=”US&gt;123456789&lt;/sfa:TIN&gt;</w:t>
            </w:r>
            <w:r w:rsidRPr="00CB4CD3">
              <w:rPr>
                <w:rFonts w:ascii="Times New Roman" w:hAnsi="Times New Roman" w:cs="Times New Roman"/>
                <w:sz w:val="24"/>
                <w:szCs w:val="24"/>
              </w:rPr>
              <w:br/>
              <w:t xml:space="preserve">                </w:t>
            </w:r>
          </w:p>
          <w:p w:rsidR="009444CC" w:rsidRDefault="009444CC" w:rsidP="00763175">
            <w:pPr>
              <w:shd w:val="clear" w:color="auto" w:fill="FFFFFF"/>
              <w:spacing w:after="150"/>
              <w:jc w:val="both"/>
              <w:rPr>
                <w:rFonts w:ascii="Times New Roman" w:hAnsi="Times New Roman" w:cs="Times New Roman"/>
                <w:sz w:val="24"/>
                <w:szCs w:val="24"/>
              </w:rPr>
            </w:pPr>
            <w:r w:rsidRPr="00CB4CD3">
              <w:rPr>
                <w:rFonts w:ascii="Times New Roman" w:hAnsi="Times New Roman" w:cs="Times New Roman"/>
                <w:sz w:val="24"/>
                <w:szCs w:val="24"/>
              </w:rPr>
              <w:t>                               </w:t>
            </w:r>
            <w:r w:rsidRPr="00CB4CD3">
              <w:rPr>
                <w:rFonts w:ascii="Times New Roman" w:hAnsi="Times New Roman" w:cs="Times New Roman"/>
                <w:sz w:val="24"/>
                <w:szCs w:val="24"/>
              </w:rPr>
              <w:br/>
            </w:r>
            <w:r>
              <w:rPr>
                <w:rFonts w:ascii="Times New Roman" w:hAnsi="Times New Roman" w:cs="Times New Roman"/>
                <w:sz w:val="24"/>
                <w:szCs w:val="24"/>
              </w:rPr>
              <w:t xml:space="preserve">Nếu TCTC bỏ trống hoàn toàn trường TIN đối với cả Chủ tài khoản và Chủ sở hữu đáng kể, hoặc điền kí tự trống trong trường TIN, TCTC sẽ nhận được lỗi “TIN Not Populated” bất kể các </w:t>
            </w:r>
            <w:r>
              <w:rPr>
                <w:rFonts w:ascii="Times New Roman" w:hAnsi="Times New Roman" w:cs="Times New Roman"/>
                <w:sz w:val="24"/>
                <w:szCs w:val="24"/>
              </w:rPr>
              <w:lastRenderedPageBreak/>
              <w:t>trường TIN khác đã được điện mã số</w:t>
            </w:r>
            <w:r w:rsidR="00763175">
              <w:rPr>
                <w:rFonts w:ascii="Times New Roman" w:hAnsi="Times New Roman" w:cs="Times New Roman"/>
                <w:sz w:val="24"/>
                <w:szCs w:val="24"/>
              </w:rPr>
              <w:t xml:space="preserve"> TIN hay không.</w:t>
            </w:r>
          </w:p>
          <w:p w:rsidR="009444CC" w:rsidRDefault="009444CC" w:rsidP="00A355E4">
            <w:pPr>
              <w:shd w:val="clear" w:color="auto" w:fill="FFFFFF"/>
              <w:spacing w:after="150"/>
              <w:rPr>
                <w:rFonts w:ascii="Times New Roman" w:hAnsi="Times New Roman" w:cs="Times New Roman"/>
                <w:sz w:val="24"/>
                <w:szCs w:val="24"/>
              </w:rPr>
            </w:pPr>
            <w:r>
              <w:rPr>
                <w:rFonts w:ascii="Times New Roman" w:hAnsi="Times New Roman" w:cs="Times New Roman"/>
                <w:sz w:val="24"/>
                <w:szCs w:val="24"/>
              </w:rPr>
              <w:t xml:space="preserve">TCTC có thể xem them thông tin tại Câu hỏi thường gặp số 3 - </w:t>
            </w:r>
            <w:r w:rsidR="00763175">
              <w:rPr>
                <w:rFonts w:ascii="Times New Roman" w:hAnsi="Times New Roman" w:cs="Times New Roman"/>
                <w:sz w:val="24"/>
                <w:szCs w:val="24"/>
              </w:rPr>
              <w:t>Populating the TIN Field với đường dẫn như sau</w:t>
            </w:r>
            <w:r>
              <w:rPr>
                <w:rFonts w:ascii="Times New Roman" w:hAnsi="Times New Roman" w:cs="Times New Roman"/>
                <w:sz w:val="24"/>
                <w:szCs w:val="24"/>
              </w:rPr>
              <w:t>:</w:t>
            </w:r>
          </w:p>
          <w:p w:rsidR="009444CC" w:rsidRPr="00A355E4" w:rsidRDefault="009444CC" w:rsidP="00A355E4">
            <w:pPr>
              <w:shd w:val="clear" w:color="auto" w:fill="FFFFFF"/>
              <w:spacing w:after="150"/>
              <w:rPr>
                <w:rFonts w:ascii="Times New Roman" w:hAnsi="Times New Roman" w:cs="Times New Roman"/>
                <w:i/>
                <w:color w:val="0000FF"/>
                <w:sz w:val="24"/>
                <w:szCs w:val="24"/>
                <w:u w:val="single"/>
              </w:rPr>
            </w:pPr>
            <w:r w:rsidRPr="00A355E4">
              <w:rPr>
                <w:rFonts w:ascii="Times New Roman" w:hAnsi="Times New Roman" w:cs="Times New Roman"/>
                <w:i/>
                <w:color w:val="0000FF"/>
                <w:sz w:val="24"/>
                <w:szCs w:val="24"/>
                <w:u w:val="single"/>
              </w:rPr>
              <w:t>https://www.irs.gov/businesses/corporations/irs-fatca-report-notifications-frequently-asked-questions#collapseCollapsible1618850677912</w:t>
            </w:r>
          </w:p>
        </w:tc>
      </w:tr>
      <w:tr w:rsidR="009444CC" w:rsidRPr="00A470FC" w:rsidTr="009444CC">
        <w:tc>
          <w:tcPr>
            <w:tcW w:w="709" w:type="dxa"/>
          </w:tcPr>
          <w:p w:rsidR="009444CC" w:rsidRPr="00A470FC" w:rsidRDefault="009444CC" w:rsidP="00BD71EE">
            <w:pPr>
              <w:pStyle w:val="ListParagraph"/>
              <w:numPr>
                <w:ilvl w:val="0"/>
                <w:numId w:val="3"/>
              </w:numPr>
              <w:spacing w:before="120" w:beforeAutospacing="0" w:after="0" w:afterAutospacing="0"/>
            </w:pPr>
          </w:p>
        </w:tc>
        <w:tc>
          <w:tcPr>
            <w:tcW w:w="5953" w:type="dxa"/>
          </w:tcPr>
          <w:p w:rsidR="009444CC" w:rsidRPr="00CB4CD3" w:rsidRDefault="009444CC" w:rsidP="00B42997">
            <w:pPr>
              <w:jc w:val="both"/>
              <w:rPr>
                <w:rFonts w:ascii="Times New Roman" w:hAnsi="Times New Roman" w:cs="Times New Roman"/>
                <w:sz w:val="24"/>
                <w:szCs w:val="24"/>
              </w:rPr>
            </w:pPr>
            <w:r>
              <w:rPr>
                <w:rFonts w:ascii="Times New Roman" w:hAnsi="Times New Roman" w:cs="Times New Roman"/>
                <w:sz w:val="24"/>
                <w:szCs w:val="24"/>
              </w:rPr>
              <w:t xml:space="preserve">Đề nghị cho biết </w:t>
            </w:r>
            <w:r w:rsidRPr="00CB4CD3">
              <w:rPr>
                <w:rFonts w:ascii="Times New Roman" w:hAnsi="Times New Roman" w:cs="Times New Roman"/>
                <w:sz w:val="24"/>
                <w:szCs w:val="24"/>
              </w:rPr>
              <w:t>thời hạn lưu trữ các tài liệu liên quan đến FATCA bao gồm:</w:t>
            </w:r>
          </w:p>
          <w:p w:rsidR="009444CC" w:rsidRPr="00CB4CD3" w:rsidRDefault="009444CC" w:rsidP="00B42997">
            <w:pPr>
              <w:jc w:val="both"/>
              <w:rPr>
                <w:rFonts w:ascii="Times New Roman" w:hAnsi="Times New Roman" w:cs="Times New Roman"/>
                <w:sz w:val="24"/>
                <w:szCs w:val="24"/>
              </w:rPr>
            </w:pPr>
            <w:r w:rsidRPr="00CB4CD3">
              <w:rPr>
                <w:rFonts w:ascii="Times New Roman" w:hAnsi="Times New Roman" w:cs="Times New Roman"/>
                <w:sz w:val="24"/>
                <w:szCs w:val="24"/>
              </w:rPr>
              <w:t>-          Thông tin</w:t>
            </w:r>
            <w:r>
              <w:rPr>
                <w:rFonts w:ascii="Times New Roman" w:hAnsi="Times New Roman" w:cs="Times New Roman"/>
                <w:sz w:val="24"/>
                <w:szCs w:val="24"/>
              </w:rPr>
              <w:t xml:space="preserve"> khách hàng khai báo FATCA (</w:t>
            </w:r>
            <w:r w:rsidRPr="00CB4CD3">
              <w:rPr>
                <w:rFonts w:ascii="Times New Roman" w:hAnsi="Times New Roman" w:cs="Times New Roman"/>
                <w:sz w:val="24"/>
                <w:szCs w:val="24"/>
              </w:rPr>
              <w:t xml:space="preserve">mẫu biểu </w:t>
            </w:r>
            <w:r>
              <w:rPr>
                <w:rFonts w:ascii="Times New Roman" w:hAnsi="Times New Roman" w:cs="Times New Roman"/>
                <w:sz w:val="24"/>
                <w:szCs w:val="24"/>
              </w:rPr>
              <w:t>của Sở Thuế vụ Hoa Kỳ</w:t>
            </w:r>
            <w:r w:rsidRPr="00CB4CD3">
              <w:rPr>
                <w:rFonts w:ascii="Times New Roman" w:hAnsi="Times New Roman" w:cs="Times New Roman"/>
                <w:sz w:val="24"/>
                <w:szCs w:val="24"/>
              </w:rPr>
              <w:t xml:space="preserve"> </w:t>
            </w:r>
            <w:r>
              <w:rPr>
                <w:rFonts w:ascii="Times New Roman" w:hAnsi="Times New Roman" w:cs="Times New Roman"/>
                <w:sz w:val="24"/>
                <w:szCs w:val="24"/>
              </w:rPr>
              <w:t>(</w:t>
            </w:r>
            <w:r w:rsidRPr="00CB4CD3">
              <w:rPr>
                <w:rFonts w:ascii="Times New Roman" w:hAnsi="Times New Roman" w:cs="Times New Roman"/>
                <w:sz w:val="24"/>
                <w:szCs w:val="24"/>
              </w:rPr>
              <w:t>IRS</w:t>
            </w:r>
            <w:r>
              <w:rPr>
                <w:rFonts w:ascii="Times New Roman" w:hAnsi="Times New Roman" w:cs="Times New Roman"/>
                <w:sz w:val="24"/>
                <w:szCs w:val="24"/>
              </w:rPr>
              <w:t>)</w:t>
            </w:r>
            <w:r w:rsidRPr="00CB4CD3">
              <w:rPr>
                <w:rFonts w:ascii="Times New Roman" w:hAnsi="Times New Roman" w:cs="Times New Roman"/>
                <w:sz w:val="24"/>
                <w:szCs w:val="24"/>
              </w:rPr>
              <w:t>, đơn mở tài khoản …)</w:t>
            </w:r>
          </w:p>
          <w:p w:rsidR="009444CC" w:rsidRPr="00CB4CD3" w:rsidRDefault="009444CC" w:rsidP="00B42997">
            <w:pPr>
              <w:jc w:val="both"/>
              <w:rPr>
                <w:rFonts w:ascii="Times New Roman" w:hAnsi="Times New Roman" w:cs="Times New Roman"/>
                <w:sz w:val="24"/>
                <w:szCs w:val="24"/>
              </w:rPr>
            </w:pPr>
            <w:r w:rsidRPr="00CB4CD3">
              <w:rPr>
                <w:rFonts w:ascii="Times New Roman" w:hAnsi="Times New Roman" w:cs="Times New Roman"/>
                <w:sz w:val="24"/>
                <w:szCs w:val="24"/>
              </w:rPr>
              <w:t xml:space="preserve">-          Tài liệu/báo cáo FATCA của </w:t>
            </w:r>
            <w:r>
              <w:rPr>
                <w:rFonts w:ascii="Times New Roman" w:hAnsi="Times New Roman" w:cs="Times New Roman"/>
                <w:sz w:val="24"/>
                <w:szCs w:val="24"/>
              </w:rPr>
              <w:t>TCTC cho Ngân hàng Nhà nước Việt Nam</w:t>
            </w:r>
          </w:p>
          <w:p w:rsidR="009444CC" w:rsidRPr="00CB4CD3" w:rsidRDefault="009444CC" w:rsidP="00B42997">
            <w:pPr>
              <w:jc w:val="both"/>
              <w:rPr>
                <w:rFonts w:ascii="Times New Roman" w:hAnsi="Times New Roman" w:cs="Times New Roman"/>
                <w:sz w:val="24"/>
                <w:szCs w:val="24"/>
              </w:rPr>
            </w:pPr>
            <w:r w:rsidRPr="00CB4CD3">
              <w:rPr>
                <w:rFonts w:ascii="Times New Roman" w:hAnsi="Times New Roman" w:cs="Times New Roman"/>
                <w:sz w:val="24"/>
                <w:szCs w:val="24"/>
              </w:rPr>
              <w:t> </w:t>
            </w:r>
          </w:p>
          <w:p w:rsidR="009444CC" w:rsidRPr="00CB4CD3" w:rsidRDefault="009444CC" w:rsidP="00B42997">
            <w:pPr>
              <w:jc w:val="both"/>
              <w:rPr>
                <w:rFonts w:ascii="Times New Roman" w:hAnsi="Times New Roman" w:cs="Times New Roman"/>
                <w:sz w:val="24"/>
                <w:szCs w:val="24"/>
              </w:rPr>
            </w:pPr>
            <w:r>
              <w:rPr>
                <w:rFonts w:ascii="Times New Roman" w:hAnsi="Times New Roman" w:cs="Times New Roman"/>
                <w:sz w:val="24"/>
                <w:szCs w:val="24"/>
              </w:rPr>
              <w:t>Có thể dẫn chiếu tới quy định sau của IRS là lưu trữ 06 năm hay không?</w:t>
            </w:r>
          </w:p>
          <w:p w:rsidR="009444CC" w:rsidRPr="00B33B8F" w:rsidRDefault="009444CC" w:rsidP="00B42997">
            <w:pPr>
              <w:shd w:val="clear" w:color="auto" w:fill="FFFFFF"/>
              <w:jc w:val="both"/>
              <w:rPr>
                <w:rFonts w:ascii="Calibri" w:eastAsia="Times New Roman" w:hAnsi="Calibri" w:cs="Times New Roman"/>
                <w:color w:val="212121"/>
              </w:rPr>
            </w:pPr>
            <w:r w:rsidRPr="00B33B8F">
              <w:rPr>
                <w:rFonts w:ascii="Calibri" w:eastAsia="Times New Roman" w:hAnsi="Calibri" w:cs="Times New Roman"/>
                <w:i/>
                <w:iCs/>
                <w:color w:val="212121"/>
              </w:rPr>
              <w:t> </w:t>
            </w:r>
          </w:p>
          <w:p w:rsidR="009444CC" w:rsidRPr="00B33B8F" w:rsidRDefault="009444CC" w:rsidP="00B42997">
            <w:pPr>
              <w:shd w:val="clear" w:color="auto" w:fill="FFFFFF"/>
              <w:jc w:val="both"/>
              <w:rPr>
                <w:rFonts w:ascii="Calibri" w:eastAsia="Times New Roman" w:hAnsi="Calibri" w:cs="Times New Roman"/>
                <w:color w:val="212121"/>
              </w:rPr>
            </w:pPr>
            <w:r w:rsidRPr="00B33B8F">
              <w:rPr>
                <w:rFonts w:ascii="Calibri" w:eastAsia="Times New Roman" w:hAnsi="Calibri" w:cs="Times New Roman"/>
                <w:i/>
                <w:iCs/>
                <w:color w:val="212121"/>
                <w:sz w:val="20"/>
                <w:szCs w:val="20"/>
              </w:rPr>
              <w:t>6-year retention period is determined following requirement in IRS Final Regulations § 1.1471-4 – “FFI agreement”.</w:t>
            </w:r>
          </w:p>
          <w:p w:rsidR="009444CC" w:rsidRPr="00B33B8F" w:rsidRDefault="009444CC" w:rsidP="00B42997">
            <w:pPr>
              <w:shd w:val="clear" w:color="auto" w:fill="FFFFFF"/>
              <w:jc w:val="both"/>
              <w:rPr>
                <w:rFonts w:ascii="Calibri" w:eastAsia="Times New Roman" w:hAnsi="Calibri" w:cs="Times New Roman"/>
                <w:color w:val="212121"/>
              </w:rPr>
            </w:pPr>
            <w:r w:rsidRPr="00B33B8F">
              <w:rPr>
                <w:rFonts w:ascii="Calibri" w:eastAsia="Times New Roman" w:hAnsi="Calibri" w:cs="Times New Roman"/>
                <w:i/>
                <w:iCs/>
                <w:color w:val="212121"/>
                <w:sz w:val="20"/>
                <w:szCs w:val="20"/>
              </w:rPr>
              <w:t> </w:t>
            </w:r>
          </w:p>
          <w:p w:rsidR="009444CC" w:rsidRPr="00CC6EA5" w:rsidRDefault="009444CC" w:rsidP="00B42997">
            <w:pPr>
              <w:shd w:val="clear" w:color="auto" w:fill="FFFFFF"/>
              <w:jc w:val="both"/>
              <w:rPr>
                <w:rFonts w:ascii="Calibri" w:eastAsia="Times New Roman" w:hAnsi="Calibri" w:cs="Times New Roman"/>
                <w:color w:val="212121"/>
              </w:rPr>
            </w:pPr>
            <w:r w:rsidRPr="00B33B8F">
              <w:rPr>
                <w:rFonts w:ascii="Calibri" w:eastAsia="Times New Roman" w:hAnsi="Calibri" w:cs="Times New Roman"/>
                <w:i/>
                <w:iCs/>
                <w:color w:val="212121"/>
                <w:sz w:val="20"/>
                <w:szCs w:val="20"/>
              </w:rPr>
              <w:t>Record retention [§1.1471-4(c)(2)(iv)] </w:t>
            </w:r>
            <w:r w:rsidRPr="004F200C">
              <w:rPr>
                <w:rFonts w:ascii="Calibri" w:eastAsia="Times New Roman" w:hAnsi="Calibri" w:cs="Times New Roman"/>
                <w:i/>
                <w:iCs/>
                <w:color w:val="212121"/>
                <w:sz w:val="20"/>
                <w:szCs w:val="20"/>
              </w:rPr>
              <w:t>A participating FFI must retain a record of the documentation collected (or otherwise maintained) to establish the chapter 4 status of an account holder</w:t>
            </w:r>
            <w:r w:rsidRPr="00B33B8F">
              <w:rPr>
                <w:rFonts w:ascii="Calibri" w:eastAsia="Times New Roman" w:hAnsi="Calibri" w:cs="Times New Roman"/>
                <w:i/>
                <w:iCs/>
                <w:color w:val="212121"/>
                <w:sz w:val="20"/>
                <w:szCs w:val="20"/>
              </w:rPr>
              <w:t> or payee pursuant to the requirements of this paragraph (c)(2)(iv). A participating FFI will be treated as having retained a record of a withholding certificate, written statement, or documentary evidence if the participating FFI retains either an original, certified copy, or photocopy (including a microfiche, scan, or similar means of record retention) of the withholding certificate, written statement, or documentary evidence collected to determine the chapter 4 status of the account holder </w:t>
            </w:r>
            <w:r w:rsidRPr="00B33B8F">
              <w:rPr>
                <w:rFonts w:ascii="Calibri" w:eastAsia="Times New Roman" w:hAnsi="Calibri" w:cs="Times New Roman"/>
                <w:i/>
                <w:iCs/>
                <w:color w:val="212121"/>
                <w:sz w:val="20"/>
                <w:szCs w:val="20"/>
                <w:shd w:val="clear" w:color="auto" w:fill="FFFF00"/>
              </w:rPr>
              <w:t>for six calendar years following the year in which the due diligence procedures of this paragraph (c) were performed for the account.</w:t>
            </w:r>
            <w:r w:rsidRPr="00B33B8F">
              <w:rPr>
                <w:rFonts w:ascii="Calibri" w:eastAsia="Times New Roman" w:hAnsi="Calibri" w:cs="Times New Roman"/>
                <w:i/>
                <w:iCs/>
                <w:color w:val="212121"/>
                <w:sz w:val="20"/>
                <w:szCs w:val="20"/>
              </w:rPr>
              <w:t xml:space="preserve"> With respect to documentary evidence for an offshore obligation, however, a participating FFI that is not required to retain copies of documentation reviewed pursuant to its AML due diligence will be treated as having retained a record of such documentation if the participating FFI retains a record in its files noting the date the </w:t>
            </w:r>
            <w:r w:rsidRPr="00B33B8F">
              <w:rPr>
                <w:rFonts w:ascii="Calibri" w:eastAsia="Times New Roman" w:hAnsi="Calibri" w:cs="Times New Roman"/>
                <w:i/>
                <w:iCs/>
                <w:color w:val="212121"/>
                <w:sz w:val="20"/>
                <w:szCs w:val="20"/>
              </w:rPr>
              <w:lastRenderedPageBreak/>
              <w:t>documentation was reviewed, each type of document, the document's identification number (if any) (for example, passport number), and whether any U.S. indicia were identified. The previous sentence applies with respect to an offshore obligation that is also a preexisting obligation, except, in such case, the requirement to record whether the documentation contained U.S. indicia does not apply. A participating FFI must also retain a record of any searches, including search results provided by thirdparty credit agencies as described in paragraph (c)(4)(ii) of this section, results from electronic searches, and requests made and responses to relationship manager inquiries for six calendar years following the year in which the due diligence procedures of this paragraph (c) were performed for the account. A participating FFI may be required to extend the six year retention period if the IRS requests such extension prior to the end of the six year retention period. Notwithstanding the preceding sentences, a participating FFI must retain a record of the chapter 4 status of an account holder or payee for as long as the FFI maintains the account or obligation. See §1.1471-3(c)(6)(iii)(A) for the record retention period applicable to a participating FFI that is a withholding agent with respect to documentation collected (or otherwise maintained) for a payee.</w:t>
            </w:r>
          </w:p>
        </w:tc>
        <w:tc>
          <w:tcPr>
            <w:tcW w:w="6520" w:type="dxa"/>
          </w:tcPr>
          <w:p w:rsidR="009444CC" w:rsidRPr="0039000B" w:rsidRDefault="009444CC" w:rsidP="00B42997">
            <w:pPr>
              <w:jc w:val="both"/>
              <w:rPr>
                <w:rFonts w:ascii="Times New Roman" w:hAnsi="Times New Roman" w:cs="Times New Roman"/>
                <w:sz w:val="24"/>
                <w:szCs w:val="24"/>
              </w:rPr>
            </w:pPr>
            <w:r w:rsidRPr="0039000B">
              <w:rPr>
                <w:rFonts w:ascii="Times New Roman" w:hAnsi="Times New Roman" w:cs="Times New Roman"/>
                <w:sz w:val="24"/>
                <w:szCs w:val="24"/>
              </w:rPr>
              <w:lastRenderedPageBreak/>
              <w:t>IRS không đưa ra hướng dẫn chi tiết về vấn đề này. Tuy nhiên, IRS xác nhận hệ thống của họ (ICMM) lưu trữ các hồ sơ liên quan đến FATCA trong 10 năm trước khi xóa khỏi hệ thống.</w:t>
            </w:r>
          </w:p>
          <w:p w:rsidR="009444CC" w:rsidRPr="00A470FC" w:rsidRDefault="009444CC" w:rsidP="00B42997">
            <w:pPr>
              <w:spacing w:before="120"/>
              <w:jc w:val="both"/>
              <w:rPr>
                <w:rFonts w:ascii="Times New Roman" w:hAnsi="Times New Roman" w:cs="Times New Roman"/>
                <w:sz w:val="24"/>
                <w:szCs w:val="24"/>
              </w:rPr>
            </w:pPr>
          </w:p>
        </w:tc>
      </w:tr>
      <w:tr w:rsidR="009444CC" w:rsidRPr="00A470FC" w:rsidTr="009444CC">
        <w:tc>
          <w:tcPr>
            <w:tcW w:w="709" w:type="dxa"/>
          </w:tcPr>
          <w:p w:rsidR="009444CC" w:rsidRPr="00A470FC" w:rsidRDefault="009444CC" w:rsidP="00BD71EE">
            <w:pPr>
              <w:pStyle w:val="ListParagraph"/>
              <w:numPr>
                <w:ilvl w:val="0"/>
                <w:numId w:val="3"/>
              </w:numPr>
              <w:spacing w:before="120" w:beforeAutospacing="0" w:after="0" w:afterAutospacing="0"/>
            </w:pPr>
          </w:p>
        </w:tc>
        <w:tc>
          <w:tcPr>
            <w:tcW w:w="5953" w:type="dxa"/>
          </w:tcPr>
          <w:p w:rsidR="00585B38" w:rsidRDefault="00981AAC" w:rsidP="00B42997">
            <w:pPr>
              <w:jc w:val="both"/>
              <w:rPr>
                <w:rFonts w:ascii="Times New Roman" w:hAnsi="Times New Roman" w:cs="Times New Roman"/>
                <w:sz w:val="24"/>
                <w:szCs w:val="24"/>
              </w:rPr>
            </w:pPr>
            <w:r w:rsidRPr="00981AAC">
              <w:rPr>
                <w:rFonts w:ascii="Times New Roman" w:hAnsi="Times New Roman" w:cs="Times New Roman"/>
                <w:sz w:val="24"/>
                <w:szCs w:val="24"/>
              </w:rPr>
              <w:t xml:space="preserve">Theo hướng dẫn của IRS đối với mẫu biểu </w:t>
            </w:r>
            <w:r w:rsidR="009444CC" w:rsidRPr="00981AAC">
              <w:rPr>
                <w:rFonts w:ascii="Times New Roman" w:hAnsi="Times New Roman" w:cs="Times New Roman"/>
                <w:sz w:val="24"/>
                <w:szCs w:val="24"/>
              </w:rPr>
              <w:t xml:space="preserve">8966, </w:t>
            </w:r>
            <w:r>
              <w:rPr>
                <w:rFonts w:ascii="Times New Roman" w:hAnsi="Times New Roman" w:cs="Times New Roman"/>
                <w:sz w:val="24"/>
                <w:szCs w:val="24"/>
              </w:rPr>
              <w:t xml:space="preserve"> Phần </w:t>
            </w:r>
            <w:r w:rsidR="009444CC" w:rsidRPr="00981AAC">
              <w:rPr>
                <w:rFonts w:ascii="Times New Roman" w:hAnsi="Times New Roman" w:cs="Times New Roman"/>
                <w:sz w:val="24"/>
                <w:szCs w:val="24"/>
              </w:rPr>
              <w:t xml:space="preserve">V </w:t>
            </w:r>
            <w:r w:rsidR="006271BC">
              <w:rPr>
                <w:rFonts w:ascii="Times New Roman" w:hAnsi="Times New Roman" w:cs="Times New Roman"/>
                <w:sz w:val="24"/>
                <w:szCs w:val="24"/>
              </w:rPr>
              <w:t>–</w:t>
            </w:r>
            <w:r w:rsidR="009444CC" w:rsidRPr="00981AAC">
              <w:rPr>
                <w:rFonts w:ascii="Times New Roman" w:hAnsi="Times New Roman" w:cs="Times New Roman"/>
                <w:sz w:val="24"/>
                <w:szCs w:val="24"/>
              </w:rPr>
              <w:t xml:space="preserve"> </w:t>
            </w:r>
            <w:r w:rsidR="006271BC">
              <w:rPr>
                <w:rFonts w:ascii="Times New Roman" w:hAnsi="Times New Roman" w:cs="Times New Roman"/>
                <w:sz w:val="24"/>
                <w:szCs w:val="24"/>
              </w:rPr>
              <w:t>Loại báo cáo tích hợp (</w:t>
            </w:r>
            <w:r w:rsidR="009444CC" w:rsidRPr="00981AAC">
              <w:rPr>
                <w:rFonts w:ascii="Times New Roman" w:hAnsi="Times New Roman" w:cs="Times New Roman"/>
                <w:sz w:val="24"/>
                <w:szCs w:val="24"/>
              </w:rPr>
              <w:t>Pooled reporting type</w:t>
            </w:r>
            <w:r w:rsidR="006271BC">
              <w:rPr>
                <w:rFonts w:ascii="Times New Roman" w:hAnsi="Times New Roman" w:cs="Times New Roman"/>
                <w:sz w:val="24"/>
                <w:szCs w:val="24"/>
              </w:rPr>
              <w:t>)</w:t>
            </w:r>
            <w:r w:rsidR="009444CC" w:rsidRPr="00981AAC">
              <w:rPr>
                <w:rFonts w:ascii="Times New Roman" w:hAnsi="Times New Roman" w:cs="Times New Roman"/>
                <w:sz w:val="24"/>
                <w:szCs w:val="24"/>
              </w:rPr>
              <w:t xml:space="preserve"> </w:t>
            </w:r>
            <w:r>
              <w:rPr>
                <w:rFonts w:ascii="Times New Roman" w:hAnsi="Times New Roman" w:cs="Times New Roman"/>
                <w:sz w:val="24"/>
                <w:szCs w:val="24"/>
              </w:rPr>
              <w:t>được sử dụng bởi Tổ chức tài chính tham gia (PFFI) để báo cáo các thông tin được nắm giữ b</w:t>
            </w:r>
            <w:r w:rsidR="00585B38">
              <w:rPr>
                <w:rFonts w:ascii="Times New Roman" w:hAnsi="Times New Roman" w:cs="Times New Roman"/>
                <w:sz w:val="24"/>
                <w:szCs w:val="24"/>
              </w:rPr>
              <w:t>ở</w:t>
            </w:r>
            <w:r>
              <w:rPr>
                <w:rFonts w:ascii="Times New Roman" w:hAnsi="Times New Roman" w:cs="Times New Roman"/>
                <w:sz w:val="24"/>
                <w:szCs w:val="24"/>
              </w:rPr>
              <w:t xml:space="preserve">i các </w:t>
            </w:r>
            <w:r w:rsidR="00585B38">
              <w:rPr>
                <w:rFonts w:ascii="Times New Roman" w:hAnsi="Times New Roman" w:cs="Times New Roman"/>
                <w:sz w:val="24"/>
                <w:szCs w:val="24"/>
              </w:rPr>
              <w:t xml:space="preserve">chủ </w:t>
            </w:r>
            <w:r>
              <w:rPr>
                <w:rFonts w:ascii="Times New Roman" w:hAnsi="Times New Roman" w:cs="Times New Roman"/>
                <w:sz w:val="24"/>
                <w:szCs w:val="24"/>
              </w:rPr>
              <w:t>tài khoản chống đối.</w:t>
            </w:r>
            <w:r w:rsidR="00585B38">
              <w:rPr>
                <w:rFonts w:ascii="Times New Roman" w:hAnsi="Times New Roman" w:cs="Times New Roman"/>
                <w:sz w:val="24"/>
                <w:szCs w:val="24"/>
              </w:rPr>
              <w:t xml:space="preserve"> </w:t>
            </w:r>
          </w:p>
          <w:p w:rsidR="009444CC" w:rsidRDefault="00B42997" w:rsidP="00BB41D4">
            <w:pPr>
              <w:jc w:val="both"/>
              <w:rPr>
                <w:rFonts w:ascii="Times New Roman" w:hAnsi="Times New Roman" w:cs="Times New Roman"/>
                <w:sz w:val="24"/>
                <w:szCs w:val="24"/>
              </w:rPr>
            </w:pPr>
            <w:r>
              <w:rPr>
                <w:rFonts w:ascii="Times New Roman" w:hAnsi="Times New Roman" w:cs="Times New Roman"/>
                <w:sz w:val="24"/>
                <w:szCs w:val="24"/>
              </w:rPr>
              <w:t>Như v</w:t>
            </w:r>
            <w:r w:rsidR="00585B38">
              <w:rPr>
                <w:rFonts w:ascii="Times New Roman" w:hAnsi="Times New Roman" w:cs="Times New Roman"/>
                <w:sz w:val="24"/>
                <w:szCs w:val="24"/>
              </w:rPr>
              <w:t xml:space="preserve">ậy, </w:t>
            </w:r>
            <w:r w:rsidR="00BB41D4">
              <w:rPr>
                <w:rFonts w:ascii="Times New Roman" w:hAnsi="Times New Roman" w:cs="Times New Roman"/>
                <w:sz w:val="24"/>
                <w:szCs w:val="24"/>
              </w:rPr>
              <w:t>m</w:t>
            </w:r>
            <w:r w:rsidR="00585B38">
              <w:rPr>
                <w:rFonts w:ascii="Times New Roman" w:hAnsi="Times New Roman" w:cs="Times New Roman"/>
                <w:sz w:val="24"/>
                <w:szCs w:val="24"/>
              </w:rPr>
              <w:t>ột TCTC đăng ký tuân thủ</w:t>
            </w:r>
            <w:r w:rsidR="00BB41D4">
              <w:rPr>
                <w:rFonts w:ascii="Times New Roman" w:hAnsi="Times New Roman" w:cs="Times New Roman"/>
                <w:sz w:val="24"/>
                <w:szCs w:val="24"/>
              </w:rPr>
              <w:t xml:space="preserve"> (Registered Deemed-Compliant FFI)</w:t>
            </w:r>
            <w:r w:rsidR="00585B38">
              <w:rPr>
                <w:rFonts w:ascii="Times New Roman" w:hAnsi="Times New Roman" w:cs="Times New Roman"/>
                <w:sz w:val="24"/>
                <w:szCs w:val="24"/>
              </w:rPr>
              <w:t xml:space="preserve"> có thể sử dụng phần V này để báo cáo thông tin về chủ tài khoản từ chối cung cấp thông tin theo yêu cầu như TIN, … hay không? Nếu không, đề nghị hướng dẫn cách TCTC có thể báo cáo về chủ tài khoản từ chối cung cấp các thông tin được yêu cầu. </w:t>
            </w:r>
          </w:p>
        </w:tc>
        <w:tc>
          <w:tcPr>
            <w:tcW w:w="6520" w:type="dxa"/>
          </w:tcPr>
          <w:p w:rsidR="009444CC" w:rsidRPr="00981AAC" w:rsidRDefault="006271BC" w:rsidP="00B42997">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Báo cáo tích hợp </w:t>
            </w:r>
            <w:r w:rsidR="00585B38">
              <w:rPr>
                <w:rFonts w:ascii="Times New Roman" w:hAnsi="Times New Roman" w:cs="Times New Roman"/>
                <w:sz w:val="24"/>
                <w:szCs w:val="24"/>
              </w:rPr>
              <w:t>không được nộp bởi</w:t>
            </w:r>
            <w:r w:rsidR="009444CC" w:rsidRPr="00981AAC">
              <w:rPr>
                <w:rFonts w:ascii="Times New Roman" w:hAnsi="Times New Roman" w:cs="Times New Roman"/>
                <w:sz w:val="24"/>
                <w:szCs w:val="24"/>
              </w:rPr>
              <w:t xml:space="preserve"> HCTAs</w:t>
            </w:r>
            <w:r w:rsidR="00585B38">
              <w:rPr>
                <w:rFonts w:ascii="Times New Roman" w:hAnsi="Times New Roman" w:cs="Times New Roman"/>
                <w:sz w:val="24"/>
                <w:szCs w:val="24"/>
              </w:rPr>
              <w:t xml:space="preserve"> liên quan đến các TCTC </w:t>
            </w:r>
            <w:r w:rsidR="00A94781">
              <w:rPr>
                <w:rFonts w:ascii="Times New Roman" w:hAnsi="Times New Roman" w:cs="Times New Roman"/>
                <w:sz w:val="24"/>
                <w:szCs w:val="24"/>
              </w:rPr>
              <w:t xml:space="preserve">nước ngoài </w:t>
            </w:r>
            <w:r w:rsidR="00585B38">
              <w:rPr>
                <w:rFonts w:ascii="Times New Roman" w:hAnsi="Times New Roman" w:cs="Times New Roman"/>
                <w:sz w:val="24"/>
                <w:szCs w:val="24"/>
              </w:rPr>
              <w:t xml:space="preserve">Mô hình 1. </w:t>
            </w:r>
            <w:r>
              <w:rPr>
                <w:rFonts w:ascii="Times New Roman" w:hAnsi="Times New Roman" w:cs="Times New Roman"/>
                <w:sz w:val="24"/>
                <w:szCs w:val="24"/>
              </w:rPr>
              <w:t>Báo cáo tích hợp</w:t>
            </w:r>
            <w:r w:rsidR="009444CC" w:rsidRPr="00981AAC">
              <w:rPr>
                <w:rFonts w:ascii="Times New Roman" w:hAnsi="Times New Roman" w:cs="Times New Roman"/>
                <w:sz w:val="24"/>
                <w:szCs w:val="24"/>
              </w:rPr>
              <w:t xml:space="preserve"> </w:t>
            </w:r>
            <w:r w:rsidR="00585B38">
              <w:rPr>
                <w:rFonts w:ascii="Times New Roman" w:hAnsi="Times New Roman" w:cs="Times New Roman"/>
                <w:sz w:val="24"/>
                <w:szCs w:val="24"/>
              </w:rPr>
              <w:t>được sử dụng bởi các PFFI Mô hình 2 hoặc các quố</w:t>
            </w:r>
            <w:r>
              <w:rPr>
                <w:rFonts w:ascii="Times New Roman" w:hAnsi="Times New Roman" w:cs="Times New Roman"/>
                <w:sz w:val="24"/>
                <w:szCs w:val="24"/>
              </w:rPr>
              <w:t>c gia</w:t>
            </w:r>
            <w:r w:rsidR="00585B38">
              <w:rPr>
                <w:rFonts w:ascii="Times New Roman" w:hAnsi="Times New Roman" w:cs="Times New Roman"/>
                <w:sz w:val="24"/>
                <w:szCs w:val="24"/>
              </w:rPr>
              <w:t xml:space="preserve"> không kí Hiệp định IGA mà kí Thỏa thuận FFI (</w:t>
            </w:r>
            <w:r w:rsidR="009444CC" w:rsidRPr="00981AAC">
              <w:rPr>
                <w:rFonts w:ascii="Times New Roman" w:hAnsi="Times New Roman" w:cs="Times New Roman"/>
                <w:sz w:val="24"/>
                <w:szCs w:val="24"/>
              </w:rPr>
              <w:t xml:space="preserve"> FFI Agreement</w:t>
            </w:r>
            <w:r w:rsidR="00585B38">
              <w:rPr>
                <w:rFonts w:ascii="Times New Roman" w:hAnsi="Times New Roman" w:cs="Times New Roman"/>
                <w:sz w:val="24"/>
                <w:szCs w:val="24"/>
              </w:rPr>
              <w:t>)</w:t>
            </w:r>
            <w:r w:rsidR="009444CC" w:rsidRPr="00981AAC">
              <w:rPr>
                <w:rFonts w:ascii="Times New Roman" w:hAnsi="Times New Roman" w:cs="Times New Roman"/>
                <w:sz w:val="24"/>
                <w:szCs w:val="24"/>
              </w:rPr>
              <w:t xml:space="preserve"> (Rev. Proc. 2017-16) </w:t>
            </w:r>
            <w:r w:rsidR="00585B38">
              <w:rPr>
                <w:rFonts w:ascii="Times New Roman" w:hAnsi="Times New Roman" w:cs="Times New Roman"/>
                <w:sz w:val="24"/>
                <w:szCs w:val="24"/>
              </w:rPr>
              <w:t>với</w:t>
            </w:r>
            <w:r w:rsidR="009444CC" w:rsidRPr="00981AAC">
              <w:rPr>
                <w:rFonts w:ascii="Times New Roman" w:hAnsi="Times New Roman" w:cs="Times New Roman"/>
                <w:sz w:val="24"/>
                <w:szCs w:val="24"/>
              </w:rPr>
              <w:t xml:space="preserve"> IRS.  </w:t>
            </w:r>
          </w:p>
          <w:p w:rsidR="009444CC" w:rsidRDefault="006271BC" w:rsidP="00337256">
            <w:pPr>
              <w:spacing w:before="120"/>
              <w:jc w:val="both"/>
              <w:rPr>
                <w:rFonts w:ascii="Times New Roman" w:hAnsi="Times New Roman" w:cs="Times New Roman"/>
                <w:sz w:val="24"/>
                <w:szCs w:val="24"/>
              </w:rPr>
            </w:pPr>
            <w:r>
              <w:rPr>
                <w:rFonts w:ascii="Times New Roman" w:hAnsi="Times New Roman" w:cs="Times New Roman"/>
                <w:sz w:val="24"/>
                <w:szCs w:val="24"/>
              </w:rPr>
              <w:t>Liên quan đến chủ tài khoản từ chối cung cấp thông tin yêu cầu, TCTC phải hoàn thành các quy trình thẩm định theo Phụ lục I</w:t>
            </w:r>
            <w:r w:rsidR="0016491C">
              <w:rPr>
                <w:rFonts w:ascii="Times New Roman" w:hAnsi="Times New Roman" w:cs="Times New Roman"/>
                <w:sz w:val="24"/>
                <w:szCs w:val="24"/>
              </w:rPr>
              <w:t xml:space="preserve"> của</w:t>
            </w:r>
            <w:r>
              <w:rPr>
                <w:rFonts w:ascii="Times New Roman" w:hAnsi="Times New Roman" w:cs="Times New Roman"/>
                <w:sz w:val="24"/>
                <w:szCs w:val="24"/>
              </w:rPr>
              <w:t xml:space="preserve"> Hiệp định IGA. </w:t>
            </w:r>
            <w:r w:rsidR="007E1D10">
              <w:rPr>
                <w:rFonts w:ascii="Times New Roman" w:hAnsi="Times New Roman" w:cs="Times New Roman"/>
                <w:sz w:val="24"/>
                <w:szCs w:val="24"/>
              </w:rPr>
              <w:t>Việ</w:t>
            </w:r>
            <w:r w:rsidR="0016491C">
              <w:rPr>
                <w:rFonts w:ascii="Times New Roman" w:hAnsi="Times New Roman" w:cs="Times New Roman"/>
                <w:sz w:val="24"/>
                <w:szCs w:val="24"/>
              </w:rPr>
              <w:t>c</w:t>
            </w:r>
            <w:r w:rsidR="007E1D10">
              <w:rPr>
                <w:rFonts w:ascii="Times New Roman" w:hAnsi="Times New Roman" w:cs="Times New Roman"/>
                <w:sz w:val="24"/>
                <w:szCs w:val="24"/>
              </w:rPr>
              <w:t xml:space="preserve"> xác nhận cho các tài khoản hiện có là yêu cầu đối với các PFFI và các </w:t>
            </w:r>
            <w:r w:rsidR="0016491C">
              <w:rPr>
                <w:rFonts w:ascii="Times New Roman" w:hAnsi="Times New Roman" w:cs="Times New Roman"/>
                <w:sz w:val="24"/>
                <w:szCs w:val="24"/>
              </w:rPr>
              <w:t>TCC</w:t>
            </w:r>
            <w:r w:rsidR="007E1D10">
              <w:rPr>
                <w:rFonts w:ascii="Times New Roman" w:hAnsi="Times New Roman" w:cs="Times New Roman"/>
                <w:sz w:val="24"/>
                <w:szCs w:val="24"/>
              </w:rPr>
              <w:t xml:space="preserve"> đăng ký tuân thủ. Đối với mỗi tài khoản hiện có được nắm giữ bởi một người không cư trú của quốc gia nơi mà </w:t>
            </w:r>
            <w:r w:rsidR="0016491C">
              <w:rPr>
                <w:rFonts w:ascii="Times New Roman" w:hAnsi="Times New Roman" w:cs="Times New Roman"/>
                <w:sz w:val="24"/>
                <w:szCs w:val="24"/>
              </w:rPr>
              <w:t>TCTC nước ngoài</w:t>
            </w:r>
            <w:r w:rsidR="007E1D10">
              <w:rPr>
                <w:rFonts w:ascii="Times New Roman" w:hAnsi="Times New Roman" w:cs="Times New Roman"/>
                <w:sz w:val="24"/>
                <w:szCs w:val="24"/>
              </w:rPr>
              <w:t xml:space="preserve"> được tổ chức hoặc nắm giữ bởi một tổ chức, </w:t>
            </w:r>
            <w:r w:rsidR="00A94781">
              <w:rPr>
                <w:rFonts w:ascii="Times New Roman" w:hAnsi="Times New Roman" w:cs="Times New Roman"/>
                <w:sz w:val="24"/>
                <w:szCs w:val="24"/>
              </w:rPr>
              <w:t>TCTC nước ngoài</w:t>
            </w:r>
            <w:r w:rsidR="007E1D10">
              <w:rPr>
                <w:rFonts w:ascii="Times New Roman" w:hAnsi="Times New Roman" w:cs="Times New Roman"/>
                <w:sz w:val="24"/>
                <w:szCs w:val="24"/>
              </w:rPr>
              <w:t xml:space="preserve"> rà soát các tài khoản để xác định và chuẩn bị các tài liệu về chủ tài khoản và người thanh toán nhằm xác định bất kỳ tài khoản Hoa Kỳ nào hoặc tài khoản được nắm giữ bởi một </w:t>
            </w:r>
            <w:r w:rsidR="00A94781">
              <w:rPr>
                <w:rFonts w:ascii="Times New Roman" w:hAnsi="Times New Roman" w:cs="Times New Roman"/>
                <w:sz w:val="24"/>
                <w:szCs w:val="24"/>
              </w:rPr>
              <w:t>TCTC nước ngoài</w:t>
            </w:r>
            <w:r w:rsidR="007E1D10">
              <w:rPr>
                <w:rFonts w:ascii="Times New Roman" w:hAnsi="Times New Roman" w:cs="Times New Roman"/>
                <w:sz w:val="24"/>
                <w:szCs w:val="24"/>
              </w:rPr>
              <w:t xml:space="preserve"> không tham gia, và xác nhận với IRS rằng </w:t>
            </w:r>
            <w:r w:rsidR="00A8213D">
              <w:rPr>
                <w:rFonts w:ascii="Times New Roman" w:hAnsi="Times New Roman" w:cs="Times New Roman"/>
                <w:sz w:val="24"/>
                <w:szCs w:val="24"/>
              </w:rPr>
              <w:t xml:space="preserve">họ đã không xác định được bất kỳ tài khoản nào như vậy sau khi rà soát, rằng họ đã đóng bất kỳ tài khoản nào </w:t>
            </w:r>
            <w:r w:rsidR="00A8213D">
              <w:rPr>
                <w:rFonts w:ascii="Times New Roman" w:hAnsi="Times New Roman" w:cs="Times New Roman"/>
                <w:sz w:val="24"/>
                <w:szCs w:val="24"/>
              </w:rPr>
              <w:lastRenderedPageBreak/>
              <w:t xml:space="preserve">như vậy đã được xác định hoặc chuyển chúng cho các </w:t>
            </w:r>
            <w:r w:rsidR="00A94781">
              <w:rPr>
                <w:rFonts w:ascii="Times New Roman" w:hAnsi="Times New Roman" w:cs="Times New Roman"/>
                <w:sz w:val="24"/>
                <w:szCs w:val="24"/>
              </w:rPr>
              <w:t>PFFI</w:t>
            </w:r>
            <w:r w:rsidR="00A8213D">
              <w:rPr>
                <w:rFonts w:ascii="Times New Roman" w:hAnsi="Times New Roman" w:cs="Times New Roman"/>
                <w:sz w:val="24"/>
                <w:szCs w:val="24"/>
              </w:rPr>
              <w:t xml:space="preserve">, các </w:t>
            </w:r>
            <w:r w:rsidR="00A94781">
              <w:rPr>
                <w:rFonts w:ascii="Times New Roman" w:hAnsi="Times New Roman" w:cs="Times New Roman"/>
                <w:sz w:val="24"/>
                <w:szCs w:val="24"/>
              </w:rPr>
              <w:t>TCTC nước ngoài</w:t>
            </w:r>
            <w:r w:rsidR="00337256">
              <w:rPr>
                <w:rFonts w:ascii="Times New Roman" w:hAnsi="Times New Roman" w:cs="Times New Roman"/>
                <w:sz w:val="24"/>
                <w:szCs w:val="24"/>
              </w:rPr>
              <w:t xml:space="preserve"> Mô hình 1 </w:t>
            </w:r>
            <w:r w:rsidR="00A8213D">
              <w:rPr>
                <w:rFonts w:ascii="Times New Roman" w:hAnsi="Times New Roman" w:cs="Times New Roman"/>
                <w:sz w:val="24"/>
                <w:szCs w:val="24"/>
              </w:rPr>
              <w:t xml:space="preserve">hoặc TCTC Hoa Kỳ, hoặc rằng họ chấp thuận khấu trừ và báo cáo về những tài khoản như vậy theo yêu cầu nếu họ là một </w:t>
            </w:r>
            <w:r w:rsidR="00337256">
              <w:rPr>
                <w:rFonts w:ascii="Times New Roman" w:hAnsi="Times New Roman" w:cs="Times New Roman"/>
                <w:sz w:val="24"/>
                <w:szCs w:val="24"/>
              </w:rPr>
              <w:t>PFFI</w:t>
            </w:r>
            <w:r w:rsidR="00A8213D">
              <w:rPr>
                <w:rFonts w:ascii="Times New Roman" w:hAnsi="Times New Roman" w:cs="Times New Roman"/>
                <w:sz w:val="24"/>
                <w:szCs w:val="24"/>
              </w:rPr>
              <w:t xml:space="preserve">. Việc xác nhận các tài khoản hiện có </w:t>
            </w:r>
            <w:r w:rsidR="000372DF">
              <w:rPr>
                <w:rFonts w:ascii="Times New Roman" w:hAnsi="Times New Roman" w:cs="Times New Roman"/>
                <w:sz w:val="24"/>
                <w:szCs w:val="24"/>
              </w:rPr>
              <w:t xml:space="preserve">đã phải được nộp chậm nhất tại thời hạn </w:t>
            </w:r>
            <w:r w:rsidR="00337256">
              <w:rPr>
                <w:rFonts w:ascii="Times New Roman" w:hAnsi="Times New Roman" w:cs="Times New Roman"/>
                <w:sz w:val="24"/>
                <w:szCs w:val="24"/>
              </w:rPr>
              <w:t>TCTC nước ngoài</w:t>
            </w:r>
            <w:r w:rsidR="000372DF">
              <w:rPr>
                <w:rFonts w:ascii="Times New Roman" w:hAnsi="Times New Roman" w:cs="Times New Roman"/>
                <w:sz w:val="24"/>
                <w:szCs w:val="24"/>
              </w:rPr>
              <w:t xml:space="preserve"> xác nhận tuân thủ lần đầu tiên. Các TCTC phải tuân thủ các quy trình thẩm định cần thiết đối với </w:t>
            </w:r>
            <w:r w:rsidR="00337256">
              <w:rPr>
                <w:rFonts w:ascii="Times New Roman" w:hAnsi="Times New Roman" w:cs="Times New Roman"/>
                <w:sz w:val="24"/>
                <w:szCs w:val="24"/>
              </w:rPr>
              <w:t>TCTC nước ngoài</w:t>
            </w:r>
            <w:r w:rsidR="000372DF">
              <w:rPr>
                <w:rFonts w:ascii="Times New Roman" w:hAnsi="Times New Roman" w:cs="Times New Roman"/>
                <w:sz w:val="24"/>
                <w:szCs w:val="24"/>
              </w:rPr>
              <w:t xml:space="preserve"> Mô hình 1 theo Hiệp định IGA (từ 2024 đến nay) n</w:t>
            </w:r>
            <w:r w:rsidR="00337256">
              <w:rPr>
                <w:rFonts w:ascii="Times New Roman" w:hAnsi="Times New Roman" w:cs="Times New Roman"/>
                <w:sz w:val="24"/>
                <w:szCs w:val="24"/>
              </w:rPr>
              <w:t>ế</w:t>
            </w:r>
            <w:r w:rsidR="000372DF">
              <w:rPr>
                <w:rFonts w:ascii="Times New Roman" w:hAnsi="Times New Roman" w:cs="Times New Roman"/>
                <w:sz w:val="24"/>
                <w:szCs w:val="24"/>
              </w:rPr>
              <w:t>u TCTC chưa thực hiện việc này.</w:t>
            </w:r>
          </w:p>
        </w:tc>
      </w:tr>
      <w:tr w:rsidR="009444CC" w:rsidRPr="00A470FC" w:rsidTr="009444CC">
        <w:tc>
          <w:tcPr>
            <w:tcW w:w="709" w:type="dxa"/>
          </w:tcPr>
          <w:p w:rsidR="009444CC" w:rsidRPr="00A470FC" w:rsidRDefault="009444CC" w:rsidP="00BD71EE">
            <w:pPr>
              <w:pStyle w:val="ListParagraph"/>
              <w:numPr>
                <w:ilvl w:val="0"/>
                <w:numId w:val="3"/>
              </w:numPr>
              <w:spacing w:before="120" w:beforeAutospacing="0" w:after="0" w:afterAutospacing="0"/>
            </w:pPr>
          </w:p>
        </w:tc>
        <w:tc>
          <w:tcPr>
            <w:tcW w:w="5953" w:type="dxa"/>
          </w:tcPr>
          <w:p w:rsidR="009444CC" w:rsidRPr="00A470FC" w:rsidRDefault="009444CC" w:rsidP="00B42997">
            <w:pPr>
              <w:shd w:val="clear" w:color="auto" w:fill="FFFFFF"/>
              <w:spacing w:before="120"/>
              <w:jc w:val="both"/>
              <w:rPr>
                <w:rFonts w:ascii="Times New Roman" w:hAnsi="Times New Roman" w:cs="Times New Roman"/>
                <w:sz w:val="24"/>
                <w:szCs w:val="24"/>
              </w:rPr>
            </w:pPr>
            <w:r>
              <w:rPr>
                <w:rFonts w:ascii="Times New Roman" w:hAnsi="Times New Roman" w:cs="Times New Roman"/>
                <w:sz w:val="24"/>
                <w:szCs w:val="24"/>
              </w:rPr>
              <w:t>Đề nghị cho biết có thể tham khảo tài liệu hướng dẫn đăng ký FATCA ở đâu?</w:t>
            </w:r>
          </w:p>
        </w:tc>
        <w:tc>
          <w:tcPr>
            <w:tcW w:w="6520" w:type="dxa"/>
          </w:tcPr>
          <w:p w:rsidR="009444CC" w:rsidRDefault="009444CC" w:rsidP="00B42997">
            <w:pPr>
              <w:spacing w:before="120"/>
              <w:jc w:val="both"/>
              <w:rPr>
                <w:rFonts w:ascii="Times New Roman" w:hAnsi="Times New Roman" w:cs="Times New Roman"/>
                <w:sz w:val="24"/>
                <w:szCs w:val="24"/>
              </w:rPr>
            </w:pPr>
            <w:r>
              <w:rPr>
                <w:rFonts w:ascii="Times New Roman" w:hAnsi="Times New Roman" w:cs="Times New Roman"/>
                <w:sz w:val="24"/>
                <w:szCs w:val="24"/>
              </w:rPr>
              <w:t>Đề nghị xem bản cập nhật th</w:t>
            </w:r>
            <w:r w:rsidR="006431EF">
              <w:rPr>
                <w:rFonts w:ascii="Times New Roman" w:hAnsi="Times New Roman" w:cs="Times New Roman"/>
                <w:sz w:val="24"/>
                <w:szCs w:val="24"/>
              </w:rPr>
              <w:t>á</w:t>
            </w:r>
            <w:r>
              <w:rPr>
                <w:rFonts w:ascii="Times New Roman" w:hAnsi="Times New Roman" w:cs="Times New Roman"/>
                <w:sz w:val="24"/>
                <w:szCs w:val="24"/>
              </w:rPr>
              <w:t xml:space="preserve">ng 7/2021 tại dường link </w:t>
            </w:r>
            <w:hyperlink r:id="rId6" w:history="1">
              <w:r w:rsidRPr="00966B3B">
                <w:rPr>
                  <w:rStyle w:val="Hyperlink"/>
                  <w:rFonts w:ascii="Times New Roman" w:hAnsi="Times New Roman" w:cs="Times New Roman"/>
                  <w:sz w:val="24"/>
                  <w:szCs w:val="24"/>
                </w:rPr>
                <w:t>https://www.irs.gov/pub/irs-pdf/p5118.pdf</w:t>
              </w:r>
            </w:hyperlink>
          </w:p>
          <w:p w:rsidR="009444CC" w:rsidRPr="00A470FC" w:rsidRDefault="009444CC" w:rsidP="00B42997">
            <w:pPr>
              <w:spacing w:before="120"/>
              <w:jc w:val="both"/>
              <w:rPr>
                <w:rFonts w:ascii="Times New Roman" w:hAnsi="Times New Roman" w:cs="Times New Roman"/>
                <w:sz w:val="24"/>
                <w:szCs w:val="24"/>
              </w:rPr>
            </w:pPr>
          </w:p>
        </w:tc>
      </w:tr>
      <w:tr w:rsidR="009444CC" w:rsidRPr="00A470FC" w:rsidTr="009444CC">
        <w:tc>
          <w:tcPr>
            <w:tcW w:w="709" w:type="dxa"/>
          </w:tcPr>
          <w:p w:rsidR="009444CC" w:rsidRPr="00A470FC" w:rsidRDefault="009444CC" w:rsidP="00BD71EE">
            <w:pPr>
              <w:pStyle w:val="ListParagraph"/>
              <w:numPr>
                <w:ilvl w:val="0"/>
                <w:numId w:val="3"/>
              </w:numPr>
              <w:spacing w:before="120" w:beforeAutospacing="0" w:after="0" w:afterAutospacing="0"/>
            </w:pPr>
          </w:p>
        </w:tc>
        <w:tc>
          <w:tcPr>
            <w:tcW w:w="5953" w:type="dxa"/>
          </w:tcPr>
          <w:p w:rsidR="009444CC" w:rsidRDefault="009444CC" w:rsidP="00337256">
            <w:pPr>
              <w:shd w:val="clear" w:color="auto" w:fill="FFFFFF"/>
              <w:spacing w:before="120"/>
              <w:jc w:val="both"/>
              <w:rPr>
                <w:rFonts w:ascii="Times New Roman" w:hAnsi="Times New Roman" w:cs="Times New Roman"/>
                <w:sz w:val="24"/>
                <w:szCs w:val="24"/>
              </w:rPr>
            </w:pPr>
            <w:r>
              <w:rPr>
                <w:rFonts w:ascii="Times New Roman" w:hAnsi="Times New Roman" w:cs="Times New Roman"/>
                <w:sz w:val="24"/>
                <w:szCs w:val="24"/>
              </w:rPr>
              <w:t xml:space="preserve">TCTC sẽ bị ảnh hưởng như thế nào nếu không nộp chứng nhận </w:t>
            </w:r>
            <w:r w:rsidR="00337256">
              <w:rPr>
                <w:rFonts w:ascii="Times New Roman" w:hAnsi="Times New Roman" w:cs="Times New Roman"/>
                <w:sz w:val="24"/>
                <w:szCs w:val="24"/>
              </w:rPr>
              <w:t>FATCA (FATCA Certifcication)</w:t>
            </w:r>
            <w:r>
              <w:rPr>
                <w:rFonts w:ascii="Times New Roman" w:hAnsi="Times New Roman" w:cs="Times New Roman"/>
                <w:sz w:val="24"/>
                <w:szCs w:val="24"/>
              </w:rPr>
              <w:t xml:space="preserve"> đúng hạn</w:t>
            </w:r>
            <w:r w:rsidR="00337256">
              <w:rPr>
                <w:rFonts w:ascii="Times New Roman" w:hAnsi="Times New Roman" w:cs="Times New Roman"/>
                <w:sz w:val="24"/>
                <w:szCs w:val="24"/>
              </w:rPr>
              <w:t xml:space="preserve">? </w:t>
            </w:r>
          </w:p>
        </w:tc>
        <w:tc>
          <w:tcPr>
            <w:tcW w:w="6520" w:type="dxa"/>
          </w:tcPr>
          <w:p w:rsidR="009444CC" w:rsidRPr="00927C9F" w:rsidRDefault="009444CC" w:rsidP="00337256">
            <w:pPr>
              <w:shd w:val="clear" w:color="auto" w:fill="FFFFFF"/>
              <w:spacing w:before="120"/>
              <w:jc w:val="both"/>
              <w:rPr>
                <w:rFonts w:ascii="Times New Roman" w:hAnsi="Times New Roman" w:cs="Times New Roman"/>
                <w:sz w:val="24"/>
                <w:szCs w:val="24"/>
              </w:rPr>
            </w:pPr>
            <w:r w:rsidRPr="00927C9F">
              <w:rPr>
                <w:rFonts w:ascii="Times New Roman" w:hAnsi="Times New Roman" w:cs="Times New Roman"/>
                <w:sz w:val="24"/>
                <w:szCs w:val="24"/>
              </w:rPr>
              <w:t>Nếu một tổ chức được yêu cầu chứng nhận không nộp bản chứng nhận đúng hạn, tổ chức đó sẽ không tuân thủ nghĩa vụ FATCA. Hậu quả của việc không tuân thủ</w:t>
            </w:r>
            <w:r>
              <w:rPr>
                <w:rFonts w:ascii="Times New Roman" w:hAnsi="Times New Roman" w:cs="Times New Roman"/>
                <w:sz w:val="24"/>
                <w:szCs w:val="24"/>
              </w:rPr>
              <w:t xml:space="preserve"> có thể</w:t>
            </w:r>
            <w:r w:rsidRPr="00927C9F">
              <w:rPr>
                <w:rFonts w:ascii="Times New Roman" w:hAnsi="Times New Roman" w:cs="Times New Roman"/>
                <w:sz w:val="24"/>
                <w:szCs w:val="24"/>
              </w:rPr>
              <w:t xml:space="preserve"> bao gồm việc </w:t>
            </w:r>
            <w:r>
              <w:rPr>
                <w:rFonts w:ascii="Times New Roman" w:hAnsi="Times New Roman" w:cs="Times New Roman"/>
                <w:sz w:val="24"/>
                <w:szCs w:val="24"/>
              </w:rPr>
              <w:t>hủy bỏ</w:t>
            </w:r>
            <w:r w:rsidRPr="00927C9F">
              <w:rPr>
                <w:rFonts w:ascii="Times New Roman" w:hAnsi="Times New Roman" w:cs="Times New Roman"/>
                <w:sz w:val="24"/>
                <w:szCs w:val="24"/>
              </w:rPr>
              <w:t xml:space="preserve"> trạng thái FATCA của tổ chức đó và cuối cùng, Mã số nhận dạng trung gian toàn cầu của tổ chức sẽ bị loại ra khỏi danh sách </w:t>
            </w:r>
            <w:r w:rsidR="00337256">
              <w:rPr>
                <w:rFonts w:ascii="Times New Roman" w:hAnsi="Times New Roman" w:cs="Times New Roman"/>
                <w:sz w:val="24"/>
                <w:szCs w:val="24"/>
              </w:rPr>
              <w:t>TCTC nước ngoài</w:t>
            </w:r>
            <w:r w:rsidRPr="00927C9F">
              <w:rPr>
                <w:rFonts w:ascii="Times New Roman" w:hAnsi="Times New Roman" w:cs="Times New Roman"/>
                <w:sz w:val="24"/>
                <w:szCs w:val="24"/>
              </w:rPr>
              <w:t>.</w:t>
            </w:r>
          </w:p>
        </w:tc>
      </w:tr>
      <w:tr w:rsidR="009444CC" w:rsidRPr="00A470FC" w:rsidTr="009444CC">
        <w:tc>
          <w:tcPr>
            <w:tcW w:w="709" w:type="dxa"/>
          </w:tcPr>
          <w:p w:rsidR="009444CC" w:rsidRPr="00A470FC" w:rsidRDefault="009444CC" w:rsidP="00BD71EE">
            <w:pPr>
              <w:pStyle w:val="ListParagraph"/>
              <w:numPr>
                <w:ilvl w:val="0"/>
                <w:numId w:val="3"/>
              </w:numPr>
              <w:spacing w:before="120" w:beforeAutospacing="0" w:after="0" w:afterAutospacing="0"/>
            </w:pPr>
          </w:p>
        </w:tc>
        <w:tc>
          <w:tcPr>
            <w:tcW w:w="5953" w:type="dxa"/>
          </w:tcPr>
          <w:p w:rsidR="009444CC" w:rsidRPr="00A470FC" w:rsidRDefault="009444CC" w:rsidP="00B42997">
            <w:pPr>
              <w:shd w:val="clear" w:color="auto" w:fill="FFFFFF"/>
              <w:spacing w:before="120"/>
              <w:jc w:val="both"/>
              <w:rPr>
                <w:rFonts w:ascii="Times New Roman" w:hAnsi="Times New Roman" w:cs="Times New Roman"/>
                <w:sz w:val="24"/>
                <w:szCs w:val="24"/>
              </w:rPr>
            </w:pPr>
            <w:r>
              <w:rPr>
                <w:rFonts w:ascii="Times New Roman" w:hAnsi="Times New Roman" w:cs="Times New Roman"/>
                <w:sz w:val="24"/>
                <w:szCs w:val="24"/>
              </w:rPr>
              <w:t xml:space="preserve">IRS đã có thông báo </w:t>
            </w:r>
            <w:r w:rsidRPr="008F65A9">
              <w:rPr>
                <w:rFonts w:ascii="Times New Roman" w:hAnsi="Times New Roman" w:cs="Times New Roman"/>
                <w:sz w:val="24"/>
                <w:szCs w:val="24"/>
              </w:rPr>
              <w:t>bắt buộc cung cấp TIN của người Hoa Kỳ xác định kể từ</w:t>
            </w:r>
            <w:r w:rsidR="002A6339">
              <w:rPr>
                <w:rFonts w:ascii="Times New Roman" w:hAnsi="Times New Roman" w:cs="Times New Roman"/>
                <w:sz w:val="24"/>
                <w:szCs w:val="24"/>
              </w:rPr>
              <w:t xml:space="preserve"> năm tài khóa 2020, đồ</w:t>
            </w:r>
            <w:r w:rsidRPr="008F65A9">
              <w:rPr>
                <w:rFonts w:ascii="Times New Roman" w:hAnsi="Times New Roman" w:cs="Times New Roman"/>
                <w:sz w:val="24"/>
                <w:szCs w:val="24"/>
              </w:rPr>
              <w:t xml:space="preserve">ng thời </w:t>
            </w:r>
            <w:r>
              <w:rPr>
                <w:rFonts w:ascii="Times New Roman" w:hAnsi="Times New Roman" w:cs="Times New Roman"/>
                <w:sz w:val="24"/>
                <w:szCs w:val="24"/>
              </w:rPr>
              <w:t xml:space="preserve">ban hành hướng dẫn </w:t>
            </w:r>
            <w:r w:rsidRPr="008F65A9">
              <w:rPr>
                <w:rFonts w:ascii="Times New Roman" w:hAnsi="Times New Roman" w:cs="Times New Roman"/>
                <w:sz w:val="24"/>
                <w:szCs w:val="24"/>
              </w:rPr>
              <w:t>điền các mã số quy ước đối với các TIN không thể thu thập được.</w:t>
            </w:r>
            <w:r>
              <w:rPr>
                <w:rFonts w:ascii="Times New Roman" w:hAnsi="Times New Roman" w:cs="Times New Roman"/>
                <w:sz w:val="24"/>
                <w:szCs w:val="24"/>
              </w:rPr>
              <w:t xml:space="preserve"> TCTC cần làm gì sau khi được thông báo lỗi đối với các trường thông tin TIN được điền các mã số quy ước (222222222, …, 777777777).</w:t>
            </w:r>
          </w:p>
        </w:tc>
        <w:tc>
          <w:tcPr>
            <w:tcW w:w="6520" w:type="dxa"/>
          </w:tcPr>
          <w:p w:rsidR="009444CC" w:rsidRPr="003F28C4" w:rsidRDefault="009444CC" w:rsidP="00B42997">
            <w:pPr>
              <w:shd w:val="clear" w:color="auto" w:fill="FFFFFF"/>
              <w:spacing w:before="120"/>
              <w:jc w:val="both"/>
              <w:rPr>
                <w:rFonts w:ascii="Times New Roman" w:hAnsi="Times New Roman" w:cs="Times New Roman"/>
                <w:sz w:val="24"/>
                <w:szCs w:val="24"/>
              </w:rPr>
            </w:pPr>
            <w:r w:rsidRPr="003F28C4">
              <w:rPr>
                <w:rFonts w:ascii="Times New Roman" w:hAnsi="Times New Roman" w:cs="Times New Roman"/>
                <w:sz w:val="24"/>
                <w:szCs w:val="24"/>
              </w:rPr>
              <w:t xml:space="preserve">- Theo hướng dẫn của IRS, kể từ ngày nhận được thông báo lỗi TIN, phía đối tác sẽ có 120 ngày để sửa lỗi theo quy định tại Đoạn 4.2.2 “Lỗi nhỏ hoặc lỗi hành chính khác” của Thỏa thuận Người có thẩm quyền (CAA). Theo Hiệp định IGA và CAA, nếu TIN không được cung cấp trong vòng 120 ngày, phía Hoa Kỳ sẽ đánh giá dữ liệu nhận được; xem xét các trường hợp thực tế để xác định có sự không tuân thủ đáng kể hay không, như: nguyên nhân vì sao không thể thu thập được TIN; các TCTC có quy trình phù hợp để thu thập TIN hay không; những nỗ lực của các TCTC để thu thập TIN. </w:t>
            </w:r>
          </w:p>
          <w:p w:rsidR="009444CC" w:rsidRPr="00A470FC" w:rsidRDefault="009444CC" w:rsidP="00B42997">
            <w:pPr>
              <w:shd w:val="clear" w:color="auto" w:fill="FFFFFF"/>
              <w:spacing w:before="120"/>
              <w:jc w:val="both"/>
              <w:rPr>
                <w:rFonts w:ascii="Times New Roman" w:hAnsi="Times New Roman" w:cs="Times New Roman"/>
                <w:sz w:val="24"/>
                <w:szCs w:val="24"/>
              </w:rPr>
            </w:pPr>
            <w:r w:rsidRPr="003F28C4">
              <w:rPr>
                <w:rFonts w:ascii="Times New Roman" w:hAnsi="Times New Roman" w:cs="Times New Roman"/>
                <w:sz w:val="24"/>
                <w:szCs w:val="24"/>
              </w:rPr>
              <w:t xml:space="preserve">- Nếu một TCTC được xác định là không tuân thủ đáng kể, phía Hoa Kỳ sẽ thông báo và làm việc với đối tác để xem xét thêm về vấn đề này trong vòng 18 tháng tiếp theo nhằm khắc phục sự không tuân thủ. TCTC đó sẽ có ít nhất 18 tháng kể từ ngày thông báo không tuân thủ để khắc phục lỗi liên quan đến TIN trước khi </w:t>
            </w:r>
            <w:r w:rsidRPr="003F28C4">
              <w:rPr>
                <w:rFonts w:ascii="Times New Roman" w:hAnsi="Times New Roman" w:cs="Times New Roman"/>
                <w:sz w:val="24"/>
                <w:szCs w:val="24"/>
              </w:rPr>
              <w:lastRenderedPageBreak/>
              <w:t>IRS thực hiện các hành động mạnh hơn như loại Mã số nhận dạng trung gian toàn cầu (GIIN) của TCTC đó ra khỏi danh sách TCTC nước ngoài của IRS. Một TCTC không có GIIN hợp lệ sẽ có nguy cơ bị khấu trừ trên khoản thanh toán có nguồn gốc Hoa Kỳ</w:t>
            </w:r>
            <w:r>
              <w:rPr>
                <w:rFonts w:ascii="Times New Roman" w:hAnsi="Times New Roman" w:cs="Times New Roman"/>
                <w:sz w:val="24"/>
                <w:szCs w:val="24"/>
              </w:rPr>
              <w:t>.</w:t>
            </w:r>
          </w:p>
        </w:tc>
      </w:tr>
    </w:tbl>
    <w:p w:rsidR="00757CCF" w:rsidRDefault="00757CCF" w:rsidP="00AE2927">
      <w:pPr>
        <w:tabs>
          <w:tab w:val="left" w:pos="6379"/>
        </w:tabs>
        <w:rPr>
          <w:rFonts w:ascii="Times New Roman" w:hAnsi="Times New Roman" w:cs="Times New Roman"/>
          <w:b/>
          <w:sz w:val="28"/>
          <w:szCs w:val="28"/>
        </w:rPr>
      </w:pPr>
    </w:p>
    <w:sectPr w:rsidR="00757CCF" w:rsidSect="00E52991">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0764"/>
    <w:multiLevelType w:val="hybridMultilevel"/>
    <w:tmpl w:val="81DEA2AC"/>
    <w:lvl w:ilvl="0" w:tplc="4260F0FC">
      <w:start w:val="4"/>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nsid w:val="396233DE"/>
    <w:multiLevelType w:val="hybridMultilevel"/>
    <w:tmpl w:val="F710CD86"/>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nsid w:val="3F846D3D"/>
    <w:multiLevelType w:val="hybridMultilevel"/>
    <w:tmpl w:val="EF8092D8"/>
    <w:lvl w:ilvl="0" w:tplc="28F46C02">
      <w:start w:val="2"/>
      <w:numFmt w:val="bullet"/>
      <w:lvlText w:val="-"/>
      <w:lvlJc w:val="left"/>
      <w:pPr>
        <w:ind w:left="417" w:hanging="360"/>
      </w:pPr>
      <w:rPr>
        <w:rFonts w:ascii="Calibri" w:eastAsiaTheme="minorHAnsi" w:hAnsi="Calibri" w:cstheme="minorBid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47BA641F"/>
    <w:multiLevelType w:val="hybridMultilevel"/>
    <w:tmpl w:val="85FA32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AA52B4A"/>
    <w:multiLevelType w:val="hybridMultilevel"/>
    <w:tmpl w:val="FBC8B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800811"/>
    <w:multiLevelType w:val="multilevel"/>
    <w:tmpl w:val="25F8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2010AC"/>
    <w:multiLevelType w:val="hybridMultilevel"/>
    <w:tmpl w:val="98B24D9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nsid w:val="6DA47CA5"/>
    <w:multiLevelType w:val="hybridMultilevel"/>
    <w:tmpl w:val="1DE416FA"/>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6A"/>
    <w:rsid w:val="000040DF"/>
    <w:rsid w:val="00015172"/>
    <w:rsid w:val="00024243"/>
    <w:rsid w:val="00033473"/>
    <w:rsid w:val="000372DF"/>
    <w:rsid w:val="000538AC"/>
    <w:rsid w:val="00060B32"/>
    <w:rsid w:val="000655DC"/>
    <w:rsid w:val="00070AAB"/>
    <w:rsid w:val="000A1616"/>
    <w:rsid w:val="000A66BC"/>
    <w:rsid w:val="000B52F2"/>
    <w:rsid w:val="000D6B11"/>
    <w:rsid w:val="000F2ECE"/>
    <w:rsid w:val="000F56C7"/>
    <w:rsid w:val="0010032D"/>
    <w:rsid w:val="00106BE5"/>
    <w:rsid w:val="001136C6"/>
    <w:rsid w:val="00116A03"/>
    <w:rsid w:val="00126063"/>
    <w:rsid w:val="00127690"/>
    <w:rsid w:val="00130060"/>
    <w:rsid w:val="001473DC"/>
    <w:rsid w:val="00152ACC"/>
    <w:rsid w:val="00160653"/>
    <w:rsid w:val="0016491C"/>
    <w:rsid w:val="00165DC6"/>
    <w:rsid w:val="00191B0D"/>
    <w:rsid w:val="001950CF"/>
    <w:rsid w:val="001B6817"/>
    <w:rsid w:val="001D6CCA"/>
    <w:rsid w:val="001E6852"/>
    <w:rsid w:val="0020045C"/>
    <w:rsid w:val="00206470"/>
    <w:rsid w:val="00223150"/>
    <w:rsid w:val="0022339F"/>
    <w:rsid w:val="00224923"/>
    <w:rsid w:val="00225D12"/>
    <w:rsid w:val="00227AF7"/>
    <w:rsid w:val="002354DB"/>
    <w:rsid w:val="002367B7"/>
    <w:rsid w:val="00247BB4"/>
    <w:rsid w:val="00262464"/>
    <w:rsid w:val="00282C5D"/>
    <w:rsid w:val="002872E1"/>
    <w:rsid w:val="0029336F"/>
    <w:rsid w:val="002A43BA"/>
    <w:rsid w:val="002A6339"/>
    <w:rsid w:val="002C2698"/>
    <w:rsid w:val="002E5BD9"/>
    <w:rsid w:val="002F3567"/>
    <w:rsid w:val="00313AF4"/>
    <w:rsid w:val="00323E43"/>
    <w:rsid w:val="00333238"/>
    <w:rsid w:val="00337256"/>
    <w:rsid w:val="00346133"/>
    <w:rsid w:val="00353AC4"/>
    <w:rsid w:val="0038443F"/>
    <w:rsid w:val="0039000B"/>
    <w:rsid w:val="003A0B29"/>
    <w:rsid w:val="003A4AA5"/>
    <w:rsid w:val="003B37A9"/>
    <w:rsid w:val="003D4741"/>
    <w:rsid w:val="003D5C35"/>
    <w:rsid w:val="003F28C4"/>
    <w:rsid w:val="00433B3B"/>
    <w:rsid w:val="00455597"/>
    <w:rsid w:val="00456763"/>
    <w:rsid w:val="0046217E"/>
    <w:rsid w:val="0046435D"/>
    <w:rsid w:val="0048042E"/>
    <w:rsid w:val="00487A71"/>
    <w:rsid w:val="00491483"/>
    <w:rsid w:val="00492250"/>
    <w:rsid w:val="004A12B2"/>
    <w:rsid w:val="004B3A73"/>
    <w:rsid w:val="004C6D73"/>
    <w:rsid w:val="004F200C"/>
    <w:rsid w:val="004F2F4E"/>
    <w:rsid w:val="0050005D"/>
    <w:rsid w:val="0054069B"/>
    <w:rsid w:val="00573D71"/>
    <w:rsid w:val="0057542C"/>
    <w:rsid w:val="00576B5F"/>
    <w:rsid w:val="00585B38"/>
    <w:rsid w:val="005A0F3E"/>
    <w:rsid w:val="005D4FD3"/>
    <w:rsid w:val="005E48C6"/>
    <w:rsid w:val="006002A7"/>
    <w:rsid w:val="00600DFA"/>
    <w:rsid w:val="0061775E"/>
    <w:rsid w:val="006271BC"/>
    <w:rsid w:val="006431EF"/>
    <w:rsid w:val="00683EB7"/>
    <w:rsid w:val="0069343E"/>
    <w:rsid w:val="00694E79"/>
    <w:rsid w:val="006A1834"/>
    <w:rsid w:val="006A3865"/>
    <w:rsid w:val="006A7092"/>
    <w:rsid w:val="006C25E5"/>
    <w:rsid w:val="006C3783"/>
    <w:rsid w:val="006C3A3D"/>
    <w:rsid w:val="00702641"/>
    <w:rsid w:val="00707822"/>
    <w:rsid w:val="00713B66"/>
    <w:rsid w:val="007154A4"/>
    <w:rsid w:val="007365E0"/>
    <w:rsid w:val="007459ED"/>
    <w:rsid w:val="00745EF0"/>
    <w:rsid w:val="00757CCF"/>
    <w:rsid w:val="00763175"/>
    <w:rsid w:val="00786B93"/>
    <w:rsid w:val="00797B3A"/>
    <w:rsid w:val="007B0E3F"/>
    <w:rsid w:val="007B7309"/>
    <w:rsid w:val="007C27B6"/>
    <w:rsid w:val="007E1D10"/>
    <w:rsid w:val="007E7111"/>
    <w:rsid w:val="007F0D0D"/>
    <w:rsid w:val="00820927"/>
    <w:rsid w:val="008610E2"/>
    <w:rsid w:val="008B030F"/>
    <w:rsid w:val="008B267C"/>
    <w:rsid w:val="008B6164"/>
    <w:rsid w:val="008E7AF5"/>
    <w:rsid w:val="008F65A9"/>
    <w:rsid w:val="008F6708"/>
    <w:rsid w:val="00916B7A"/>
    <w:rsid w:val="00925BC7"/>
    <w:rsid w:val="00927C9F"/>
    <w:rsid w:val="00935238"/>
    <w:rsid w:val="00937691"/>
    <w:rsid w:val="009376BD"/>
    <w:rsid w:val="00943B97"/>
    <w:rsid w:val="009444CC"/>
    <w:rsid w:val="0097772D"/>
    <w:rsid w:val="00981AAC"/>
    <w:rsid w:val="00981E16"/>
    <w:rsid w:val="0099105F"/>
    <w:rsid w:val="009A5701"/>
    <w:rsid w:val="009C4245"/>
    <w:rsid w:val="009E6656"/>
    <w:rsid w:val="009F216F"/>
    <w:rsid w:val="00A12428"/>
    <w:rsid w:val="00A1779A"/>
    <w:rsid w:val="00A22924"/>
    <w:rsid w:val="00A22F8B"/>
    <w:rsid w:val="00A30482"/>
    <w:rsid w:val="00A355E4"/>
    <w:rsid w:val="00A45D12"/>
    <w:rsid w:val="00A470FC"/>
    <w:rsid w:val="00A617E8"/>
    <w:rsid w:val="00A65A10"/>
    <w:rsid w:val="00A8213D"/>
    <w:rsid w:val="00A94781"/>
    <w:rsid w:val="00AB1E97"/>
    <w:rsid w:val="00AE2089"/>
    <w:rsid w:val="00AE2927"/>
    <w:rsid w:val="00B12C65"/>
    <w:rsid w:val="00B15CA9"/>
    <w:rsid w:val="00B2396A"/>
    <w:rsid w:val="00B33B8F"/>
    <w:rsid w:val="00B42997"/>
    <w:rsid w:val="00B432BB"/>
    <w:rsid w:val="00B72C4B"/>
    <w:rsid w:val="00B97DE1"/>
    <w:rsid w:val="00BA2117"/>
    <w:rsid w:val="00BA218D"/>
    <w:rsid w:val="00BB41D4"/>
    <w:rsid w:val="00BD3FFE"/>
    <w:rsid w:val="00BF53BC"/>
    <w:rsid w:val="00BF6E5E"/>
    <w:rsid w:val="00BF7411"/>
    <w:rsid w:val="00C0477B"/>
    <w:rsid w:val="00C162C5"/>
    <w:rsid w:val="00C1759E"/>
    <w:rsid w:val="00C36168"/>
    <w:rsid w:val="00C41433"/>
    <w:rsid w:val="00C47867"/>
    <w:rsid w:val="00C51FE6"/>
    <w:rsid w:val="00C53657"/>
    <w:rsid w:val="00C662C5"/>
    <w:rsid w:val="00C66E25"/>
    <w:rsid w:val="00C77AFB"/>
    <w:rsid w:val="00C808DC"/>
    <w:rsid w:val="00C95009"/>
    <w:rsid w:val="00CB4CD3"/>
    <w:rsid w:val="00CC5952"/>
    <w:rsid w:val="00CC6EA5"/>
    <w:rsid w:val="00CD41F1"/>
    <w:rsid w:val="00CD60BC"/>
    <w:rsid w:val="00CD6133"/>
    <w:rsid w:val="00D054B1"/>
    <w:rsid w:val="00D154AD"/>
    <w:rsid w:val="00D736AE"/>
    <w:rsid w:val="00D77636"/>
    <w:rsid w:val="00D84126"/>
    <w:rsid w:val="00D93761"/>
    <w:rsid w:val="00DB7750"/>
    <w:rsid w:val="00DB77F9"/>
    <w:rsid w:val="00DD0CC6"/>
    <w:rsid w:val="00DD17BC"/>
    <w:rsid w:val="00DD27DC"/>
    <w:rsid w:val="00DD53D5"/>
    <w:rsid w:val="00DD622C"/>
    <w:rsid w:val="00DF792E"/>
    <w:rsid w:val="00E03CAD"/>
    <w:rsid w:val="00E04EC6"/>
    <w:rsid w:val="00E21786"/>
    <w:rsid w:val="00E27066"/>
    <w:rsid w:val="00E27242"/>
    <w:rsid w:val="00E40347"/>
    <w:rsid w:val="00E43C47"/>
    <w:rsid w:val="00E52991"/>
    <w:rsid w:val="00E6685D"/>
    <w:rsid w:val="00E8116A"/>
    <w:rsid w:val="00E93909"/>
    <w:rsid w:val="00E97839"/>
    <w:rsid w:val="00EB1BD2"/>
    <w:rsid w:val="00EB6349"/>
    <w:rsid w:val="00EC4542"/>
    <w:rsid w:val="00EC64BC"/>
    <w:rsid w:val="00ED7229"/>
    <w:rsid w:val="00F158BA"/>
    <w:rsid w:val="00F20B92"/>
    <w:rsid w:val="00F23A3A"/>
    <w:rsid w:val="00F268D6"/>
    <w:rsid w:val="00F271F2"/>
    <w:rsid w:val="00F34ECF"/>
    <w:rsid w:val="00F35153"/>
    <w:rsid w:val="00F45A9C"/>
    <w:rsid w:val="00F713E9"/>
    <w:rsid w:val="00FA1EA0"/>
    <w:rsid w:val="00FB3560"/>
    <w:rsid w:val="00FC422D"/>
    <w:rsid w:val="00FC49D0"/>
    <w:rsid w:val="00FC61FB"/>
    <w:rsid w:val="00FD42F1"/>
    <w:rsid w:val="00FE1184"/>
    <w:rsid w:val="00FF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355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B68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A1EA0"/>
    <w:rPr>
      <w:rFonts w:ascii="Courier New" w:eastAsia="Times New Roman" w:hAnsi="Courier New" w:cs="Courier New"/>
      <w:sz w:val="20"/>
      <w:szCs w:val="20"/>
    </w:rPr>
  </w:style>
  <w:style w:type="paragraph" w:styleId="ListParagraph">
    <w:name w:val="List Paragraph"/>
    <w:basedOn w:val="Normal"/>
    <w:uiPriority w:val="34"/>
    <w:qFormat/>
    <w:rsid w:val="006C3A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38AC"/>
    <w:rPr>
      <w:color w:val="0000FF"/>
      <w:u w:val="single"/>
    </w:rPr>
  </w:style>
  <w:style w:type="paragraph" w:styleId="NormalWeb">
    <w:name w:val="Normal (Web)"/>
    <w:basedOn w:val="Normal"/>
    <w:uiPriority w:val="99"/>
    <w:semiHidden/>
    <w:unhideWhenUsed/>
    <w:rsid w:val="000538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75E"/>
    <w:rPr>
      <w:b/>
      <w:bCs/>
    </w:rPr>
  </w:style>
  <w:style w:type="character" w:customStyle="1" w:styleId="Heading3Char">
    <w:name w:val="Heading 3 Char"/>
    <w:basedOn w:val="DefaultParagraphFont"/>
    <w:link w:val="Heading3"/>
    <w:uiPriority w:val="9"/>
    <w:rsid w:val="001B6817"/>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3F28C4"/>
    <w:rPr>
      <w:sz w:val="16"/>
      <w:szCs w:val="16"/>
    </w:rPr>
  </w:style>
  <w:style w:type="paragraph" w:styleId="CommentText">
    <w:name w:val="annotation text"/>
    <w:basedOn w:val="Normal"/>
    <w:link w:val="CommentTextChar"/>
    <w:uiPriority w:val="99"/>
    <w:semiHidden/>
    <w:unhideWhenUsed/>
    <w:rsid w:val="003F28C4"/>
    <w:pPr>
      <w:spacing w:line="240" w:lineRule="auto"/>
    </w:pPr>
    <w:rPr>
      <w:sz w:val="20"/>
      <w:szCs w:val="20"/>
    </w:rPr>
  </w:style>
  <w:style w:type="character" w:customStyle="1" w:styleId="CommentTextChar">
    <w:name w:val="Comment Text Char"/>
    <w:basedOn w:val="DefaultParagraphFont"/>
    <w:link w:val="CommentText"/>
    <w:uiPriority w:val="99"/>
    <w:semiHidden/>
    <w:rsid w:val="003F28C4"/>
    <w:rPr>
      <w:sz w:val="20"/>
      <w:szCs w:val="20"/>
    </w:rPr>
  </w:style>
  <w:style w:type="paragraph" w:styleId="BalloonText">
    <w:name w:val="Balloon Text"/>
    <w:basedOn w:val="Normal"/>
    <w:link w:val="BalloonTextChar"/>
    <w:uiPriority w:val="99"/>
    <w:semiHidden/>
    <w:unhideWhenUsed/>
    <w:rsid w:val="003F2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C4"/>
    <w:rPr>
      <w:rFonts w:ascii="Tahoma" w:hAnsi="Tahoma" w:cs="Tahoma"/>
      <w:sz w:val="16"/>
      <w:szCs w:val="16"/>
    </w:rPr>
  </w:style>
  <w:style w:type="character" w:customStyle="1" w:styleId="currenthithighlight">
    <w:name w:val="currenthithighlight"/>
    <w:basedOn w:val="DefaultParagraphFont"/>
    <w:rsid w:val="00F35153"/>
  </w:style>
  <w:style w:type="character" w:customStyle="1" w:styleId="Heading2Char">
    <w:name w:val="Heading 2 Char"/>
    <w:basedOn w:val="DefaultParagraphFont"/>
    <w:link w:val="Heading2"/>
    <w:uiPriority w:val="9"/>
    <w:rsid w:val="00A355E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355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B68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A1EA0"/>
    <w:rPr>
      <w:rFonts w:ascii="Courier New" w:eastAsia="Times New Roman" w:hAnsi="Courier New" w:cs="Courier New"/>
      <w:sz w:val="20"/>
      <w:szCs w:val="20"/>
    </w:rPr>
  </w:style>
  <w:style w:type="paragraph" w:styleId="ListParagraph">
    <w:name w:val="List Paragraph"/>
    <w:basedOn w:val="Normal"/>
    <w:uiPriority w:val="34"/>
    <w:qFormat/>
    <w:rsid w:val="006C3A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38AC"/>
    <w:rPr>
      <w:color w:val="0000FF"/>
      <w:u w:val="single"/>
    </w:rPr>
  </w:style>
  <w:style w:type="paragraph" w:styleId="NormalWeb">
    <w:name w:val="Normal (Web)"/>
    <w:basedOn w:val="Normal"/>
    <w:uiPriority w:val="99"/>
    <w:semiHidden/>
    <w:unhideWhenUsed/>
    <w:rsid w:val="000538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75E"/>
    <w:rPr>
      <w:b/>
      <w:bCs/>
    </w:rPr>
  </w:style>
  <w:style w:type="character" w:customStyle="1" w:styleId="Heading3Char">
    <w:name w:val="Heading 3 Char"/>
    <w:basedOn w:val="DefaultParagraphFont"/>
    <w:link w:val="Heading3"/>
    <w:uiPriority w:val="9"/>
    <w:rsid w:val="001B6817"/>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3F28C4"/>
    <w:rPr>
      <w:sz w:val="16"/>
      <w:szCs w:val="16"/>
    </w:rPr>
  </w:style>
  <w:style w:type="paragraph" w:styleId="CommentText">
    <w:name w:val="annotation text"/>
    <w:basedOn w:val="Normal"/>
    <w:link w:val="CommentTextChar"/>
    <w:uiPriority w:val="99"/>
    <w:semiHidden/>
    <w:unhideWhenUsed/>
    <w:rsid w:val="003F28C4"/>
    <w:pPr>
      <w:spacing w:line="240" w:lineRule="auto"/>
    </w:pPr>
    <w:rPr>
      <w:sz w:val="20"/>
      <w:szCs w:val="20"/>
    </w:rPr>
  </w:style>
  <w:style w:type="character" w:customStyle="1" w:styleId="CommentTextChar">
    <w:name w:val="Comment Text Char"/>
    <w:basedOn w:val="DefaultParagraphFont"/>
    <w:link w:val="CommentText"/>
    <w:uiPriority w:val="99"/>
    <w:semiHidden/>
    <w:rsid w:val="003F28C4"/>
    <w:rPr>
      <w:sz w:val="20"/>
      <w:szCs w:val="20"/>
    </w:rPr>
  </w:style>
  <w:style w:type="paragraph" w:styleId="BalloonText">
    <w:name w:val="Balloon Text"/>
    <w:basedOn w:val="Normal"/>
    <w:link w:val="BalloonTextChar"/>
    <w:uiPriority w:val="99"/>
    <w:semiHidden/>
    <w:unhideWhenUsed/>
    <w:rsid w:val="003F2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C4"/>
    <w:rPr>
      <w:rFonts w:ascii="Tahoma" w:hAnsi="Tahoma" w:cs="Tahoma"/>
      <w:sz w:val="16"/>
      <w:szCs w:val="16"/>
    </w:rPr>
  </w:style>
  <w:style w:type="character" w:customStyle="1" w:styleId="currenthithighlight">
    <w:name w:val="currenthithighlight"/>
    <w:basedOn w:val="DefaultParagraphFont"/>
    <w:rsid w:val="00F35153"/>
  </w:style>
  <w:style w:type="character" w:customStyle="1" w:styleId="Heading2Char">
    <w:name w:val="Heading 2 Char"/>
    <w:basedOn w:val="DefaultParagraphFont"/>
    <w:link w:val="Heading2"/>
    <w:uiPriority w:val="9"/>
    <w:rsid w:val="00A355E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0287">
      <w:bodyDiv w:val="1"/>
      <w:marLeft w:val="0"/>
      <w:marRight w:val="0"/>
      <w:marTop w:val="0"/>
      <w:marBottom w:val="0"/>
      <w:divBdr>
        <w:top w:val="none" w:sz="0" w:space="0" w:color="auto"/>
        <w:left w:val="none" w:sz="0" w:space="0" w:color="auto"/>
        <w:bottom w:val="none" w:sz="0" w:space="0" w:color="auto"/>
        <w:right w:val="none" w:sz="0" w:space="0" w:color="auto"/>
      </w:divBdr>
    </w:div>
    <w:div w:id="278101684">
      <w:bodyDiv w:val="1"/>
      <w:marLeft w:val="0"/>
      <w:marRight w:val="0"/>
      <w:marTop w:val="0"/>
      <w:marBottom w:val="0"/>
      <w:divBdr>
        <w:top w:val="none" w:sz="0" w:space="0" w:color="auto"/>
        <w:left w:val="none" w:sz="0" w:space="0" w:color="auto"/>
        <w:bottom w:val="none" w:sz="0" w:space="0" w:color="auto"/>
        <w:right w:val="none" w:sz="0" w:space="0" w:color="auto"/>
      </w:divBdr>
      <w:divsChild>
        <w:div w:id="1641692063">
          <w:marLeft w:val="0"/>
          <w:marRight w:val="0"/>
          <w:marTop w:val="0"/>
          <w:marBottom w:val="0"/>
          <w:divBdr>
            <w:top w:val="none" w:sz="0" w:space="0" w:color="auto"/>
            <w:left w:val="none" w:sz="0" w:space="0" w:color="auto"/>
            <w:bottom w:val="none" w:sz="0" w:space="0" w:color="auto"/>
            <w:right w:val="none" w:sz="0" w:space="0" w:color="auto"/>
          </w:divBdr>
        </w:div>
        <w:div w:id="1665665375">
          <w:marLeft w:val="0"/>
          <w:marRight w:val="0"/>
          <w:marTop w:val="0"/>
          <w:marBottom w:val="0"/>
          <w:divBdr>
            <w:top w:val="none" w:sz="0" w:space="0" w:color="auto"/>
            <w:left w:val="none" w:sz="0" w:space="0" w:color="auto"/>
            <w:bottom w:val="none" w:sz="0" w:space="0" w:color="auto"/>
            <w:right w:val="none" w:sz="0" w:space="0" w:color="auto"/>
          </w:divBdr>
        </w:div>
      </w:divsChild>
    </w:div>
    <w:div w:id="433674701">
      <w:bodyDiv w:val="1"/>
      <w:marLeft w:val="0"/>
      <w:marRight w:val="0"/>
      <w:marTop w:val="0"/>
      <w:marBottom w:val="0"/>
      <w:divBdr>
        <w:top w:val="none" w:sz="0" w:space="0" w:color="auto"/>
        <w:left w:val="none" w:sz="0" w:space="0" w:color="auto"/>
        <w:bottom w:val="none" w:sz="0" w:space="0" w:color="auto"/>
        <w:right w:val="none" w:sz="0" w:space="0" w:color="auto"/>
      </w:divBdr>
    </w:div>
    <w:div w:id="495001363">
      <w:bodyDiv w:val="1"/>
      <w:marLeft w:val="0"/>
      <w:marRight w:val="0"/>
      <w:marTop w:val="0"/>
      <w:marBottom w:val="0"/>
      <w:divBdr>
        <w:top w:val="none" w:sz="0" w:space="0" w:color="auto"/>
        <w:left w:val="none" w:sz="0" w:space="0" w:color="auto"/>
        <w:bottom w:val="none" w:sz="0" w:space="0" w:color="auto"/>
        <w:right w:val="none" w:sz="0" w:space="0" w:color="auto"/>
      </w:divBdr>
    </w:div>
    <w:div w:id="586692362">
      <w:bodyDiv w:val="1"/>
      <w:marLeft w:val="0"/>
      <w:marRight w:val="0"/>
      <w:marTop w:val="0"/>
      <w:marBottom w:val="0"/>
      <w:divBdr>
        <w:top w:val="none" w:sz="0" w:space="0" w:color="auto"/>
        <w:left w:val="none" w:sz="0" w:space="0" w:color="auto"/>
        <w:bottom w:val="none" w:sz="0" w:space="0" w:color="auto"/>
        <w:right w:val="none" w:sz="0" w:space="0" w:color="auto"/>
      </w:divBdr>
      <w:divsChild>
        <w:div w:id="1366977173">
          <w:marLeft w:val="0"/>
          <w:marRight w:val="0"/>
          <w:marTop w:val="0"/>
          <w:marBottom w:val="0"/>
          <w:divBdr>
            <w:top w:val="none" w:sz="0" w:space="0" w:color="auto"/>
            <w:left w:val="none" w:sz="0" w:space="0" w:color="auto"/>
            <w:bottom w:val="none" w:sz="0" w:space="0" w:color="auto"/>
            <w:right w:val="none" w:sz="0" w:space="0" w:color="auto"/>
          </w:divBdr>
        </w:div>
        <w:div w:id="64495037">
          <w:marLeft w:val="0"/>
          <w:marRight w:val="0"/>
          <w:marTop w:val="0"/>
          <w:marBottom w:val="0"/>
          <w:divBdr>
            <w:top w:val="none" w:sz="0" w:space="0" w:color="auto"/>
            <w:left w:val="none" w:sz="0" w:space="0" w:color="auto"/>
            <w:bottom w:val="none" w:sz="0" w:space="0" w:color="auto"/>
            <w:right w:val="none" w:sz="0" w:space="0" w:color="auto"/>
          </w:divBdr>
        </w:div>
        <w:div w:id="1886991601">
          <w:marLeft w:val="0"/>
          <w:marRight w:val="0"/>
          <w:marTop w:val="0"/>
          <w:marBottom w:val="0"/>
          <w:divBdr>
            <w:top w:val="none" w:sz="0" w:space="0" w:color="auto"/>
            <w:left w:val="none" w:sz="0" w:space="0" w:color="auto"/>
            <w:bottom w:val="none" w:sz="0" w:space="0" w:color="auto"/>
            <w:right w:val="none" w:sz="0" w:space="0" w:color="auto"/>
          </w:divBdr>
        </w:div>
      </w:divsChild>
    </w:div>
    <w:div w:id="700278138">
      <w:bodyDiv w:val="1"/>
      <w:marLeft w:val="0"/>
      <w:marRight w:val="0"/>
      <w:marTop w:val="0"/>
      <w:marBottom w:val="0"/>
      <w:divBdr>
        <w:top w:val="none" w:sz="0" w:space="0" w:color="auto"/>
        <w:left w:val="none" w:sz="0" w:space="0" w:color="auto"/>
        <w:bottom w:val="none" w:sz="0" w:space="0" w:color="auto"/>
        <w:right w:val="none" w:sz="0" w:space="0" w:color="auto"/>
      </w:divBdr>
    </w:div>
    <w:div w:id="746729460">
      <w:bodyDiv w:val="1"/>
      <w:marLeft w:val="0"/>
      <w:marRight w:val="0"/>
      <w:marTop w:val="0"/>
      <w:marBottom w:val="0"/>
      <w:divBdr>
        <w:top w:val="none" w:sz="0" w:space="0" w:color="auto"/>
        <w:left w:val="none" w:sz="0" w:space="0" w:color="auto"/>
        <w:bottom w:val="none" w:sz="0" w:space="0" w:color="auto"/>
        <w:right w:val="none" w:sz="0" w:space="0" w:color="auto"/>
      </w:divBdr>
    </w:div>
    <w:div w:id="941768514">
      <w:bodyDiv w:val="1"/>
      <w:marLeft w:val="0"/>
      <w:marRight w:val="0"/>
      <w:marTop w:val="0"/>
      <w:marBottom w:val="0"/>
      <w:divBdr>
        <w:top w:val="none" w:sz="0" w:space="0" w:color="auto"/>
        <w:left w:val="none" w:sz="0" w:space="0" w:color="auto"/>
        <w:bottom w:val="none" w:sz="0" w:space="0" w:color="auto"/>
        <w:right w:val="none" w:sz="0" w:space="0" w:color="auto"/>
      </w:divBdr>
    </w:div>
    <w:div w:id="981157105">
      <w:bodyDiv w:val="1"/>
      <w:marLeft w:val="0"/>
      <w:marRight w:val="0"/>
      <w:marTop w:val="0"/>
      <w:marBottom w:val="0"/>
      <w:divBdr>
        <w:top w:val="none" w:sz="0" w:space="0" w:color="auto"/>
        <w:left w:val="none" w:sz="0" w:space="0" w:color="auto"/>
        <w:bottom w:val="none" w:sz="0" w:space="0" w:color="auto"/>
        <w:right w:val="none" w:sz="0" w:space="0" w:color="auto"/>
      </w:divBdr>
    </w:div>
    <w:div w:id="1022122450">
      <w:bodyDiv w:val="1"/>
      <w:marLeft w:val="0"/>
      <w:marRight w:val="0"/>
      <w:marTop w:val="0"/>
      <w:marBottom w:val="0"/>
      <w:divBdr>
        <w:top w:val="none" w:sz="0" w:space="0" w:color="auto"/>
        <w:left w:val="none" w:sz="0" w:space="0" w:color="auto"/>
        <w:bottom w:val="none" w:sz="0" w:space="0" w:color="auto"/>
        <w:right w:val="none" w:sz="0" w:space="0" w:color="auto"/>
      </w:divBdr>
    </w:div>
    <w:div w:id="1035736059">
      <w:bodyDiv w:val="1"/>
      <w:marLeft w:val="0"/>
      <w:marRight w:val="0"/>
      <w:marTop w:val="0"/>
      <w:marBottom w:val="0"/>
      <w:divBdr>
        <w:top w:val="none" w:sz="0" w:space="0" w:color="auto"/>
        <w:left w:val="none" w:sz="0" w:space="0" w:color="auto"/>
        <w:bottom w:val="none" w:sz="0" w:space="0" w:color="auto"/>
        <w:right w:val="none" w:sz="0" w:space="0" w:color="auto"/>
      </w:divBdr>
    </w:div>
    <w:div w:id="1120414092">
      <w:bodyDiv w:val="1"/>
      <w:marLeft w:val="0"/>
      <w:marRight w:val="0"/>
      <w:marTop w:val="0"/>
      <w:marBottom w:val="0"/>
      <w:divBdr>
        <w:top w:val="none" w:sz="0" w:space="0" w:color="auto"/>
        <w:left w:val="none" w:sz="0" w:space="0" w:color="auto"/>
        <w:bottom w:val="none" w:sz="0" w:space="0" w:color="auto"/>
        <w:right w:val="none" w:sz="0" w:space="0" w:color="auto"/>
      </w:divBdr>
    </w:div>
    <w:div w:id="1278028712">
      <w:bodyDiv w:val="1"/>
      <w:marLeft w:val="0"/>
      <w:marRight w:val="0"/>
      <w:marTop w:val="0"/>
      <w:marBottom w:val="0"/>
      <w:divBdr>
        <w:top w:val="none" w:sz="0" w:space="0" w:color="auto"/>
        <w:left w:val="none" w:sz="0" w:space="0" w:color="auto"/>
        <w:bottom w:val="none" w:sz="0" w:space="0" w:color="auto"/>
        <w:right w:val="none" w:sz="0" w:space="0" w:color="auto"/>
      </w:divBdr>
    </w:div>
    <w:div w:id="1528640678">
      <w:bodyDiv w:val="1"/>
      <w:marLeft w:val="0"/>
      <w:marRight w:val="0"/>
      <w:marTop w:val="0"/>
      <w:marBottom w:val="0"/>
      <w:divBdr>
        <w:top w:val="none" w:sz="0" w:space="0" w:color="auto"/>
        <w:left w:val="none" w:sz="0" w:space="0" w:color="auto"/>
        <w:bottom w:val="none" w:sz="0" w:space="0" w:color="auto"/>
        <w:right w:val="none" w:sz="0" w:space="0" w:color="auto"/>
      </w:divBdr>
    </w:div>
    <w:div w:id="1757361565">
      <w:bodyDiv w:val="1"/>
      <w:marLeft w:val="0"/>
      <w:marRight w:val="0"/>
      <w:marTop w:val="0"/>
      <w:marBottom w:val="0"/>
      <w:divBdr>
        <w:top w:val="none" w:sz="0" w:space="0" w:color="auto"/>
        <w:left w:val="none" w:sz="0" w:space="0" w:color="auto"/>
        <w:bottom w:val="none" w:sz="0" w:space="0" w:color="auto"/>
        <w:right w:val="none" w:sz="0" w:space="0" w:color="auto"/>
      </w:divBdr>
      <w:divsChild>
        <w:div w:id="1012148653">
          <w:marLeft w:val="0"/>
          <w:marRight w:val="0"/>
          <w:marTop w:val="280"/>
          <w:marBottom w:val="280"/>
          <w:divBdr>
            <w:top w:val="none" w:sz="0" w:space="0" w:color="auto"/>
            <w:left w:val="none" w:sz="0" w:space="0" w:color="auto"/>
            <w:bottom w:val="none" w:sz="0" w:space="0" w:color="auto"/>
            <w:right w:val="none" w:sz="0" w:space="0" w:color="auto"/>
          </w:divBdr>
        </w:div>
        <w:div w:id="1421290892">
          <w:marLeft w:val="0"/>
          <w:marRight w:val="0"/>
          <w:marTop w:val="280"/>
          <w:marBottom w:val="280"/>
          <w:divBdr>
            <w:top w:val="none" w:sz="0" w:space="0" w:color="auto"/>
            <w:left w:val="none" w:sz="0" w:space="0" w:color="auto"/>
            <w:bottom w:val="none" w:sz="0" w:space="0" w:color="auto"/>
            <w:right w:val="none" w:sz="0" w:space="0" w:color="auto"/>
          </w:divBdr>
        </w:div>
        <w:div w:id="1841044661">
          <w:marLeft w:val="0"/>
          <w:marRight w:val="0"/>
          <w:marTop w:val="280"/>
          <w:marBottom w:val="280"/>
          <w:divBdr>
            <w:top w:val="none" w:sz="0" w:space="0" w:color="auto"/>
            <w:left w:val="none" w:sz="0" w:space="0" w:color="auto"/>
            <w:bottom w:val="none" w:sz="0" w:space="0" w:color="auto"/>
            <w:right w:val="none" w:sz="0" w:space="0" w:color="auto"/>
          </w:divBdr>
        </w:div>
        <w:div w:id="1352683915">
          <w:marLeft w:val="0"/>
          <w:marRight w:val="0"/>
          <w:marTop w:val="280"/>
          <w:marBottom w:val="280"/>
          <w:divBdr>
            <w:top w:val="none" w:sz="0" w:space="0" w:color="auto"/>
            <w:left w:val="none" w:sz="0" w:space="0" w:color="auto"/>
            <w:bottom w:val="none" w:sz="0" w:space="0" w:color="auto"/>
            <w:right w:val="none" w:sz="0" w:space="0" w:color="auto"/>
          </w:divBdr>
        </w:div>
      </w:divsChild>
    </w:div>
    <w:div w:id="19894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pdf/p5118.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Phan Thi Quynh Tho (CQTTGSNH)</cp:lastModifiedBy>
  <cp:revision>23</cp:revision>
  <cp:lastPrinted>2022-07-13T07:49:00Z</cp:lastPrinted>
  <dcterms:created xsi:type="dcterms:W3CDTF">2022-06-17T04:00:00Z</dcterms:created>
  <dcterms:modified xsi:type="dcterms:W3CDTF">2022-07-13T10:00:00Z</dcterms:modified>
</cp:coreProperties>
</file>