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33" w:rsidRDefault="00805833">
      <w:bookmarkStart w:id="0" w:name="_GoBack"/>
      <w:bookmarkEnd w:id="0"/>
    </w:p>
    <w:tbl>
      <w:tblPr>
        <w:tblStyle w:val="a"/>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8"/>
        <w:gridCol w:w="2835"/>
        <w:gridCol w:w="5204"/>
      </w:tblGrid>
      <w:tr w:rsidR="00805833" w:rsidTr="001352B8">
        <w:tc>
          <w:tcPr>
            <w:tcW w:w="988" w:type="dxa"/>
            <w:tcMar>
              <w:top w:w="100" w:type="dxa"/>
              <w:left w:w="100" w:type="dxa"/>
              <w:bottom w:w="100" w:type="dxa"/>
              <w:right w:w="100" w:type="dxa"/>
            </w:tcMar>
          </w:tcPr>
          <w:p w:rsidR="00805833" w:rsidRDefault="005E7E2F">
            <w:pPr>
              <w:spacing w:before="240" w:after="240"/>
              <w:jc w:val="center"/>
              <w:rPr>
                <w:b/>
                <w:color w:val="333333"/>
                <w:sz w:val="20"/>
                <w:szCs w:val="20"/>
              </w:rPr>
            </w:pPr>
            <w:r>
              <w:rPr>
                <w:b/>
                <w:color w:val="333333"/>
                <w:sz w:val="20"/>
                <w:szCs w:val="20"/>
              </w:rPr>
              <w:t>STT</w:t>
            </w:r>
          </w:p>
        </w:tc>
        <w:tc>
          <w:tcPr>
            <w:tcW w:w="2835" w:type="dxa"/>
            <w:tcMar>
              <w:top w:w="100" w:type="dxa"/>
              <w:left w:w="100" w:type="dxa"/>
              <w:bottom w:w="100" w:type="dxa"/>
              <w:right w:w="100" w:type="dxa"/>
            </w:tcMar>
          </w:tcPr>
          <w:p w:rsidR="00805833" w:rsidRDefault="005E7E2F">
            <w:pPr>
              <w:spacing w:before="240" w:after="240"/>
              <w:jc w:val="center"/>
              <w:rPr>
                <w:b/>
                <w:color w:val="333333"/>
                <w:sz w:val="20"/>
                <w:szCs w:val="20"/>
              </w:rPr>
            </w:pPr>
            <w:r>
              <w:rPr>
                <w:b/>
                <w:color w:val="333333"/>
                <w:sz w:val="20"/>
                <w:szCs w:val="20"/>
              </w:rPr>
              <w:t>Câu hỏi</w:t>
            </w:r>
          </w:p>
        </w:tc>
        <w:tc>
          <w:tcPr>
            <w:tcW w:w="5204" w:type="dxa"/>
            <w:tcMar>
              <w:top w:w="100" w:type="dxa"/>
              <w:left w:w="100" w:type="dxa"/>
              <w:bottom w:w="100" w:type="dxa"/>
              <w:right w:w="100" w:type="dxa"/>
            </w:tcMar>
          </w:tcPr>
          <w:p w:rsidR="00805833" w:rsidRDefault="005E7E2F">
            <w:pPr>
              <w:spacing w:before="240" w:after="240"/>
              <w:jc w:val="center"/>
              <w:rPr>
                <w:b/>
                <w:color w:val="333333"/>
                <w:sz w:val="20"/>
                <w:szCs w:val="20"/>
              </w:rPr>
            </w:pPr>
            <w:r>
              <w:rPr>
                <w:b/>
                <w:color w:val="333333"/>
                <w:sz w:val="20"/>
                <w:szCs w:val="20"/>
              </w:rPr>
              <w:t>Câu trả lời</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Trường hợp cần giám định tiền không đủ tiêu chuẩn lưu thông bị cháy, biến dạng với số lượng lớn (do xảy ra hỏa hoạn), hồ sơ đề nghị giám định cần những giấy tờ gì?</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Căn cứ Điểm a Khoản 2 Điều 6 và Điều 8 Thông tư 25/2013/TT-NHNN ngày 2/12/2013 quy định về việc thu, đổi tiền không đủ tiêu chuẩn lưu thông:</w:t>
            </w:r>
          </w:p>
          <w:p w:rsidR="00805833" w:rsidRDefault="005E7E2F">
            <w:pPr>
              <w:spacing w:before="240" w:after="240"/>
              <w:jc w:val="both"/>
              <w:rPr>
                <w:color w:val="333333"/>
                <w:sz w:val="20"/>
                <w:szCs w:val="20"/>
              </w:rPr>
            </w:pPr>
            <w:r>
              <w:rPr>
                <w:color w:val="333333"/>
                <w:sz w:val="20"/>
                <w:szCs w:val="20"/>
              </w:rPr>
              <w:t>Ngoài hiện vật, Giấy đề nghị giám định tiền không đủ tiêu chuẩn lưu thông, chứng minh nhân dân, tổ chức cá nhân cần bổ sung Giấy xác nhận của cơ quan chức năng trên địa bàn nơi xảy ra sự việc cháy nổ dẫn đến cháy, biến dạng đồng tiền. Đây có thể xem là cơ sở để cơ quan chức năng xác định tiền bị cháy, biến dạng có phải do hành vi phá hoại hay không.</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2</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Hồ sơ đề nghị giám định tiền giả, tiền nghi giả gồm những giấy tờ gì?</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quy định tại Khoản 1, Điều 10 Thông tư số 28/2013/TT-NHNN ngày 05/12/2013, hồ sơ đề nghị giám định tiền giả, tiền nghi giả gồm:</w:t>
            </w:r>
          </w:p>
          <w:p w:rsidR="00805833" w:rsidRDefault="005E7E2F">
            <w:pPr>
              <w:spacing w:before="240" w:after="240"/>
              <w:jc w:val="both"/>
              <w:rPr>
                <w:color w:val="333333"/>
                <w:sz w:val="20"/>
                <w:szCs w:val="20"/>
              </w:rPr>
            </w:pPr>
            <w:r>
              <w:rPr>
                <w:color w:val="333333"/>
                <w:sz w:val="20"/>
                <w:szCs w:val="20"/>
              </w:rPr>
              <w:t>(i) Văn bản đề nghị giám định tiền giả, tiền nghi giả (theo Phụ lục số 4, Thông tư số 28/2013/TT-NHNN);</w:t>
            </w:r>
          </w:p>
          <w:p w:rsidR="00805833" w:rsidRDefault="005E7E2F">
            <w:pPr>
              <w:spacing w:before="240" w:after="240"/>
              <w:jc w:val="both"/>
              <w:rPr>
                <w:color w:val="333333"/>
                <w:sz w:val="20"/>
                <w:szCs w:val="20"/>
              </w:rPr>
            </w:pPr>
            <w:r>
              <w:rPr>
                <w:color w:val="333333"/>
                <w:sz w:val="20"/>
                <w:szCs w:val="20"/>
              </w:rPr>
              <w:t>(ii) Tiền giả, tiền nghi giả cần giám định.</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3</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Thời gian NHNN thực hiện giám định tiền giả, tiền nghi giả mất bao nhiêu ngày?</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Khoản 2 Điều 10 Thông tư 28/2013/TT-NHNN: Từ 05 ngày làm việc đến 30 ngày làm việc (tùy mức độ cần giám định tiền giả, tiền nghi giả)</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4</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Tổ chức, cá nhân có yêu cầu đổi tiền không đủ tiêu chuẩn lưu thông (rách nát, hư hỏng) do quá trình lưu thông gồm những giấy tờ nào?</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Tại khoản 1 Điều 6 Thông tư 25/2013/TT-NHNN ngày 02/12/2013 của Thống đốc Ngân hàng Nhà nước Việt Nam quy định về việc thu, đổi tiền không đủ tiêu chuẩn lưu thông (rách nát, hư hỏng) do quá trình lưu thông có quy định: NHNN Chi nhánh, Sở giao dịch NHNN, đơn vị thu đổi thực hiện việc thu đổi ngay cho khách hàng có nhu cầu, không giới hạn số lượng, không yêu cầu thủ tục giấy tờ.</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5</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Tổ chức, cá nhân có yêu cầu đổi tiền Polymer bị cháy do nhiệt, rách 1 phần thì điều kiện đổi như thế nào?</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Tại khoản 2 Điều 6 Thông tư 25/2013/TT-NHNN ngày 02/12/2013 của Thống đốc Ngân hàng Nhà nước Việt Nam quy định về việc thu, đổi tiền không đủ tiêu chuẩn lưu thông có quy định điều kiện được xét đổi như sau:</w:t>
            </w:r>
          </w:p>
          <w:p w:rsidR="00805833" w:rsidRDefault="005E7E2F">
            <w:pPr>
              <w:spacing w:before="240" w:after="240"/>
              <w:jc w:val="both"/>
              <w:rPr>
                <w:color w:val="333333"/>
                <w:sz w:val="20"/>
                <w:szCs w:val="20"/>
              </w:rPr>
            </w:pPr>
            <w:r>
              <w:rPr>
                <w:color w:val="333333"/>
                <w:sz w:val="20"/>
                <w:szCs w:val="20"/>
              </w:rPr>
              <w:t xml:space="preserve">- Đối với tiền Polymer bị cháy hoặc biến dạng co nhỏ lại </w:t>
            </w:r>
            <w:r>
              <w:rPr>
                <w:color w:val="333333"/>
                <w:sz w:val="20"/>
                <w:szCs w:val="20"/>
              </w:rPr>
              <w:lastRenderedPageBreak/>
              <w:t>do tiếp xúc với nguồn nhiệt cao thì diện tích còn lại tối thiểu phải bằng 30% so với diện tích của tờ tiền cùng loại và con giữ nguyên bố cục 1 tờ tiền, đồng thời nhận biết được ít nhất hai trong các yếu tố bảo an như: hình ẩn trong cửa sổ nhỏ, mực không màu phát quang, phát quang hàng số seerri, dây bảo hiểm, yếu tố IRIODIN, chân dung chủ tịch Hồ Chí Minh.</w:t>
            </w:r>
          </w:p>
          <w:p w:rsidR="00805833" w:rsidRDefault="005E7E2F">
            <w:pPr>
              <w:spacing w:before="240" w:after="240"/>
              <w:jc w:val="both"/>
              <w:rPr>
                <w:color w:val="333333"/>
                <w:sz w:val="20"/>
                <w:szCs w:val="20"/>
              </w:rPr>
            </w:pPr>
            <w:r>
              <w:rPr>
                <w:color w:val="333333"/>
                <w:sz w:val="20"/>
                <w:szCs w:val="20"/>
              </w:rPr>
              <w:t>- Đối với tờ tiền bị rách một phần diện tích thì diện tích còn lại phải bằng hoặc lớn hơn 60% diện tích so với tờ tiền cùng loại sẽ đủ điều kiện để được đổi theo đề nghị.</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lastRenderedPageBreak/>
              <w:t>6</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 xml:space="preserve">Sau khi cơ quan giám định kết luận tính xác thực (thật/giả) của tờ tiền cần giám định, cơ quan giám định sẽ xử lý như thế nào?  </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Căn cứ Điều 11 Thông tư số 28/2013/TT-NHNN ngày 05/12/2013:</w:t>
            </w:r>
          </w:p>
          <w:p w:rsidR="00805833" w:rsidRDefault="005E7E2F">
            <w:pPr>
              <w:spacing w:before="240" w:after="240"/>
              <w:jc w:val="both"/>
              <w:rPr>
                <w:color w:val="333333"/>
                <w:sz w:val="20"/>
                <w:szCs w:val="20"/>
              </w:rPr>
            </w:pPr>
            <w:r>
              <w:rPr>
                <w:color w:val="333333"/>
                <w:sz w:val="20"/>
                <w:szCs w:val="20"/>
              </w:rPr>
              <w:t xml:space="preserve">- Nếu kết quả giám định tờ tiền cần giám định là tiền thật, cơ quan giám định sẽ trả lại hoặc thu đổi ngang giá trị cho tổ chức, cá nhân đề nghị giám định theo quy định của Ngân hàng Nhà nước Việt Nam về thu đổi tiền không đủ tiêu chuẩn lưu thông. </w:t>
            </w:r>
          </w:p>
          <w:p w:rsidR="00805833" w:rsidRDefault="005E7E2F">
            <w:pPr>
              <w:spacing w:before="240" w:after="240"/>
              <w:jc w:val="both"/>
              <w:rPr>
                <w:color w:val="333333"/>
                <w:sz w:val="20"/>
                <w:szCs w:val="20"/>
              </w:rPr>
            </w:pPr>
            <w:r>
              <w:rPr>
                <w:color w:val="333333"/>
                <w:sz w:val="20"/>
                <w:szCs w:val="20"/>
              </w:rPr>
              <w:t>- Nếu kết quả giám định tờ tiền cần giám định là tiền giả, cơ quan giám định sẽ thực hiện thu giữ và thông báo kết quả giám định bằng văn bản cho tổ chức, cá nhân có yêu cầu giám định.</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7</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Catalog và tài liệu kỹ thuật của xe thiết kế chở tiền có cần xác nhận của đơn vị đóng thùng tiền hay không?</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Căn cứ Tiết b7 Điểm 3.1 Phần I Mục II Nghị định 122/2016/NĐ-CP:</w:t>
            </w:r>
          </w:p>
          <w:p w:rsidR="00805833" w:rsidRDefault="005E7E2F">
            <w:pPr>
              <w:spacing w:before="240" w:after="240"/>
              <w:jc w:val="both"/>
              <w:rPr>
                <w:color w:val="333333"/>
                <w:sz w:val="20"/>
                <w:szCs w:val="20"/>
              </w:rPr>
            </w:pPr>
            <w:r>
              <w:rPr>
                <w:color w:val="333333"/>
                <w:sz w:val="20"/>
                <w:szCs w:val="20"/>
              </w:rPr>
              <w:t>Catalog và tài liệu kỹ thuật của xe thiết kế chở tiền phải kèm theo xác nhận của đơn vị đóng thùng tiền và đơn vị sản xuất xe cơ sở gồm 01 bản sao có chứng thực hoặc bản sao kèm bản chính có đối chiếu.</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8</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Hồ sơ đề nghị xác nhận về đảm bảo tiêu chuẩn xe thiết kế chở tiền gồm những giấy tờ gì và có cần bản chính hoặc chứng thực của cơ quan có thẩm quyền hay không?</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Căn cứ Tiết b7 Điểm 3.1 Phần I Mục II Nghị định 122/2016/NĐ-CP, thành phần hồ sơ và quy định về tính xác thực hồ sơ như sau:</w:t>
            </w:r>
          </w:p>
          <w:p w:rsidR="00805833" w:rsidRDefault="005E7E2F">
            <w:pPr>
              <w:spacing w:before="240" w:after="240"/>
              <w:ind w:firstLine="320"/>
              <w:jc w:val="both"/>
              <w:rPr>
                <w:color w:val="333333"/>
                <w:sz w:val="20"/>
                <w:szCs w:val="20"/>
              </w:rPr>
            </w:pPr>
            <w:r>
              <w:rPr>
                <w:color w:val="333333"/>
                <w:sz w:val="20"/>
                <w:szCs w:val="20"/>
              </w:rPr>
              <w:t>1. Văn bản đề nghị xác nhận đạt tiêu chuẩn xe thiết kế chở tiền: 01 bản chính;</w:t>
            </w:r>
          </w:p>
          <w:p w:rsidR="00805833" w:rsidRDefault="005E7E2F">
            <w:pPr>
              <w:spacing w:before="240" w:after="240"/>
              <w:ind w:firstLine="320"/>
              <w:jc w:val="both"/>
              <w:rPr>
                <w:color w:val="333333"/>
                <w:sz w:val="20"/>
                <w:szCs w:val="20"/>
              </w:rPr>
            </w:pPr>
            <w:r>
              <w:rPr>
                <w:color w:val="333333"/>
                <w:sz w:val="20"/>
                <w:szCs w:val="20"/>
              </w:rPr>
              <w:t>2. Hợp đồng nhập khẩu xe thiết kế chở tiền và các Hợp đồng kinh tế liên quan để xác định đối tượng sử dụng xe thiết kế chở tiền: 01 bản sao có chứng thực hoặc bản sao kèm bản chính để đối chiếu;</w:t>
            </w:r>
          </w:p>
          <w:p w:rsidR="00805833" w:rsidRDefault="005E7E2F">
            <w:pPr>
              <w:spacing w:before="240" w:after="240"/>
              <w:ind w:firstLine="320"/>
              <w:jc w:val="both"/>
              <w:rPr>
                <w:color w:val="333333"/>
                <w:sz w:val="20"/>
                <w:szCs w:val="20"/>
              </w:rPr>
            </w:pPr>
            <w:r>
              <w:rPr>
                <w:color w:val="333333"/>
                <w:sz w:val="20"/>
                <w:szCs w:val="20"/>
              </w:rPr>
              <w:t>3. Catalog và tài liệu kỹ thuật của xe thiết kế trở tiền (có xác nhận của đơn vị đóng thùng tiền và đơn vị sản xuất xe cơ sở): 01 bản sao có chứng thực hoặc bản sao kèm bản chính có đối chiếu;</w:t>
            </w:r>
          </w:p>
          <w:p w:rsidR="00805833" w:rsidRDefault="005E7E2F">
            <w:pPr>
              <w:spacing w:before="240" w:after="240"/>
              <w:ind w:firstLine="320"/>
              <w:jc w:val="both"/>
              <w:rPr>
                <w:color w:val="333333"/>
                <w:sz w:val="20"/>
                <w:szCs w:val="20"/>
              </w:rPr>
            </w:pPr>
            <w:r>
              <w:rPr>
                <w:color w:val="333333"/>
                <w:sz w:val="20"/>
                <w:szCs w:val="20"/>
              </w:rPr>
              <w:t>4. Giấy chứng nhận xuất xứ hàng hóa (CO), Giấy chứng nhận số lượng, Giấy chứng nhận chất lượng (CQ): 01 bản sao từ sổ gốc hoặc bản sao có chứng thực hoặc bản sao kèm bản chính để đối chiếu;</w:t>
            </w:r>
          </w:p>
          <w:p w:rsidR="00805833" w:rsidRDefault="005E7E2F">
            <w:pPr>
              <w:spacing w:before="240" w:after="240"/>
              <w:ind w:firstLine="320"/>
              <w:jc w:val="both"/>
              <w:rPr>
                <w:color w:val="333333"/>
                <w:sz w:val="20"/>
                <w:szCs w:val="20"/>
              </w:rPr>
            </w:pPr>
            <w:r>
              <w:rPr>
                <w:color w:val="333333"/>
                <w:sz w:val="20"/>
                <w:szCs w:val="20"/>
              </w:rPr>
              <w:t>5. Quyết định thành lập hoặc Giấy chứng nhận đăng ký doanh nghiệp của doanh nghiệp nhập khẩu và đối tượng sử dụng xe thiết kế chở tiền: 01 bản sao từ sổ gốc hoặc bản sao chứng thực hoặc bản sao kèm bản chính để đối chiếu.</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9</w:t>
            </w:r>
          </w:p>
        </w:tc>
        <w:tc>
          <w:tcPr>
            <w:tcW w:w="2835" w:type="dxa"/>
            <w:tcMar>
              <w:top w:w="100" w:type="dxa"/>
              <w:left w:w="100" w:type="dxa"/>
              <w:bottom w:w="100" w:type="dxa"/>
              <w:right w:w="100" w:type="dxa"/>
            </w:tcMar>
          </w:tcPr>
          <w:p w:rsidR="00805833" w:rsidRDefault="005E7E2F">
            <w:pPr>
              <w:spacing w:before="240" w:after="240"/>
              <w:jc w:val="both"/>
              <w:rPr>
                <w:rFonts w:ascii="Verdana" w:eastAsia="Verdana" w:hAnsi="Verdana" w:cs="Verdana"/>
                <w:color w:val="333333"/>
                <w:sz w:val="20"/>
                <w:szCs w:val="20"/>
              </w:rPr>
            </w:pPr>
            <w:r>
              <w:rPr>
                <w:rFonts w:ascii="Verdana" w:eastAsia="Verdana" w:hAnsi="Verdana" w:cs="Verdana"/>
                <w:color w:val="333333"/>
                <w:sz w:val="20"/>
                <w:szCs w:val="20"/>
              </w:rPr>
              <w:t>Thời gian cấp giấy xác nhận đảm bảo tiêu chuẩn xe thiết kế chở tiền trong bao lâu?</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Căn cứ Tiết b7 Điểm 3.1 Phần I Mục II Nghị định 122/2016/NĐ-CP, thành phần hồ sơ và quy định về tính xác thực hồ sơ như sau:</w:t>
            </w:r>
          </w:p>
          <w:p w:rsidR="00805833" w:rsidRDefault="005E7E2F">
            <w:pPr>
              <w:spacing w:before="240" w:after="240"/>
              <w:jc w:val="both"/>
              <w:rPr>
                <w:color w:val="333333"/>
                <w:sz w:val="20"/>
                <w:szCs w:val="20"/>
              </w:rPr>
            </w:pPr>
            <w:r>
              <w:rPr>
                <w:color w:val="333333"/>
                <w:sz w:val="20"/>
                <w:szCs w:val="20"/>
              </w:rPr>
              <w:t>Trong thời hạn 10 ngày kể từ ngày nhận hồ sơ đầy đủ, hợp lệ, NHNN xem xét và cấp Giấy xác nhận đạt tiêu chuẩn xe thiết kế chở tiền theo quy định của NHNN cho người khai hải quan.</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10</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Thời gian thực hiện giám định tiền không đủ tiêu chuẩn lưu thông là bao lâu?</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quy định tại Khoản 2, Điều 7 Thông tư 25/2013/TT-NHNN: Từ 03 ngày làm việc đến 15 ngày làm việc.</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11</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Tiền bị hư hỏng thì đổi ở đâu?</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quy định Thông tư số 25/2013/TT-NHNN ngày 02/12/201:</w:t>
            </w:r>
          </w:p>
          <w:p w:rsidR="00805833" w:rsidRDefault="005E7E2F">
            <w:pPr>
              <w:spacing w:before="240" w:after="240"/>
              <w:jc w:val="both"/>
              <w:rPr>
                <w:color w:val="333333"/>
                <w:sz w:val="20"/>
                <w:szCs w:val="20"/>
              </w:rPr>
            </w:pPr>
            <w:r>
              <w:rPr>
                <w:color w:val="333333"/>
                <w:sz w:val="20"/>
                <w:szCs w:val="20"/>
              </w:rPr>
              <w:t xml:space="preserve">Mọi tổ chức cá nhân có tiền bị hư hỏng đều có thể đến các đơn vị thu đổi là: Sở Giao dịch Ngân hàng Nhà nước, các tổ chức tín dụng, chi nhánh ngân hàng nước ngoài, kho bạc Nhà nước để đổi tiền khi không đủ tiêu chuẩn lưu thông. Ngoài các đơn vị đã nêu trên mỗi tỉnh cũng có các chi nhánh Ngân hàng Nhà nước làm chức năng này. Tại một số tỉnh lớn như TP. Hồ Chí Minh, TP. Hà nội…có thêm Cục Phát hành &amp; kho quỹ làm công tác giám định tiêu chuẩn tiền không đủ tiêu chuẩn lưu thông. </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12</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Tiền bị hư hỏng khi đổi có mất phí không?</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Mọi tổ chức, cá nhân tiến hành đổi tiền bị hư hỏng sẽ không bị thu phí được nêu tại điều 3 công văn số 1393/NHNN-PHKQ ngày 10/03/2014 hướng dẫn thực hiện thông tư số 25/2013/TT-NHNN có quy định không thu phí việc thu, đổi tiền không đủ tiêu chuẩn lưu thông.</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13</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 xml:space="preserve">Tiền bị hư hỏng như thế nào thì được đổi? </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Tại Mục 2 Điều 3 Thông tư số 25/2013/TT-NHNN có quy định công bố mẫu tiêu biểu tiền không đủ tiêu chuẩn lưu thông làm cơ sở cho khách hàng và cán bộ của đơn vị thu đổi đối chiếu khi thu, đổi, tuyển chọn, phân loại tiền. Mẫu này đã được Ngân hàng nhà nước cấp phát đến từng tổ chức tín dụng, chi nhánh ngân hàng nước ngoài, kho bạc nhà nước…</w:t>
            </w:r>
          </w:p>
          <w:p w:rsidR="00805833" w:rsidRDefault="005E7E2F">
            <w:pPr>
              <w:spacing w:before="240" w:after="240"/>
              <w:jc w:val="both"/>
              <w:rPr>
                <w:color w:val="333333"/>
                <w:sz w:val="20"/>
                <w:szCs w:val="20"/>
              </w:rPr>
            </w:pPr>
            <w:r>
              <w:rPr>
                <w:color w:val="333333"/>
                <w:sz w:val="20"/>
                <w:szCs w:val="20"/>
              </w:rPr>
              <w:t>Ngoài ra tại điều 6, mục 2, điểm b đã nêu tỷ lệ tờ tiền bị cháy,thủng, rách diện tích còn lại là lớn hơn 60% so với tờ tiền cùng loại, nếu can dán thì phải có diện tích tối thiểu là 90% so với diện tích tờ tiền cùng loại thì được đổi. Với tiền Polimer khi tiếp xúc với nguồn nhiệt, tờ tiền bị co lại thì diện tích tối thiểu phải bằng 30% diện tích, còn nguyên giữ nguyên bố cục và nhận biết được ít nhất 2 yếu tố bảo an.</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14</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Hồ sơ đề nghị giám định tiền không đủ tiêu chuẩn lưu thông?</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Khoản 1 Điều 7 Thông tư 25/2013/TT-NHNN, hồ sơ đề nghị giám định tiền không đủ tiêu chuẩn lưu thông gồm: Văn bản đề nghị giám định tiền không đủ tiêu chuẩn lưu thông; Tiền không đủ tiêu chuẩn lưu thông.</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15</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Thời gian thực hiện giám định tiền không đủ tiêu chuẩn lưu thông?</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Khoản 2, Điều 7 Thông tư 25/2013/TT-NHNN: Từ 03 ngày làm việc đến 15 ngày làm việc</w:t>
            </w:r>
          </w:p>
        </w:tc>
      </w:tr>
      <w:tr w:rsidR="00805833" w:rsidTr="001352B8">
        <w:tc>
          <w:tcPr>
            <w:tcW w:w="988" w:type="dxa"/>
            <w:tcMar>
              <w:top w:w="100" w:type="dxa"/>
              <w:left w:w="100" w:type="dxa"/>
              <w:bottom w:w="100" w:type="dxa"/>
              <w:right w:w="100" w:type="dxa"/>
            </w:tcMar>
          </w:tcPr>
          <w:p w:rsidR="00805833" w:rsidRDefault="005E7E2F">
            <w:pPr>
              <w:spacing w:before="240" w:after="240"/>
              <w:ind w:left="360"/>
              <w:jc w:val="center"/>
              <w:rPr>
                <w:color w:val="333333"/>
                <w:sz w:val="20"/>
                <w:szCs w:val="20"/>
              </w:rPr>
            </w:pPr>
            <w:r>
              <w:rPr>
                <w:color w:val="333333"/>
                <w:sz w:val="20"/>
                <w:szCs w:val="20"/>
              </w:rPr>
              <w:t>16</w:t>
            </w:r>
          </w:p>
        </w:tc>
        <w:tc>
          <w:tcPr>
            <w:tcW w:w="2835"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Trường hợp các tờ tiền chưa xác định được điều kiện đổi và cần giám định thì giám định ở đâu?</w:t>
            </w:r>
          </w:p>
        </w:tc>
        <w:tc>
          <w:tcPr>
            <w:tcW w:w="5204" w:type="dxa"/>
            <w:tcMar>
              <w:top w:w="100" w:type="dxa"/>
              <w:left w:w="100" w:type="dxa"/>
              <w:bottom w:w="100" w:type="dxa"/>
              <w:right w:w="100" w:type="dxa"/>
            </w:tcMar>
          </w:tcPr>
          <w:p w:rsidR="00805833" w:rsidRDefault="005E7E2F">
            <w:pPr>
              <w:spacing w:before="240" w:after="240"/>
              <w:jc w:val="both"/>
              <w:rPr>
                <w:color w:val="333333"/>
                <w:sz w:val="20"/>
                <w:szCs w:val="20"/>
              </w:rPr>
            </w:pPr>
            <w:r>
              <w:rPr>
                <w:color w:val="333333"/>
                <w:sz w:val="20"/>
                <w:szCs w:val="20"/>
              </w:rPr>
              <w:t>Theo Khoản 1 và Khoản 2 Điều 7 Thông tư số 25/2013/TT-NHNN ngày 02/12/2013 của Thống đốc NHNN VN về việc quy định việc thu, đổi tiền không đủ tiêu chuẩn lưu thông hướng dẫn: Trường hợp các tờ tiền chưa xác định được điều kiện đổi và cần giám định thì gửi giám định từ các tổ chức tín dụng, chi nhánh ngân hàng nước ngoài, Kho bạc Nhà nước sau đó chuyển tiếp về NHNN Chi nhánh tỉnh, thành phố, Sở Giao dịch NHNN VN.</w:t>
            </w:r>
          </w:p>
        </w:tc>
      </w:tr>
    </w:tbl>
    <w:p w:rsidR="00805833" w:rsidRPr="001352B8" w:rsidRDefault="00805833" w:rsidP="001352B8"/>
    <w:sectPr w:rsidR="00805833" w:rsidRPr="001352B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9D1" w:rsidRDefault="00A429D1" w:rsidP="001352B8">
      <w:pPr>
        <w:spacing w:line="240" w:lineRule="auto"/>
      </w:pPr>
      <w:r>
        <w:separator/>
      </w:r>
    </w:p>
  </w:endnote>
  <w:endnote w:type="continuationSeparator" w:id="0">
    <w:p w:rsidR="00A429D1" w:rsidRDefault="00A429D1" w:rsidP="00135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9D1" w:rsidRDefault="00A429D1" w:rsidP="001352B8">
      <w:pPr>
        <w:spacing w:line="240" w:lineRule="auto"/>
      </w:pPr>
      <w:r>
        <w:separator/>
      </w:r>
    </w:p>
  </w:footnote>
  <w:footnote w:type="continuationSeparator" w:id="0">
    <w:p w:rsidR="00A429D1" w:rsidRDefault="00A429D1" w:rsidP="001352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33"/>
    <w:rsid w:val="001352B8"/>
    <w:rsid w:val="005E7E2F"/>
    <w:rsid w:val="00805833"/>
    <w:rsid w:val="00A429D1"/>
    <w:rsid w:val="00BA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1352B8"/>
    <w:pPr>
      <w:tabs>
        <w:tab w:val="center" w:pos="4680"/>
        <w:tab w:val="right" w:pos="9360"/>
      </w:tabs>
      <w:spacing w:line="240" w:lineRule="auto"/>
    </w:pPr>
  </w:style>
  <w:style w:type="character" w:customStyle="1" w:styleId="HeaderChar">
    <w:name w:val="Header Char"/>
    <w:basedOn w:val="DefaultParagraphFont"/>
    <w:link w:val="Header"/>
    <w:uiPriority w:val="99"/>
    <w:rsid w:val="001352B8"/>
  </w:style>
  <w:style w:type="paragraph" w:styleId="Footer">
    <w:name w:val="footer"/>
    <w:basedOn w:val="Normal"/>
    <w:link w:val="FooterChar"/>
    <w:uiPriority w:val="99"/>
    <w:unhideWhenUsed/>
    <w:rsid w:val="001352B8"/>
    <w:pPr>
      <w:tabs>
        <w:tab w:val="center" w:pos="4680"/>
        <w:tab w:val="right" w:pos="9360"/>
      </w:tabs>
      <w:spacing w:line="240" w:lineRule="auto"/>
    </w:pPr>
  </w:style>
  <w:style w:type="character" w:customStyle="1" w:styleId="FooterChar">
    <w:name w:val="Footer Char"/>
    <w:basedOn w:val="DefaultParagraphFont"/>
    <w:link w:val="Footer"/>
    <w:uiPriority w:val="99"/>
    <w:rsid w:val="00135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1352B8"/>
    <w:pPr>
      <w:tabs>
        <w:tab w:val="center" w:pos="4680"/>
        <w:tab w:val="right" w:pos="9360"/>
      </w:tabs>
      <w:spacing w:line="240" w:lineRule="auto"/>
    </w:pPr>
  </w:style>
  <w:style w:type="character" w:customStyle="1" w:styleId="HeaderChar">
    <w:name w:val="Header Char"/>
    <w:basedOn w:val="DefaultParagraphFont"/>
    <w:link w:val="Header"/>
    <w:uiPriority w:val="99"/>
    <w:rsid w:val="001352B8"/>
  </w:style>
  <w:style w:type="paragraph" w:styleId="Footer">
    <w:name w:val="footer"/>
    <w:basedOn w:val="Normal"/>
    <w:link w:val="FooterChar"/>
    <w:uiPriority w:val="99"/>
    <w:unhideWhenUsed/>
    <w:rsid w:val="001352B8"/>
    <w:pPr>
      <w:tabs>
        <w:tab w:val="center" w:pos="4680"/>
        <w:tab w:val="right" w:pos="9360"/>
      </w:tabs>
      <w:spacing w:line="240" w:lineRule="auto"/>
    </w:pPr>
  </w:style>
  <w:style w:type="character" w:customStyle="1" w:styleId="FooterChar">
    <w:name w:val="Footer Char"/>
    <w:basedOn w:val="DefaultParagraphFont"/>
    <w:link w:val="Footer"/>
    <w:uiPriority w:val="99"/>
    <w:rsid w:val="0013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Le Hang (VTTh)</dc:creator>
  <cp:lastModifiedBy>Tran Le Hang (VTTh)</cp:lastModifiedBy>
  <cp:revision>2</cp:revision>
  <dcterms:created xsi:type="dcterms:W3CDTF">2024-10-01T03:26:00Z</dcterms:created>
  <dcterms:modified xsi:type="dcterms:W3CDTF">2024-10-01T03:26:00Z</dcterms:modified>
</cp:coreProperties>
</file>