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D9" w:rsidRPr="00190E0A" w:rsidRDefault="00D66BD9" w:rsidP="000A5E97">
      <w:pPr>
        <w:spacing w:before="12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90E0A">
        <w:rPr>
          <w:rFonts w:ascii="Arial" w:hAnsi="Arial" w:cs="Arial"/>
          <w:b/>
          <w:bCs/>
          <w:sz w:val="20"/>
          <w:szCs w:val="20"/>
        </w:rPr>
        <w:t>Developments in Money Market and Inter-bank Market (</w:t>
      </w:r>
      <w:r>
        <w:rPr>
          <w:rFonts w:ascii="Arial" w:hAnsi="Arial" w:cs="Arial"/>
          <w:b/>
          <w:bCs/>
          <w:sz w:val="20"/>
          <w:szCs w:val="20"/>
        </w:rPr>
        <w:t>June 1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 - 16</w:t>
      </w:r>
      <w:r>
        <w:rPr>
          <w:rFonts w:ascii="Arial" w:hAnsi="Arial" w:cs="Arial"/>
          <w:b/>
          <w:bCs/>
          <w:sz w:val="20"/>
          <w:szCs w:val="20"/>
        </w:rPr>
        <w:t>, 2023</w:t>
      </w:r>
      <w:r w:rsidRPr="00190E0A">
        <w:rPr>
          <w:rFonts w:ascii="Arial" w:hAnsi="Arial" w:cs="Arial"/>
          <w:b/>
          <w:bCs/>
          <w:sz w:val="20"/>
          <w:szCs w:val="20"/>
        </w:rPr>
        <w:t>)</w:t>
      </w:r>
    </w:p>
    <w:p w:rsidR="00D66BD9" w:rsidRPr="00190E0A" w:rsidRDefault="00D66BD9" w:rsidP="00D66BD9">
      <w:p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 w:rsidRPr="00190E0A">
        <w:rPr>
          <w:rFonts w:ascii="Arial" w:hAnsi="Arial" w:cs="Arial"/>
          <w:b/>
          <w:bCs/>
          <w:sz w:val="20"/>
          <w:szCs w:val="20"/>
        </w:rPr>
        <w:t xml:space="preserve">1. </w:t>
      </w:r>
      <w:proofErr w:type="spellStart"/>
      <w:r w:rsidRPr="00190E0A">
        <w:rPr>
          <w:rFonts w:ascii="Arial" w:hAnsi="Arial" w:cs="Arial"/>
          <w:b/>
          <w:bCs/>
          <w:sz w:val="20"/>
          <w:szCs w:val="20"/>
        </w:rPr>
        <w:t>Forex</w:t>
      </w:r>
      <w:proofErr w:type="spellEnd"/>
      <w:r w:rsidRPr="00190E0A">
        <w:rPr>
          <w:rFonts w:ascii="Arial" w:hAnsi="Arial" w:cs="Arial"/>
          <w:b/>
          <w:bCs/>
          <w:sz w:val="20"/>
          <w:szCs w:val="20"/>
        </w:rPr>
        <w:t xml:space="preserve"> market and exchange rates:</w:t>
      </w:r>
    </w:p>
    <w:p w:rsidR="00D66BD9" w:rsidRPr="00190E0A" w:rsidRDefault="00D66BD9" w:rsidP="00D66BD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190E0A">
        <w:rPr>
          <w:rFonts w:ascii="Arial" w:hAnsi="Arial" w:cs="Arial"/>
          <w:sz w:val="20"/>
          <w:szCs w:val="20"/>
        </w:rPr>
        <w:t xml:space="preserve">During the week of </w:t>
      </w:r>
      <w:r w:rsidR="00157D25" w:rsidRPr="00157D25">
        <w:rPr>
          <w:rFonts w:ascii="Arial" w:hAnsi="Arial" w:cs="Arial"/>
          <w:sz w:val="20"/>
          <w:szCs w:val="20"/>
        </w:rPr>
        <w:t>June 12 - 16</w:t>
      </w:r>
      <w:r w:rsidRPr="00F2214B">
        <w:rPr>
          <w:rFonts w:ascii="Arial" w:hAnsi="Arial" w:cs="Arial"/>
          <w:sz w:val="20"/>
          <w:szCs w:val="20"/>
        </w:rPr>
        <w:t>, 2023</w:t>
      </w:r>
      <w:r w:rsidRPr="00190E0A">
        <w:rPr>
          <w:rFonts w:ascii="Arial" w:hAnsi="Arial" w:cs="Arial"/>
          <w:sz w:val="20"/>
          <w:szCs w:val="20"/>
        </w:rPr>
        <w:t xml:space="preserve">, </w:t>
      </w:r>
      <w:r w:rsidR="00157D25" w:rsidRPr="00157D25">
        <w:rPr>
          <w:rFonts w:ascii="Arial" w:hAnsi="Arial" w:cs="Arial"/>
          <w:sz w:val="20"/>
          <w:szCs w:val="20"/>
        </w:rPr>
        <w:t>the foreign exchange market was relatively stable</w:t>
      </w:r>
      <w:r>
        <w:rPr>
          <w:rFonts w:ascii="Arial" w:hAnsi="Arial" w:cs="Arial"/>
          <w:sz w:val="20"/>
          <w:szCs w:val="20"/>
        </w:rPr>
        <w:t xml:space="preserve">. </w:t>
      </w:r>
      <w:r w:rsidRPr="00190E0A">
        <w:rPr>
          <w:rFonts w:ascii="Arial" w:hAnsi="Arial" w:cs="Arial"/>
          <w:sz w:val="20"/>
          <w:szCs w:val="20"/>
        </w:rPr>
        <w:t xml:space="preserve">On </w:t>
      </w:r>
      <w:r w:rsidR="00157D25" w:rsidRPr="00157D25">
        <w:rPr>
          <w:rFonts w:ascii="Arial" w:hAnsi="Arial" w:cs="Arial"/>
          <w:sz w:val="20"/>
          <w:szCs w:val="20"/>
        </w:rPr>
        <w:t>June 12</w:t>
      </w:r>
      <w:r w:rsidRPr="00190E0A">
        <w:rPr>
          <w:rFonts w:ascii="Arial" w:hAnsi="Arial" w:cs="Arial"/>
          <w:sz w:val="20"/>
          <w:szCs w:val="20"/>
        </w:rPr>
        <w:t>, the buying and selling exchange rates quoted on the website of the Joint Stock Commercial Bank for Foreign Trade of Vietnam (</w:t>
      </w:r>
      <w:proofErr w:type="spellStart"/>
      <w:r w:rsidRPr="00190E0A">
        <w:rPr>
          <w:rFonts w:ascii="Arial" w:hAnsi="Arial" w:cs="Arial"/>
          <w:sz w:val="20"/>
          <w:szCs w:val="20"/>
        </w:rPr>
        <w:t>Vietcombank</w:t>
      </w:r>
      <w:proofErr w:type="spellEnd"/>
      <w:r w:rsidRPr="00190E0A">
        <w:rPr>
          <w:rFonts w:ascii="Arial" w:hAnsi="Arial" w:cs="Arial"/>
          <w:sz w:val="20"/>
          <w:szCs w:val="20"/>
        </w:rPr>
        <w:t xml:space="preserve">) were at VND </w:t>
      </w:r>
      <w:r w:rsidRPr="00182142">
        <w:rPr>
          <w:rFonts w:ascii="Arial" w:hAnsi="Arial" w:cs="Arial"/>
          <w:sz w:val="20"/>
          <w:szCs w:val="20"/>
          <w:lang w:val="pt-BR"/>
        </w:rPr>
        <w:t>23</w:t>
      </w:r>
      <w:r w:rsidR="006D1F06">
        <w:rPr>
          <w:rFonts w:ascii="Arial" w:hAnsi="Arial" w:cs="Arial"/>
          <w:sz w:val="20"/>
          <w:szCs w:val="20"/>
          <w:lang w:val="pt-BR"/>
        </w:rPr>
        <w:t>,30</w:t>
      </w:r>
      <w:r w:rsidRPr="00182142">
        <w:rPr>
          <w:rFonts w:ascii="Arial" w:hAnsi="Arial" w:cs="Arial"/>
          <w:sz w:val="20"/>
          <w:szCs w:val="20"/>
          <w:lang w:val="pt-BR"/>
        </w:rPr>
        <w:t>0/23</w:t>
      </w:r>
      <w:r w:rsidR="006D1F06">
        <w:rPr>
          <w:rFonts w:ascii="Arial" w:hAnsi="Arial" w:cs="Arial"/>
          <w:sz w:val="20"/>
          <w:szCs w:val="20"/>
          <w:lang w:val="pt-BR"/>
        </w:rPr>
        <w:t>,64</w:t>
      </w:r>
      <w:r w:rsidRPr="00182142">
        <w:rPr>
          <w:rFonts w:ascii="Arial" w:hAnsi="Arial" w:cs="Arial"/>
          <w:sz w:val="20"/>
          <w:szCs w:val="20"/>
          <w:lang w:val="pt-BR"/>
        </w:rPr>
        <w:t>0</w:t>
      </w:r>
      <w:r w:rsidRPr="00190E0A">
        <w:rPr>
          <w:rFonts w:ascii="Arial" w:hAnsi="Arial" w:cs="Arial"/>
          <w:sz w:val="20"/>
          <w:szCs w:val="20"/>
          <w:lang w:val="pt-BR"/>
        </w:rPr>
        <w:t xml:space="preserve"> </w:t>
      </w:r>
      <w:r w:rsidRPr="00190E0A">
        <w:rPr>
          <w:rFonts w:ascii="Arial" w:hAnsi="Arial" w:cs="Arial"/>
          <w:sz w:val="20"/>
          <w:szCs w:val="20"/>
        </w:rPr>
        <w:t xml:space="preserve">per USD, </w:t>
      </w:r>
      <w:r>
        <w:rPr>
          <w:rFonts w:ascii="Arial" w:hAnsi="Arial" w:cs="Arial"/>
          <w:sz w:val="20"/>
          <w:szCs w:val="20"/>
        </w:rPr>
        <w:t>down</w:t>
      </w:r>
      <w:r w:rsidRPr="00190E0A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10</w:t>
      </w:r>
      <w:r w:rsidRPr="00190E0A">
        <w:rPr>
          <w:rFonts w:ascii="Arial" w:hAnsi="Arial" w:cs="Arial"/>
          <w:sz w:val="20"/>
          <w:szCs w:val="20"/>
        </w:rPr>
        <w:t xml:space="preserve"> VND per USD as compared with the rates of the last working day of the previous week (</w:t>
      </w:r>
      <w:r w:rsidR="00C90A65">
        <w:rPr>
          <w:rFonts w:ascii="Arial" w:hAnsi="Arial" w:cs="Arial"/>
          <w:sz w:val="20"/>
          <w:szCs w:val="20"/>
        </w:rPr>
        <w:t>June 09</w:t>
      </w:r>
      <w:r w:rsidRPr="00190E0A">
        <w:rPr>
          <w:rFonts w:ascii="Arial" w:hAnsi="Arial" w:cs="Arial"/>
          <w:sz w:val="20"/>
          <w:szCs w:val="20"/>
        </w:rPr>
        <w:t>, 202</w:t>
      </w:r>
      <w:r>
        <w:rPr>
          <w:rFonts w:ascii="Arial" w:hAnsi="Arial" w:cs="Arial"/>
          <w:sz w:val="20"/>
          <w:szCs w:val="20"/>
        </w:rPr>
        <w:t>3</w:t>
      </w:r>
      <w:r w:rsidRPr="00190E0A">
        <w:rPr>
          <w:rFonts w:ascii="Arial" w:hAnsi="Arial" w:cs="Arial"/>
          <w:sz w:val="20"/>
          <w:szCs w:val="20"/>
        </w:rPr>
        <w:t xml:space="preserve">). By end of </w:t>
      </w:r>
      <w:r w:rsidRPr="002D3EF7">
        <w:rPr>
          <w:rFonts w:ascii="Arial" w:hAnsi="Arial" w:cs="Arial"/>
          <w:sz w:val="20"/>
          <w:szCs w:val="20"/>
        </w:rPr>
        <w:t xml:space="preserve">June </w:t>
      </w:r>
      <w:r w:rsidR="00500644">
        <w:rPr>
          <w:rFonts w:ascii="Arial" w:hAnsi="Arial" w:cs="Arial"/>
          <w:sz w:val="20"/>
          <w:szCs w:val="20"/>
        </w:rPr>
        <w:t>16</w:t>
      </w:r>
      <w:r w:rsidRPr="00190E0A">
        <w:rPr>
          <w:rFonts w:ascii="Arial" w:hAnsi="Arial" w:cs="Arial"/>
          <w:sz w:val="20"/>
          <w:szCs w:val="20"/>
        </w:rPr>
        <w:t xml:space="preserve">, the exchange rates were quoted at VND </w:t>
      </w:r>
      <w:r w:rsidRPr="00182142">
        <w:rPr>
          <w:rFonts w:ascii="Arial" w:hAnsi="Arial" w:cs="Arial"/>
          <w:sz w:val="20"/>
          <w:szCs w:val="20"/>
          <w:lang w:val="pt-BR"/>
        </w:rPr>
        <w:t>23</w:t>
      </w:r>
      <w:r w:rsidR="00E170A9">
        <w:rPr>
          <w:rFonts w:ascii="Arial" w:hAnsi="Arial" w:cs="Arial"/>
          <w:sz w:val="20"/>
          <w:szCs w:val="20"/>
          <w:lang w:val="pt-BR"/>
        </w:rPr>
        <w:t>,36</w:t>
      </w:r>
      <w:r w:rsidRPr="00182142">
        <w:rPr>
          <w:rFonts w:ascii="Arial" w:hAnsi="Arial" w:cs="Arial"/>
          <w:sz w:val="20"/>
          <w:szCs w:val="20"/>
          <w:lang w:val="pt-BR"/>
        </w:rPr>
        <w:t>0/23</w:t>
      </w:r>
      <w:r w:rsidR="00E170A9">
        <w:rPr>
          <w:rFonts w:ascii="Arial" w:hAnsi="Arial" w:cs="Arial"/>
          <w:sz w:val="20"/>
          <w:szCs w:val="20"/>
          <w:lang w:val="pt-BR"/>
        </w:rPr>
        <w:t>,70</w:t>
      </w:r>
      <w:r w:rsidRPr="00182142">
        <w:rPr>
          <w:rFonts w:ascii="Arial" w:hAnsi="Arial" w:cs="Arial"/>
          <w:sz w:val="20"/>
          <w:szCs w:val="20"/>
          <w:lang w:val="pt-BR"/>
        </w:rPr>
        <w:t>0</w:t>
      </w:r>
      <w:r w:rsidRPr="00E83BD4">
        <w:rPr>
          <w:rFonts w:ascii="Arial" w:hAnsi="Arial" w:cs="Arial"/>
          <w:sz w:val="20"/>
          <w:szCs w:val="20"/>
          <w:lang w:val="pt-BR"/>
        </w:rPr>
        <w:t xml:space="preserve"> </w:t>
      </w:r>
      <w:r w:rsidRPr="00190E0A">
        <w:rPr>
          <w:rFonts w:ascii="Arial" w:hAnsi="Arial" w:cs="Arial"/>
          <w:sz w:val="20"/>
          <w:szCs w:val="20"/>
        </w:rPr>
        <w:t xml:space="preserve">per USD, </w:t>
      </w:r>
      <w:r w:rsidR="00460FDF">
        <w:rPr>
          <w:rFonts w:ascii="Arial" w:hAnsi="Arial" w:cs="Arial"/>
          <w:sz w:val="20"/>
          <w:szCs w:val="20"/>
        </w:rPr>
        <w:t>up by 60 VND per USD</w:t>
      </w:r>
      <w:r w:rsidRPr="00190E0A">
        <w:rPr>
          <w:rFonts w:ascii="Arial" w:hAnsi="Arial" w:cs="Arial"/>
          <w:sz w:val="20"/>
          <w:szCs w:val="20"/>
        </w:rPr>
        <w:t xml:space="preserve"> as compared with the rates of </w:t>
      </w:r>
      <w:r w:rsidR="002B7C91" w:rsidRPr="002B7C91">
        <w:rPr>
          <w:rFonts w:ascii="Arial" w:hAnsi="Arial" w:cs="Arial"/>
          <w:sz w:val="20"/>
          <w:szCs w:val="20"/>
        </w:rPr>
        <w:t>June 12</w:t>
      </w:r>
      <w:r w:rsidRPr="00190E0A">
        <w:rPr>
          <w:rFonts w:ascii="Arial" w:hAnsi="Arial" w:cs="Arial"/>
          <w:sz w:val="20"/>
          <w:szCs w:val="20"/>
        </w:rPr>
        <w:t>, 202</w:t>
      </w:r>
      <w:r>
        <w:rPr>
          <w:rFonts w:ascii="Arial" w:hAnsi="Arial" w:cs="Arial"/>
          <w:sz w:val="20"/>
          <w:szCs w:val="20"/>
        </w:rPr>
        <w:t>3</w:t>
      </w:r>
      <w:r w:rsidRPr="00190E0A">
        <w:rPr>
          <w:rFonts w:ascii="Arial" w:hAnsi="Arial" w:cs="Arial"/>
          <w:sz w:val="20"/>
          <w:szCs w:val="20"/>
        </w:rPr>
        <w:t>.</w:t>
      </w:r>
    </w:p>
    <w:p w:rsidR="00D66BD9" w:rsidRPr="00190E0A" w:rsidRDefault="00D66BD9" w:rsidP="00D66BD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190E0A">
        <w:rPr>
          <w:rFonts w:ascii="Arial" w:hAnsi="Arial" w:cs="Arial"/>
          <w:b/>
          <w:bCs/>
          <w:sz w:val="20"/>
          <w:szCs w:val="20"/>
        </w:rPr>
        <w:t>2. Inter-bank transaction operations:</w:t>
      </w:r>
    </w:p>
    <w:p w:rsidR="00D66BD9" w:rsidRPr="00190E0A" w:rsidRDefault="00D66BD9" w:rsidP="00D66BD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190E0A">
        <w:rPr>
          <w:rFonts w:ascii="Arial" w:hAnsi="Arial" w:cs="Arial"/>
          <w:b/>
          <w:bCs/>
          <w:sz w:val="20"/>
          <w:szCs w:val="20"/>
        </w:rPr>
        <w:t>2.1. Transactions:</w:t>
      </w:r>
      <w:r w:rsidRPr="00190E0A">
        <w:rPr>
          <w:rFonts w:ascii="Arial" w:hAnsi="Arial" w:cs="Arial"/>
          <w:b/>
          <w:sz w:val="20"/>
          <w:szCs w:val="20"/>
        </w:rPr>
        <w:t xml:space="preserve"> </w:t>
      </w:r>
    </w:p>
    <w:p w:rsidR="00D66BD9" w:rsidRPr="00190E0A" w:rsidRDefault="00D66BD9" w:rsidP="00D66BD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190E0A">
        <w:rPr>
          <w:rFonts w:ascii="Arial" w:hAnsi="Arial" w:cs="Arial"/>
          <w:sz w:val="20"/>
          <w:szCs w:val="20"/>
        </w:rPr>
        <w:t xml:space="preserve">According to the reports submitted by the credit institutions and the foreign bank branches, the total amount of transactions in the inter-bank market within the week reached approximately VND </w:t>
      </w:r>
      <w:r w:rsidRPr="00D5294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 w:rsidR="00036F9B">
        <w:rPr>
          <w:rFonts w:ascii="Arial" w:hAnsi="Arial" w:cs="Arial"/>
          <w:sz w:val="20"/>
          <w:szCs w:val="20"/>
        </w:rPr>
        <w:t>153,</w:t>
      </w:r>
      <w:r w:rsidR="00036F9B" w:rsidRPr="00036F9B">
        <w:rPr>
          <w:rFonts w:ascii="Arial" w:hAnsi="Arial" w:cs="Arial"/>
          <w:sz w:val="20"/>
          <w:szCs w:val="20"/>
        </w:rPr>
        <w:t xml:space="preserve">363 </w:t>
      </w:r>
      <w:r w:rsidRPr="00190E0A">
        <w:rPr>
          <w:rFonts w:ascii="Arial" w:hAnsi="Arial" w:cs="Arial"/>
          <w:sz w:val="20"/>
          <w:szCs w:val="20"/>
        </w:rPr>
        <w:t xml:space="preserve">billion, an average of VND </w:t>
      </w:r>
      <w:r w:rsidR="00422365" w:rsidRPr="00422365">
        <w:rPr>
          <w:rFonts w:ascii="Arial" w:hAnsi="Arial" w:cs="Arial"/>
          <w:sz w:val="20"/>
          <w:szCs w:val="20"/>
        </w:rPr>
        <w:t>230</w:t>
      </w:r>
      <w:r w:rsidR="00422365">
        <w:rPr>
          <w:rFonts w:ascii="Arial" w:hAnsi="Arial" w:cs="Arial"/>
          <w:sz w:val="20"/>
          <w:szCs w:val="20"/>
        </w:rPr>
        <w:t>,</w:t>
      </w:r>
      <w:r w:rsidR="00422365" w:rsidRPr="00422365">
        <w:rPr>
          <w:rFonts w:ascii="Arial" w:hAnsi="Arial" w:cs="Arial"/>
          <w:sz w:val="20"/>
          <w:szCs w:val="20"/>
        </w:rPr>
        <w:t xml:space="preserve">673 </w:t>
      </w:r>
      <w:r>
        <w:rPr>
          <w:rFonts w:ascii="Arial" w:hAnsi="Arial" w:cs="Arial"/>
          <w:sz w:val="20"/>
          <w:szCs w:val="20"/>
        </w:rPr>
        <w:t>billion per day, an in</w:t>
      </w:r>
      <w:r w:rsidRPr="00190E0A">
        <w:rPr>
          <w:rFonts w:ascii="Arial" w:hAnsi="Arial" w:cs="Arial"/>
          <w:sz w:val="20"/>
          <w:szCs w:val="20"/>
        </w:rPr>
        <w:t xml:space="preserve">crease of VND </w:t>
      </w:r>
      <w:r w:rsidR="00904D81">
        <w:rPr>
          <w:rFonts w:ascii="Arial" w:hAnsi="Arial" w:cs="Arial"/>
          <w:sz w:val="20"/>
          <w:szCs w:val="20"/>
        </w:rPr>
        <w:t>19,</w:t>
      </w:r>
      <w:r w:rsidR="00904D81" w:rsidRPr="00904D81">
        <w:rPr>
          <w:rFonts w:ascii="Arial" w:hAnsi="Arial" w:cs="Arial"/>
          <w:sz w:val="20"/>
          <w:szCs w:val="20"/>
        </w:rPr>
        <w:t xml:space="preserve">883 </w:t>
      </w:r>
      <w:r w:rsidRPr="00190E0A">
        <w:rPr>
          <w:rFonts w:ascii="Arial" w:hAnsi="Arial" w:cs="Arial"/>
          <w:sz w:val="20"/>
          <w:szCs w:val="20"/>
        </w:rPr>
        <w:t>billion per day as compared to the previous week</w:t>
      </w:r>
      <w:r>
        <w:rPr>
          <w:rFonts w:ascii="Arial" w:hAnsi="Arial" w:cs="Arial"/>
          <w:sz w:val="20"/>
          <w:szCs w:val="20"/>
        </w:rPr>
        <w:t xml:space="preserve"> (</w:t>
      </w:r>
      <w:r w:rsidR="00DF4677">
        <w:rPr>
          <w:rFonts w:ascii="Arial" w:hAnsi="Arial" w:cs="Arial"/>
          <w:sz w:val="20"/>
          <w:szCs w:val="20"/>
        </w:rPr>
        <w:t>June 05 - 09</w:t>
      </w:r>
      <w:r>
        <w:rPr>
          <w:rFonts w:ascii="Arial" w:hAnsi="Arial" w:cs="Arial"/>
          <w:sz w:val="20"/>
          <w:szCs w:val="20"/>
        </w:rPr>
        <w:t>, 2023)</w:t>
      </w:r>
      <w:r w:rsidRPr="00190E0A">
        <w:rPr>
          <w:rFonts w:ascii="Arial" w:hAnsi="Arial" w:cs="Arial"/>
          <w:sz w:val="20"/>
          <w:szCs w:val="20"/>
        </w:rPr>
        <w:t xml:space="preserve">; meanwhile the transaction amount in USD was equivalent to VND </w:t>
      </w:r>
      <w:r w:rsidR="00237D8A" w:rsidRPr="00237D8A">
        <w:rPr>
          <w:rFonts w:ascii="Arial" w:hAnsi="Arial" w:cs="Arial"/>
          <w:sz w:val="20"/>
          <w:szCs w:val="20"/>
        </w:rPr>
        <w:t>332</w:t>
      </w:r>
      <w:r w:rsidR="00237D8A">
        <w:rPr>
          <w:rFonts w:ascii="Arial" w:hAnsi="Arial" w:cs="Arial"/>
          <w:sz w:val="20"/>
          <w:szCs w:val="20"/>
        </w:rPr>
        <w:t>,</w:t>
      </w:r>
      <w:r w:rsidR="00237D8A" w:rsidRPr="00237D8A">
        <w:rPr>
          <w:rFonts w:ascii="Arial" w:hAnsi="Arial" w:cs="Arial"/>
          <w:sz w:val="20"/>
          <w:szCs w:val="20"/>
        </w:rPr>
        <w:t xml:space="preserve">673 </w:t>
      </w:r>
      <w:r w:rsidRPr="00190E0A">
        <w:rPr>
          <w:rFonts w:ascii="Arial" w:hAnsi="Arial" w:cs="Arial"/>
          <w:sz w:val="20"/>
          <w:szCs w:val="20"/>
        </w:rPr>
        <w:t xml:space="preserve">billion, an average of VND </w:t>
      </w:r>
      <w:r w:rsidR="00237D8A" w:rsidRPr="00237D8A">
        <w:rPr>
          <w:rFonts w:ascii="Arial" w:hAnsi="Arial" w:cs="Arial"/>
          <w:sz w:val="20"/>
          <w:szCs w:val="20"/>
        </w:rPr>
        <w:t>66</w:t>
      </w:r>
      <w:r w:rsidR="00237D8A">
        <w:rPr>
          <w:rFonts w:ascii="Arial" w:hAnsi="Arial" w:cs="Arial"/>
          <w:sz w:val="20"/>
          <w:szCs w:val="20"/>
        </w:rPr>
        <w:t>,</w:t>
      </w:r>
      <w:r w:rsidR="00237D8A" w:rsidRPr="00237D8A">
        <w:rPr>
          <w:rFonts w:ascii="Arial" w:hAnsi="Arial" w:cs="Arial"/>
          <w:sz w:val="20"/>
          <w:szCs w:val="20"/>
        </w:rPr>
        <w:t xml:space="preserve">535 </w:t>
      </w:r>
      <w:r w:rsidRPr="00190E0A">
        <w:rPr>
          <w:rFonts w:ascii="Arial" w:hAnsi="Arial" w:cs="Arial"/>
          <w:sz w:val="20"/>
          <w:szCs w:val="20"/>
        </w:rPr>
        <w:t>billion pe</w:t>
      </w:r>
      <w:r>
        <w:rPr>
          <w:rFonts w:ascii="Arial" w:hAnsi="Arial" w:cs="Arial"/>
          <w:sz w:val="20"/>
          <w:szCs w:val="20"/>
        </w:rPr>
        <w:t>r day, a</w:t>
      </w:r>
      <w:r w:rsidR="00237D8A">
        <w:rPr>
          <w:rFonts w:ascii="Arial" w:hAnsi="Arial" w:cs="Arial"/>
          <w:sz w:val="20"/>
          <w:szCs w:val="20"/>
        </w:rPr>
        <w:t>n in</w:t>
      </w:r>
      <w:r w:rsidRPr="00190E0A">
        <w:rPr>
          <w:rFonts w:ascii="Arial" w:hAnsi="Arial" w:cs="Arial"/>
          <w:sz w:val="20"/>
          <w:szCs w:val="20"/>
        </w:rPr>
        <w:t xml:space="preserve">crease of VND </w:t>
      </w:r>
      <w:r w:rsidR="00237D8A">
        <w:rPr>
          <w:rFonts w:ascii="Arial" w:hAnsi="Arial" w:cs="Arial"/>
          <w:sz w:val="20"/>
          <w:szCs w:val="20"/>
        </w:rPr>
        <w:t>4,</w:t>
      </w:r>
      <w:r w:rsidR="00237D8A" w:rsidRPr="00237D8A">
        <w:rPr>
          <w:rFonts w:ascii="Arial" w:hAnsi="Arial" w:cs="Arial"/>
          <w:sz w:val="20"/>
          <w:szCs w:val="20"/>
        </w:rPr>
        <w:t xml:space="preserve">152 </w:t>
      </w:r>
      <w:r w:rsidRPr="00190E0A">
        <w:rPr>
          <w:rFonts w:ascii="Arial" w:hAnsi="Arial" w:cs="Arial"/>
          <w:sz w:val="20"/>
          <w:szCs w:val="20"/>
        </w:rPr>
        <w:t>billion per day as compared to the previous week.</w:t>
      </w:r>
    </w:p>
    <w:p w:rsidR="00D66BD9" w:rsidRPr="00190E0A" w:rsidRDefault="00D66BD9" w:rsidP="00D66BD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190E0A">
        <w:rPr>
          <w:rFonts w:ascii="Arial" w:hAnsi="Arial" w:cs="Arial"/>
          <w:sz w:val="20"/>
          <w:szCs w:val="20"/>
        </w:rPr>
        <w:t xml:space="preserve">Most VND transactions were for overnight term and 1-week term, accounting for </w:t>
      </w:r>
      <w:r>
        <w:rPr>
          <w:rFonts w:ascii="Arial" w:hAnsi="Arial" w:cs="Arial"/>
          <w:sz w:val="20"/>
          <w:szCs w:val="20"/>
        </w:rPr>
        <w:t>8</w:t>
      </w:r>
      <w:r w:rsidR="00347529">
        <w:rPr>
          <w:rFonts w:ascii="Arial" w:hAnsi="Arial" w:cs="Arial"/>
          <w:sz w:val="20"/>
          <w:szCs w:val="20"/>
        </w:rPr>
        <w:t>8</w:t>
      </w:r>
      <w:r w:rsidRPr="00190E0A">
        <w:rPr>
          <w:rFonts w:ascii="Arial" w:hAnsi="Arial" w:cs="Arial"/>
          <w:sz w:val="20"/>
          <w:szCs w:val="20"/>
        </w:rPr>
        <w:t xml:space="preserve">% and </w:t>
      </w:r>
      <w:r w:rsidR="00347529">
        <w:rPr>
          <w:rFonts w:ascii="Arial" w:hAnsi="Arial" w:cs="Arial"/>
          <w:sz w:val="20"/>
          <w:szCs w:val="20"/>
        </w:rPr>
        <w:t>6</w:t>
      </w:r>
      <w:r w:rsidRPr="00190E0A">
        <w:rPr>
          <w:rFonts w:ascii="Arial" w:hAnsi="Arial" w:cs="Arial"/>
          <w:sz w:val="20"/>
          <w:szCs w:val="20"/>
        </w:rPr>
        <w:t xml:space="preserve">% of the total amount of VND transactions respectively. The transactions in USD were mostly for overnight term and 1-week term, accounting for </w:t>
      </w:r>
      <w:r w:rsidR="0038591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8</w:t>
      </w:r>
      <w:r w:rsidRPr="00190E0A">
        <w:rPr>
          <w:rFonts w:ascii="Arial" w:hAnsi="Arial" w:cs="Arial"/>
          <w:sz w:val="20"/>
          <w:szCs w:val="20"/>
        </w:rPr>
        <w:t xml:space="preserve">% and </w:t>
      </w:r>
      <w:r w:rsidR="0038591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3</w:t>
      </w:r>
      <w:r w:rsidRPr="00190E0A">
        <w:rPr>
          <w:rFonts w:ascii="Arial" w:hAnsi="Arial" w:cs="Arial"/>
          <w:sz w:val="20"/>
          <w:szCs w:val="20"/>
        </w:rPr>
        <w:t>% of the total amount of USD transactions respectively.</w:t>
      </w:r>
    </w:p>
    <w:p w:rsidR="00D66BD9" w:rsidRPr="00190E0A" w:rsidRDefault="00D66BD9" w:rsidP="00D66BD9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190E0A">
        <w:rPr>
          <w:rFonts w:ascii="Arial" w:hAnsi="Arial" w:cs="Arial"/>
          <w:b/>
          <w:bCs/>
          <w:sz w:val="20"/>
          <w:szCs w:val="20"/>
        </w:rPr>
        <w:t>2.2. Inter-bank interest rates:</w:t>
      </w:r>
    </w:p>
    <w:p w:rsidR="00D66BD9" w:rsidRDefault="00D66BD9" w:rsidP="00D66BD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190E0A">
        <w:rPr>
          <w:rFonts w:ascii="Arial" w:hAnsi="Arial" w:cs="Arial"/>
          <w:sz w:val="20"/>
          <w:szCs w:val="20"/>
        </w:rPr>
        <w:t xml:space="preserve">- For transactions in VND: </w:t>
      </w:r>
      <w:r w:rsidRPr="00A47D03">
        <w:rPr>
          <w:rFonts w:ascii="Arial" w:hAnsi="Arial" w:cs="Arial"/>
          <w:sz w:val="20"/>
          <w:szCs w:val="20"/>
        </w:rPr>
        <w:t xml:space="preserve">The average inter-bank interest rates </w:t>
      </w:r>
      <w:r>
        <w:rPr>
          <w:rFonts w:ascii="Arial" w:hAnsi="Arial" w:cs="Arial"/>
          <w:sz w:val="20"/>
          <w:szCs w:val="20"/>
        </w:rPr>
        <w:t>de</w:t>
      </w:r>
      <w:r w:rsidRPr="00A47D03">
        <w:rPr>
          <w:rFonts w:ascii="Arial" w:hAnsi="Arial" w:cs="Arial"/>
          <w:sz w:val="20"/>
          <w:szCs w:val="20"/>
        </w:rPr>
        <w:t>creased</w:t>
      </w:r>
      <w:r>
        <w:rPr>
          <w:rFonts w:ascii="Arial" w:hAnsi="Arial" w:cs="Arial"/>
          <w:sz w:val="20"/>
          <w:szCs w:val="20"/>
        </w:rPr>
        <w:t xml:space="preserve"> in most of the terms</w:t>
      </w:r>
      <w:r w:rsidRPr="00A47D03">
        <w:rPr>
          <w:rFonts w:ascii="Arial" w:hAnsi="Arial" w:cs="Arial"/>
          <w:sz w:val="20"/>
          <w:szCs w:val="20"/>
        </w:rPr>
        <w:t xml:space="preserve"> as compared to those of the previous week. Specifically, the average inter-bank interest rates for overnight, 1-week and 1-month terms</w:t>
      </w:r>
      <w:r w:rsidR="00FC17CC">
        <w:rPr>
          <w:rFonts w:ascii="Arial" w:hAnsi="Arial" w:cs="Arial"/>
          <w:sz w:val="20"/>
          <w:szCs w:val="20"/>
        </w:rPr>
        <w:t xml:space="preserve"> decreased by 1.74</w:t>
      </w:r>
      <w:r w:rsidRPr="00DD19B9">
        <w:rPr>
          <w:rFonts w:ascii="Arial" w:hAnsi="Arial" w:cs="Arial"/>
          <w:sz w:val="20"/>
          <w:szCs w:val="20"/>
        </w:rPr>
        <w:t xml:space="preserve"> percentage points</w:t>
      </w:r>
      <w:r w:rsidR="00FC17CC">
        <w:rPr>
          <w:rFonts w:ascii="Arial" w:hAnsi="Arial" w:cs="Arial"/>
          <w:sz w:val="20"/>
          <w:szCs w:val="20"/>
        </w:rPr>
        <w:t>, 1.55</w:t>
      </w:r>
      <w:r>
        <w:rPr>
          <w:rFonts w:ascii="Arial" w:hAnsi="Arial" w:cs="Arial"/>
          <w:sz w:val="20"/>
          <w:szCs w:val="20"/>
        </w:rPr>
        <w:t xml:space="preserve"> </w:t>
      </w:r>
      <w:r w:rsidRPr="00DD19B9">
        <w:rPr>
          <w:rFonts w:ascii="Arial" w:hAnsi="Arial" w:cs="Arial"/>
          <w:sz w:val="20"/>
          <w:szCs w:val="20"/>
        </w:rPr>
        <w:t>percentage points</w:t>
      </w:r>
      <w:r w:rsidR="00FC17CC">
        <w:rPr>
          <w:rFonts w:ascii="Arial" w:hAnsi="Arial" w:cs="Arial"/>
          <w:sz w:val="20"/>
          <w:szCs w:val="20"/>
        </w:rPr>
        <w:t>, and 1.27</w:t>
      </w:r>
      <w:r w:rsidRPr="00DD19B9">
        <w:rPr>
          <w:rFonts w:ascii="Arial" w:hAnsi="Arial" w:cs="Arial"/>
          <w:sz w:val="20"/>
          <w:szCs w:val="20"/>
        </w:rPr>
        <w:t xml:space="preserve"> perc</w:t>
      </w:r>
      <w:r>
        <w:rPr>
          <w:rFonts w:ascii="Arial" w:hAnsi="Arial" w:cs="Arial"/>
          <w:sz w:val="20"/>
          <w:szCs w:val="20"/>
        </w:rPr>
        <w:t>ent</w:t>
      </w:r>
      <w:r w:rsidR="00CB3A31">
        <w:rPr>
          <w:rFonts w:ascii="Arial" w:hAnsi="Arial" w:cs="Arial"/>
          <w:sz w:val="20"/>
          <w:szCs w:val="20"/>
        </w:rPr>
        <w:t>age points respectively, to 1.64</w:t>
      </w:r>
      <w:r w:rsidRPr="00DD19B9">
        <w:rPr>
          <w:rFonts w:ascii="Arial" w:hAnsi="Arial" w:cs="Arial"/>
          <w:sz w:val="20"/>
          <w:szCs w:val="20"/>
        </w:rPr>
        <w:t>% p.a.</w:t>
      </w:r>
      <w:r w:rsidR="00CB3A31">
        <w:rPr>
          <w:rFonts w:ascii="Arial" w:hAnsi="Arial" w:cs="Arial"/>
          <w:sz w:val="20"/>
          <w:szCs w:val="20"/>
        </w:rPr>
        <w:t>, 1.91% p.a., and 3</w:t>
      </w:r>
      <w:r>
        <w:rPr>
          <w:rFonts w:ascii="Arial" w:hAnsi="Arial" w:cs="Arial"/>
          <w:sz w:val="20"/>
          <w:szCs w:val="20"/>
        </w:rPr>
        <w:t>.</w:t>
      </w:r>
      <w:r w:rsidR="00CB3A3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8</w:t>
      </w:r>
      <w:r w:rsidRPr="00DD19B9">
        <w:rPr>
          <w:rFonts w:ascii="Arial" w:hAnsi="Arial" w:cs="Arial"/>
          <w:sz w:val="20"/>
          <w:szCs w:val="20"/>
        </w:rPr>
        <w:t>% p.a. respectively</w:t>
      </w:r>
      <w:r>
        <w:rPr>
          <w:rFonts w:ascii="Arial" w:hAnsi="Arial" w:cs="Arial"/>
          <w:sz w:val="20"/>
          <w:szCs w:val="20"/>
        </w:rPr>
        <w:t>.</w:t>
      </w:r>
    </w:p>
    <w:p w:rsidR="00D66BD9" w:rsidRDefault="00D66BD9" w:rsidP="00D66BD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190E0A">
        <w:rPr>
          <w:rFonts w:ascii="Arial" w:hAnsi="Arial" w:cs="Arial"/>
          <w:sz w:val="20"/>
          <w:szCs w:val="20"/>
        </w:rPr>
        <w:t xml:space="preserve">- For transactions in USD: </w:t>
      </w:r>
      <w:r w:rsidRPr="005B60DD">
        <w:rPr>
          <w:rFonts w:ascii="Arial" w:hAnsi="Arial" w:cs="Arial"/>
          <w:sz w:val="20"/>
          <w:szCs w:val="20"/>
        </w:rPr>
        <w:t xml:space="preserve">The average inter-bank interest </w:t>
      </w:r>
      <w:proofErr w:type="gramStart"/>
      <w:r w:rsidRPr="005B60DD">
        <w:rPr>
          <w:rFonts w:ascii="Arial" w:hAnsi="Arial" w:cs="Arial"/>
          <w:sz w:val="20"/>
          <w:szCs w:val="20"/>
        </w:rPr>
        <w:t>rates was</w:t>
      </w:r>
      <w:proofErr w:type="gramEnd"/>
      <w:r w:rsidRPr="005B60DD">
        <w:rPr>
          <w:rFonts w:ascii="Arial" w:hAnsi="Arial" w:cs="Arial"/>
          <w:sz w:val="20"/>
          <w:szCs w:val="20"/>
        </w:rPr>
        <w:t xml:space="preserve"> relatively stable and experienced slight fluctuations around the rates of the previous week. Specifically, the average inter-bank interest rates for overnight, 1-week and 1</w:t>
      </w:r>
      <w:r>
        <w:rPr>
          <w:rFonts w:ascii="Arial" w:hAnsi="Arial" w:cs="Arial"/>
          <w:sz w:val="20"/>
          <w:szCs w:val="20"/>
        </w:rPr>
        <w:t>-month terms were stable at 4.85% p.a., 4.8</w:t>
      </w:r>
      <w:r w:rsidR="005D54AC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% p.a., and 5.1</w:t>
      </w:r>
      <w:r w:rsidRPr="005B60DD">
        <w:rPr>
          <w:rFonts w:ascii="Arial" w:hAnsi="Arial" w:cs="Arial"/>
          <w:sz w:val="20"/>
          <w:szCs w:val="20"/>
        </w:rPr>
        <w:t>5% p.a. respectively.</w:t>
      </w:r>
    </w:p>
    <w:p w:rsidR="00D66BD9" w:rsidRPr="00190E0A" w:rsidRDefault="00D66BD9" w:rsidP="00D66BD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190E0A">
        <w:rPr>
          <w:rFonts w:ascii="Arial" w:hAnsi="Arial" w:cs="Arial"/>
          <w:sz w:val="20"/>
          <w:szCs w:val="20"/>
        </w:rPr>
        <w:t>The specific average inter-bank interest rates were as follows:</w:t>
      </w:r>
    </w:p>
    <w:p w:rsidR="00D66BD9" w:rsidRPr="00190E0A" w:rsidRDefault="00D66BD9" w:rsidP="00D66BD9">
      <w:pPr>
        <w:spacing w:before="120"/>
        <w:ind w:left="5760" w:right="839"/>
        <w:jc w:val="both"/>
        <w:rPr>
          <w:rFonts w:ascii="Arial" w:hAnsi="Arial" w:cs="Arial"/>
          <w:sz w:val="20"/>
          <w:szCs w:val="20"/>
        </w:rPr>
      </w:pPr>
      <w:r w:rsidRPr="00190E0A">
        <w:rPr>
          <w:rFonts w:ascii="Arial" w:hAnsi="Arial" w:cs="Arial"/>
          <w:sz w:val="20"/>
          <w:szCs w:val="20"/>
        </w:rPr>
        <w:t xml:space="preserve">                  Unit: % </w:t>
      </w:r>
      <w:proofErr w:type="spellStart"/>
      <w:r w:rsidRPr="00190E0A">
        <w:rPr>
          <w:rFonts w:ascii="Arial" w:hAnsi="Arial" w:cs="Arial"/>
          <w:sz w:val="20"/>
          <w:szCs w:val="20"/>
        </w:rPr>
        <w:t>p.a</w:t>
      </w:r>
      <w:proofErr w:type="spellEnd"/>
    </w:p>
    <w:tbl>
      <w:tblPr>
        <w:tblW w:w="0" w:type="auto"/>
        <w:jc w:val="center"/>
        <w:tblInd w:w="-3630" w:type="dxa"/>
        <w:tblLook w:val="04A0" w:firstRow="1" w:lastRow="0" w:firstColumn="1" w:lastColumn="0" w:noHBand="0" w:noVBand="1"/>
      </w:tblPr>
      <w:tblGrid>
        <w:gridCol w:w="937"/>
        <w:gridCol w:w="1186"/>
        <w:gridCol w:w="1160"/>
        <w:gridCol w:w="1124"/>
        <w:gridCol w:w="1123"/>
        <w:gridCol w:w="1221"/>
        <w:gridCol w:w="1269"/>
        <w:gridCol w:w="1294"/>
      </w:tblGrid>
      <w:tr w:rsidR="00D66BD9" w:rsidRPr="00190E0A" w:rsidTr="00E63ABB">
        <w:trPr>
          <w:trHeight w:val="342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BD9" w:rsidRPr="00190E0A" w:rsidRDefault="00D66BD9" w:rsidP="00E63ABB">
            <w:pPr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BD9" w:rsidRPr="00190E0A" w:rsidRDefault="00D66BD9" w:rsidP="00E6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0E0A">
              <w:rPr>
                <w:rFonts w:ascii="Arial" w:hAnsi="Arial" w:cs="Arial"/>
                <w:sz w:val="20"/>
                <w:szCs w:val="20"/>
              </w:rPr>
              <w:t>Overnight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BD9" w:rsidRPr="00190E0A" w:rsidRDefault="00D66BD9" w:rsidP="00E6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0E0A">
              <w:rPr>
                <w:rFonts w:ascii="Arial" w:hAnsi="Arial" w:cs="Arial"/>
                <w:sz w:val="20"/>
                <w:szCs w:val="20"/>
              </w:rPr>
              <w:t>1-week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BD9" w:rsidRPr="00190E0A" w:rsidRDefault="00D66BD9" w:rsidP="00E6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0E0A">
              <w:rPr>
                <w:rFonts w:ascii="Arial" w:hAnsi="Arial" w:cs="Arial"/>
                <w:sz w:val="20"/>
                <w:szCs w:val="20"/>
              </w:rPr>
              <w:t>2-week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BD9" w:rsidRPr="00190E0A" w:rsidRDefault="00D66BD9" w:rsidP="00E6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0E0A">
              <w:rPr>
                <w:rFonts w:ascii="Arial" w:hAnsi="Arial" w:cs="Arial"/>
                <w:sz w:val="20"/>
                <w:szCs w:val="20"/>
              </w:rPr>
              <w:t>1-month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BD9" w:rsidRPr="00190E0A" w:rsidRDefault="00D66BD9" w:rsidP="00E6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0E0A">
              <w:rPr>
                <w:rFonts w:ascii="Arial" w:hAnsi="Arial" w:cs="Arial"/>
                <w:sz w:val="20"/>
                <w:szCs w:val="20"/>
              </w:rPr>
              <w:t>3-month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BD9" w:rsidRPr="00190E0A" w:rsidRDefault="00D66BD9" w:rsidP="00E6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0E0A">
              <w:rPr>
                <w:rFonts w:ascii="Arial" w:hAnsi="Arial" w:cs="Arial"/>
                <w:sz w:val="20"/>
                <w:szCs w:val="20"/>
              </w:rPr>
              <w:t>6-month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BD9" w:rsidRPr="00190E0A" w:rsidRDefault="00D66BD9" w:rsidP="00E6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0E0A">
              <w:rPr>
                <w:rFonts w:ascii="Arial" w:hAnsi="Arial" w:cs="Arial"/>
                <w:sz w:val="20"/>
                <w:szCs w:val="20"/>
              </w:rPr>
              <w:t>9-month</w:t>
            </w:r>
          </w:p>
        </w:tc>
      </w:tr>
      <w:tr w:rsidR="00D66BD9" w:rsidRPr="00190E0A" w:rsidTr="00E63ABB">
        <w:trPr>
          <w:trHeight w:val="342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BD9" w:rsidRPr="00190E0A" w:rsidRDefault="00D66BD9" w:rsidP="00E6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0E0A">
              <w:rPr>
                <w:rFonts w:ascii="Arial" w:hAnsi="Arial" w:cs="Arial"/>
                <w:sz w:val="20"/>
                <w:szCs w:val="20"/>
              </w:rPr>
              <w:t>VND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BD9" w:rsidRPr="00190E0A" w:rsidRDefault="00D6128C" w:rsidP="00E6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6BD9" w:rsidRPr="00190E0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BD9" w:rsidRPr="00190E0A" w:rsidRDefault="00D6128C" w:rsidP="00E6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6BD9" w:rsidRPr="00190E0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BD9" w:rsidRPr="00190E0A" w:rsidRDefault="00D6128C" w:rsidP="00E6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BD9" w:rsidRPr="00190E0A" w:rsidRDefault="003F0BEE" w:rsidP="00E6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66BD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BD9" w:rsidRPr="00190E0A" w:rsidRDefault="003F0BEE" w:rsidP="00E6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BD9" w:rsidRPr="00190E0A" w:rsidRDefault="003F0BEE" w:rsidP="00E6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66BD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BD9" w:rsidRPr="00190E0A" w:rsidRDefault="003F0BEE" w:rsidP="00E6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</w:t>
            </w:r>
            <w:r w:rsidR="00D66BD9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66BD9" w:rsidRPr="00190E0A" w:rsidTr="00E63ABB">
        <w:trPr>
          <w:trHeight w:val="360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BD9" w:rsidRPr="00190E0A" w:rsidRDefault="00D66BD9" w:rsidP="00E6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0E0A">
              <w:rPr>
                <w:rFonts w:ascii="Arial" w:hAnsi="Arial" w:cs="Arial"/>
                <w:sz w:val="20"/>
                <w:szCs w:val="20"/>
              </w:rPr>
              <w:t>USD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BD9" w:rsidRPr="00190E0A" w:rsidRDefault="00D66BD9" w:rsidP="00E6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190E0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BD9" w:rsidRPr="00190E0A" w:rsidRDefault="00D66BD9" w:rsidP="00E6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190E0A">
              <w:rPr>
                <w:rFonts w:ascii="Arial" w:hAnsi="Arial" w:cs="Arial"/>
                <w:sz w:val="20"/>
                <w:szCs w:val="20"/>
              </w:rPr>
              <w:t>.</w:t>
            </w:r>
            <w:r w:rsidR="00D6128C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BD9" w:rsidRPr="00190E0A" w:rsidRDefault="00D66BD9" w:rsidP="00E6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  <w:r w:rsidR="00D612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BD9" w:rsidRPr="00190E0A" w:rsidRDefault="00D66BD9" w:rsidP="00E6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BD9" w:rsidRPr="00190E0A" w:rsidRDefault="003F0BEE" w:rsidP="00E6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  <w:r w:rsidR="00D66BD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BD9" w:rsidRPr="00190E0A" w:rsidRDefault="003F0BEE" w:rsidP="00E6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66BD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BD9" w:rsidRPr="00190E0A" w:rsidRDefault="00D66BD9" w:rsidP="00E6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</w:t>
            </w:r>
            <w:r w:rsidR="003F0B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6451EA" w:rsidRPr="00F9004C" w:rsidRDefault="00F9004C" w:rsidP="00F9004C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Translated by LK.</w:t>
      </w:r>
      <w:bookmarkStart w:id="0" w:name="_GoBack"/>
      <w:bookmarkEnd w:id="0"/>
      <w:proofErr w:type="gramEnd"/>
    </w:p>
    <w:sectPr w:rsidR="006451EA" w:rsidRPr="00F9004C" w:rsidSect="00B5613F">
      <w:pgSz w:w="11907" w:h="16840" w:code="9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F5"/>
    <w:rsid w:val="00036F9B"/>
    <w:rsid w:val="000A5E97"/>
    <w:rsid w:val="00157D25"/>
    <w:rsid w:val="00190000"/>
    <w:rsid w:val="00212876"/>
    <w:rsid w:val="00214CEF"/>
    <w:rsid w:val="00237D8A"/>
    <w:rsid w:val="002B7C91"/>
    <w:rsid w:val="00347529"/>
    <w:rsid w:val="0038591B"/>
    <w:rsid w:val="003F0BEE"/>
    <w:rsid w:val="00422365"/>
    <w:rsid w:val="00460FDF"/>
    <w:rsid w:val="00500644"/>
    <w:rsid w:val="005D54AC"/>
    <w:rsid w:val="006451EA"/>
    <w:rsid w:val="006D1F06"/>
    <w:rsid w:val="00775402"/>
    <w:rsid w:val="00904D81"/>
    <w:rsid w:val="00B5613F"/>
    <w:rsid w:val="00C656F5"/>
    <w:rsid w:val="00C90A65"/>
    <w:rsid w:val="00CB3A31"/>
    <w:rsid w:val="00D6128C"/>
    <w:rsid w:val="00D66BD9"/>
    <w:rsid w:val="00DF4677"/>
    <w:rsid w:val="00E170A9"/>
    <w:rsid w:val="00F9004C"/>
    <w:rsid w:val="00F95DFF"/>
    <w:rsid w:val="00F97F98"/>
    <w:rsid w:val="00FC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?><Relationships xmlns="http://schemas.openxmlformats.org/package/2006/relationships"><Relationship Target="settings.xml" Type="http://schemas.openxmlformats.org/officeDocument/2006/relationships/settings" Id="rId3"></Relationship><Relationship Target="stylesWithEffects.xml" Type="http://schemas.microsoft.com/office/2007/relationships/stylesWithEffect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6"></Relationship><Relationship Target="fontTable.xml" Type="http://schemas.openxmlformats.org/officeDocument/2006/relationships/fontTable" Id="rId5"></Relationship><Relationship Target="webSettings.xml" Type="http://schemas.openxmlformats.org/officeDocument/2006/relationships/webSettings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378</Words>
  <Characters>2158</Characters>
  <Application>Microsoft Office Word</Application>
  <DocSecurity>0</DocSecurity>
  <Lines>17</Lines>
  <Paragraphs>5</Paragraphs>
  <ScaleCrop>false</ScaleCrop>
  <Company>Microsoft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Thanh Phuong (VTTh)</dc:creator>
  <cp:keywords/>
  <dc:description/>
  <cp:lastModifiedBy>Pham Khanh Linh (VTTh)</cp:lastModifiedBy>
  <cp:revision>30</cp:revision>
  <dcterms:created xsi:type="dcterms:W3CDTF">2023-06-19T09:35:00Z</dcterms:created>
  <dcterms:modified xsi:type="dcterms:W3CDTF">2023-06-27T10:06:00Z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DISdDocName">
    <vt:lpwstr>SBV570324</vt:lpwstr>
  </property>
  <property fmtid="{D5CDD505-2E9C-101B-9397-08002B2CF9AE}" pid="10" name="DISProperties">
    <vt:lpwstr>DISdDocName,DIScgiUrl,DISdUser,DISdID,DISidcName,DISTaskPaneUrl</vt:lpwstr>
  </property>
  <property fmtid="{D5CDD505-2E9C-101B-9397-08002B2CF9AE}" pid="11" name="DIScgiUrl">
    <vt:lpwstr>http://webcenter-app01:16200/cs/idcplg</vt:lpwstr>
  </property>
  <property fmtid="{D5CDD505-2E9C-101B-9397-08002B2CF9AE}" pid="12" name="DISdUser">
    <vt:lpwstr>anonymous</vt:lpwstr>
  </property>
  <property fmtid="{D5CDD505-2E9C-101B-9397-08002B2CF9AE}" pid="13" name="DISdID">
    <vt:lpwstr>541456</vt:lpwstr>
  </property>
  <property fmtid="{D5CDD505-2E9C-101B-9397-08002B2CF9AE}" pid="14" name="DISidcName">
    <vt:lpwstr>webcenterapp0116200</vt:lpwstr>
  </property>
  <property fmtid="{D5CDD505-2E9C-101B-9397-08002B2CF9AE}" pid="15" name="DISTaskPaneUrl">
    <vt:lpwstr>http://webcenter-app01:16200/cs/idcplg?IdcService=DESKTOP_DOC_INFO&amp;dDocName=SBV570324&amp;dID=541456&amp;ClientControlled=DocMan,taskpane&amp;coreContentOnly=1</vt:lpwstr>
  </property>
</Properties>
</file>