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D3" w:rsidRPr="000F20D3" w:rsidRDefault="004A7C38" w:rsidP="000F20D3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Calibri"/>
          <w:color w:val="333333"/>
          <w:kern w:val="36"/>
          <w:sz w:val="50"/>
          <w:szCs w:val="50"/>
        </w:rPr>
      </w:pPr>
      <w:r>
        <w:rPr>
          <w:rFonts w:ascii="inherit" w:eastAsia="Times New Roman" w:hAnsi="inherit" w:cs="Calibri"/>
          <w:color w:val="333333"/>
          <w:kern w:val="36"/>
          <w:sz w:val="50"/>
          <w:szCs w:val="50"/>
        </w:rPr>
        <w:t xml:space="preserve">Các quốc gia có rủi ro cao bị áp dụng biện pháp đối kháng </w:t>
      </w:r>
      <w:r w:rsidR="000F20D3" w:rsidRPr="000F20D3">
        <w:rPr>
          <w:rFonts w:ascii="inherit" w:eastAsia="Times New Roman" w:hAnsi="inherit" w:cs="Calibri"/>
          <w:color w:val="333333"/>
          <w:kern w:val="36"/>
          <w:sz w:val="50"/>
          <w:szCs w:val="50"/>
        </w:rPr>
        <w:t>– 21</w:t>
      </w:r>
      <w:r>
        <w:rPr>
          <w:rFonts w:ascii="inherit" w:eastAsia="Times New Roman" w:hAnsi="inherit" w:cs="Calibri"/>
          <w:color w:val="333333"/>
          <w:kern w:val="36"/>
          <w:sz w:val="50"/>
          <w:szCs w:val="50"/>
        </w:rPr>
        <w:t>/02/</w:t>
      </w:r>
      <w:r w:rsidR="000F20D3" w:rsidRPr="000F20D3">
        <w:rPr>
          <w:rFonts w:ascii="inherit" w:eastAsia="Times New Roman" w:hAnsi="inherit" w:cs="Calibri"/>
          <w:color w:val="333333"/>
          <w:kern w:val="36"/>
          <w:sz w:val="50"/>
          <w:szCs w:val="50"/>
        </w:rPr>
        <w:t>2020</w:t>
      </w:r>
    </w:p>
    <w:p w:rsidR="000F20D3" w:rsidRPr="000F20D3" w:rsidRDefault="000F20D3" w:rsidP="000F20D3">
      <w:pPr>
        <w:shd w:val="clear" w:color="auto" w:fill="FFFFFF"/>
        <w:spacing w:line="240" w:lineRule="auto"/>
        <w:rPr>
          <w:rFonts w:ascii="Calibri" w:eastAsia="Times New Roman" w:hAnsi="Calibri" w:cs="Calibri"/>
          <w:color w:val="333333"/>
          <w:sz w:val="21"/>
          <w:szCs w:val="21"/>
        </w:rPr>
      </w:pPr>
    </w:p>
    <w:tbl>
      <w:tblPr>
        <w:tblW w:w="0" w:type="auto"/>
        <w:tblBorders>
          <w:top w:val="single" w:sz="6" w:space="0" w:color="708090"/>
          <w:left w:val="single" w:sz="6" w:space="0" w:color="708090"/>
          <w:bottom w:val="single" w:sz="6" w:space="0" w:color="708090"/>
          <w:right w:val="single" w:sz="6" w:space="0" w:color="70809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56"/>
      </w:tblGrid>
      <w:tr w:rsidR="000F20D3" w:rsidRPr="000F20D3" w:rsidTr="000F20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0D3" w:rsidRPr="000F20D3" w:rsidRDefault="004A7C38" w:rsidP="00F57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quốc gia </w:t>
            </w:r>
            <w:r w:rsidRPr="004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có rủi ro cao có những thiếu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hụt </w:t>
            </w:r>
            <w:r w:rsidRPr="004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chiến lược quan trọng trong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cơ chế phòng, chống rửa tiền, </w:t>
            </w:r>
            <w:r w:rsidRPr="004A7C38">
              <w:rPr>
                <w:rFonts w:ascii="Times New Roman" w:eastAsia="Times New Roman" w:hAnsi="Times New Roman" w:cs="Times New Roman"/>
                <w:sz w:val="24"/>
                <w:szCs w:val="24"/>
              </w:rPr>
              <w:t>tài trợ khủng bố và tài trợ phổ biến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vũ khí</w:t>
            </w:r>
            <w:r w:rsidRPr="004A7C38">
              <w:rPr>
                <w:rFonts w:ascii="Times New Roman" w:eastAsia="Times New Roman" w:hAnsi="Times New Roman" w:cs="Times New Roman"/>
                <w:sz w:val="24"/>
                <w:szCs w:val="24"/>
              </w:rPr>
              <w:t>. Đối với tất cả các quốc gia được xác định là có rủi ro cao, FATF kêu gọi tất cả các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quốc gia</w:t>
            </w:r>
            <w:r w:rsidRPr="004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thành viên và các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quốc gia khác </w:t>
            </w:r>
            <w:r w:rsidRPr="004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áp dụng biện pháp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đánh giá </w:t>
            </w:r>
            <w:r w:rsidR="00F576D0">
              <w:rPr>
                <w:rFonts w:ascii="Times New Roman" w:eastAsia="Times New Roman" w:hAnsi="Times New Roman" w:cs="Times New Roman"/>
                <w:sz w:val="24"/>
                <w:szCs w:val="24"/>
              </w:rPr>
              <w:t>tăng cường</w:t>
            </w:r>
            <w:r w:rsidRPr="004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trong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những </w:t>
            </w:r>
            <w:r w:rsidRPr="004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hợp nghiêm trọng nhất, các quốc gia được yêu cầu áp dụng các biện pháp đối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kháng </w:t>
            </w:r>
            <w:r w:rsidRPr="004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để bảo vệ hệ thống tài chính quốc tế khỏi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rủi ro </w:t>
            </w:r>
            <w:r w:rsidRPr="004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rửa tiền, tài trợ khủng bố và tài trợ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phổ biến vũ khí </w:t>
            </w:r>
            <w:r w:rsidRPr="004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(ML/TF/PF) từ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 quốc gia này</w:t>
            </w:r>
            <w:r w:rsidRPr="004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Danh sách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quốc gia này </w:t>
            </w:r>
            <w:r w:rsidRPr="004A7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thường được gọi là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4A7C38">
              <w:rPr>
                <w:rFonts w:ascii="Times New Roman" w:eastAsia="Times New Roman" w:hAnsi="Times New Roman" w:cs="Times New Roman"/>
                <w:sz w:val="24"/>
                <w:szCs w:val="24"/>
              </w:rPr>
              <w:t>danh sách đen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  <w:r w:rsidR="000F20D3" w:rsidRPr="000F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  </w:t>
            </w:r>
          </w:p>
        </w:tc>
      </w:tr>
    </w:tbl>
    <w:p w:rsidR="000F20D3" w:rsidRPr="000F20D3" w:rsidRDefault="000F20D3" w:rsidP="000F20D3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Calibri"/>
          <w:color w:val="333333"/>
          <w:sz w:val="40"/>
          <w:szCs w:val="40"/>
        </w:rPr>
      </w:pPr>
      <w:r w:rsidRPr="000F20D3">
        <w:rPr>
          <w:rFonts w:ascii="inherit" w:eastAsia="Times New Roman" w:hAnsi="inherit" w:cs="Calibri"/>
          <w:color w:val="333333"/>
          <w:sz w:val="40"/>
          <w:szCs w:val="40"/>
        </w:rPr>
        <w:t> </w:t>
      </w:r>
    </w:p>
    <w:p w:rsidR="000F20D3" w:rsidRPr="000F20D3" w:rsidRDefault="00C23E0A" w:rsidP="009D33D1">
      <w:pPr>
        <w:shd w:val="clear" w:color="auto" w:fill="FFFFFF"/>
        <w:spacing w:after="0" w:line="240" w:lineRule="auto"/>
        <w:jc w:val="both"/>
        <w:outlineLvl w:val="1"/>
        <w:rPr>
          <w:rFonts w:ascii="inherit" w:eastAsia="Times New Roman" w:hAnsi="inherit" w:cs="Calibri"/>
          <w:color w:val="333333"/>
          <w:sz w:val="40"/>
          <w:szCs w:val="40"/>
        </w:rPr>
      </w:pPr>
      <w:r>
        <w:rPr>
          <w:rFonts w:ascii="inherit" w:eastAsia="Times New Roman" w:hAnsi="inherit" w:cs="Calibri"/>
          <w:color w:val="333333"/>
          <w:sz w:val="40"/>
          <w:szCs w:val="40"/>
        </w:rPr>
        <w:t xml:space="preserve">Cộng hòa Dân chủ Nhân dân Triều Tiên </w:t>
      </w:r>
      <w:r w:rsidR="000F20D3" w:rsidRPr="000F20D3">
        <w:rPr>
          <w:rFonts w:ascii="inherit" w:eastAsia="Times New Roman" w:hAnsi="inherit" w:cs="Calibri"/>
          <w:color w:val="333333"/>
          <w:sz w:val="40"/>
          <w:szCs w:val="40"/>
        </w:rPr>
        <w:t>(DPRK)</w:t>
      </w:r>
    </w:p>
    <w:p w:rsidR="000F20D3" w:rsidRPr="000F20D3" w:rsidRDefault="00C23E0A" w:rsidP="009D33D1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1"/>
          <w:szCs w:val="21"/>
        </w:rPr>
      </w:pPr>
      <w:r w:rsidRPr="00C23E0A">
        <w:rPr>
          <w:rFonts w:ascii="Calibri" w:eastAsia="Times New Roman" w:hAnsi="Calibri" w:cs="Calibri"/>
          <w:color w:val="333333"/>
          <w:sz w:val="21"/>
          <w:szCs w:val="21"/>
        </w:rPr>
        <w:t xml:space="preserve">FATF vẫn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 xml:space="preserve">quan </w:t>
      </w:r>
      <w:r w:rsidR="00DF487D">
        <w:rPr>
          <w:rFonts w:ascii="Calibri" w:eastAsia="Times New Roman" w:hAnsi="Calibri" w:cs="Calibri"/>
          <w:color w:val="333333"/>
          <w:sz w:val="21"/>
          <w:szCs w:val="21"/>
        </w:rPr>
        <w:t>ngại về sự thất bại của DPRK</w:t>
      </w:r>
      <w:r w:rsidRPr="00C23E0A">
        <w:rPr>
          <w:rFonts w:ascii="Calibri" w:eastAsia="Times New Roman" w:hAnsi="Calibri" w:cs="Calibri"/>
          <w:color w:val="333333"/>
          <w:sz w:val="21"/>
          <w:szCs w:val="21"/>
        </w:rPr>
        <w:t xml:space="preserve"> trong việc giải quyết những thiếu </w:t>
      </w:r>
      <w:r w:rsidR="00DF487D">
        <w:rPr>
          <w:rFonts w:ascii="Calibri" w:eastAsia="Times New Roman" w:hAnsi="Calibri" w:cs="Calibri"/>
          <w:color w:val="333333"/>
          <w:sz w:val="21"/>
          <w:szCs w:val="21"/>
        </w:rPr>
        <w:t xml:space="preserve">hụt </w:t>
      </w:r>
      <w:r w:rsidRPr="00C23E0A">
        <w:rPr>
          <w:rFonts w:ascii="Calibri" w:eastAsia="Times New Roman" w:hAnsi="Calibri" w:cs="Calibri"/>
          <w:color w:val="333333"/>
          <w:sz w:val="21"/>
          <w:szCs w:val="21"/>
        </w:rPr>
        <w:t xml:space="preserve">đáng kể trong </w:t>
      </w:r>
      <w:r w:rsidR="00DF487D">
        <w:rPr>
          <w:rFonts w:ascii="Calibri" w:eastAsia="Times New Roman" w:hAnsi="Calibri" w:cs="Calibri"/>
          <w:color w:val="333333"/>
          <w:sz w:val="21"/>
          <w:szCs w:val="21"/>
        </w:rPr>
        <w:t xml:space="preserve">cơ chế phòng, </w:t>
      </w:r>
      <w:r w:rsidRPr="00C23E0A">
        <w:rPr>
          <w:rFonts w:ascii="Calibri" w:eastAsia="Times New Roman" w:hAnsi="Calibri" w:cs="Calibri"/>
          <w:color w:val="333333"/>
          <w:sz w:val="21"/>
          <w:szCs w:val="21"/>
        </w:rPr>
        <w:t xml:space="preserve">chống rửa tiền và tài trợ khủng bố (AML / CFT) và các mối đe dọa nghiêm trọng </w:t>
      </w:r>
      <w:r w:rsidR="003873B7">
        <w:rPr>
          <w:rFonts w:ascii="Calibri" w:eastAsia="Times New Roman" w:hAnsi="Calibri" w:cs="Calibri"/>
          <w:color w:val="333333"/>
          <w:sz w:val="21"/>
          <w:szCs w:val="21"/>
        </w:rPr>
        <w:t xml:space="preserve">mà những rủi ro này </w:t>
      </w:r>
      <w:r w:rsidRPr="00C23E0A">
        <w:rPr>
          <w:rFonts w:ascii="Calibri" w:eastAsia="Times New Roman" w:hAnsi="Calibri" w:cs="Calibri"/>
          <w:color w:val="333333"/>
          <w:sz w:val="21"/>
          <w:szCs w:val="21"/>
        </w:rPr>
        <w:t xml:space="preserve">gây ra cho sự toàn vẹn của hệ thống tài chính quốc tế. FATF kêu gọi DPRK giải quyết ngay lập tức và có </w:t>
      </w:r>
      <w:r w:rsidR="003873B7">
        <w:rPr>
          <w:rFonts w:ascii="Calibri" w:eastAsia="Times New Roman" w:hAnsi="Calibri" w:cs="Calibri"/>
          <w:color w:val="333333"/>
          <w:sz w:val="21"/>
          <w:szCs w:val="21"/>
        </w:rPr>
        <w:t>hiệu quả</w:t>
      </w:r>
      <w:r w:rsidRPr="00C23E0A">
        <w:rPr>
          <w:rFonts w:ascii="Calibri" w:eastAsia="Times New Roman" w:hAnsi="Calibri" w:cs="Calibri"/>
          <w:color w:val="333333"/>
          <w:sz w:val="21"/>
          <w:szCs w:val="21"/>
        </w:rPr>
        <w:t xml:space="preserve"> các thiếu </w:t>
      </w:r>
      <w:r w:rsidR="003873B7">
        <w:rPr>
          <w:rFonts w:ascii="Calibri" w:eastAsia="Times New Roman" w:hAnsi="Calibri" w:cs="Calibri"/>
          <w:color w:val="333333"/>
          <w:sz w:val="21"/>
          <w:szCs w:val="21"/>
        </w:rPr>
        <w:t>hụt về</w:t>
      </w:r>
      <w:r w:rsidRPr="00C23E0A">
        <w:rPr>
          <w:rFonts w:ascii="Calibri" w:eastAsia="Times New Roman" w:hAnsi="Calibri" w:cs="Calibri"/>
          <w:color w:val="333333"/>
          <w:sz w:val="21"/>
          <w:szCs w:val="21"/>
        </w:rPr>
        <w:t xml:space="preserve"> AML / CFT của mình. Hơn nữa, FATF quan ngại nghiêm trọng</w:t>
      </w:r>
      <w:r w:rsidR="003873B7">
        <w:rPr>
          <w:rFonts w:ascii="Calibri" w:eastAsia="Times New Roman" w:hAnsi="Calibri" w:cs="Calibri"/>
          <w:color w:val="333333"/>
          <w:sz w:val="21"/>
          <w:szCs w:val="21"/>
        </w:rPr>
        <w:t xml:space="preserve"> đối</w:t>
      </w:r>
      <w:r w:rsidRPr="00C23E0A">
        <w:rPr>
          <w:rFonts w:ascii="Calibri" w:eastAsia="Times New Roman" w:hAnsi="Calibri" w:cs="Calibri"/>
          <w:color w:val="333333"/>
          <w:sz w:val="21"/>
          <w:szCs w:val="21"/>
        </w:rPr>
        <w:t xml:space="preserve"> với mối đe dọa từ </w:t>
      </w:r>
      <w:r w:rsidR="003873B7">
        <w:rPr>
          <w:rFonts w:ascii="Calibri" w:eastAsia="Times New Roman" w:hAnsi="Calibri" w:cs="Calibri"/>
          <w:color w:val="333333"/>
          <w:sz w:val="21"/>
          <w:szCs w:val="21"/>
        </w:rPr>
        <w:t xml:space="preserve">các hoạt động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 xml:space="preserve">bất hợp </w:t>
      </w:r>
      <w:r w:rsidR="003873B7">
        <w:rPr>
          <w:rFonts w:ascii="Calibri" w:eastAsia="Times New Roman" w:hAnsi="Calibri" w:cs="Calibri"/>
          <w:color w:val="333333"/>
          <w:sz w:val="21"/>
          <w:szCs w:val="21"/>
        </w:rPr>
        <w:t>pháp của DPRK</w:t>
      </w:r>
      <w:r w:rsidRPr="00C23E0A">
        <w:rPr>
          <w:rFonts w:ascii="Calibri" w:eastAsia="Times New Roman" w:hAnsi="Calibri" w:cs="Calibri"/>
          <w:color w:val="333333"/>
          <w:sz w:val="21"/>
          <w:szCs w:val="21"/>
        </w:rPr>
        <w:t xml:space="preserve"> liên quan đến phổ biến vũ khí hủy diệt hàng loạt (WMD) và </w:t>
      </w:r>
      <w:r w:rsidR="003873B7">
        <w:rPr>
          <w:rFonts w:ascii="Calibri" w:eastAsia="Times New Roman" w:hAnsi="Calibri" w:cs="Calibri"/>
          <w:color w:val="333333"/>
          <w:sz w:val="21"/>
          <w:szCs w:val="21"/>
        </w:rPr>
        <w:t xml:space="preserve">tài trợ phổ biến vũ khí hủy diệt </w:t>
      </w:r>
      <w:r w:rsidR="00593ECF">
        <w:rPr>
          <w:rFonts w:ascii="Calibri" w:eastAsia="Times New Roman" w:hAnsi="Calibri" w:cs="Calibri"/>
          <w:color w:val="333333"/>
          <w:sz w:val="21"/>
          <w:szCs w:val="21"/>
        </w:rPr>
        <w:t>hàn</w:t>
      </w:r>
      <w:r w:rsidR="003873B7">
        <w:rPr>
          <w:rFonts w:ascii="Calibri" w:eastAsia="Times New Roman" w:hAnsi="Calibri" w:cs="Calibri"/>
          <w:color w:val="333333"/>
          <w:sz w:val="21"/>
          <w:szCs w:val="21"/>
        </w:rPr>
        <w:t>g loạt</w:t>
      </w:r>
      <w:r w:rsidRPr="00C23E0A">
        <w:rPr>
          <w:rFonts w:ascii="Calibri" w:eastAsia="Times New Roman" w:hAnsi="Calibri" w:cs="Calibri"/>
          <w:color w:val="333333"/>
          <w:sz w:val="21"/>
          <w:szCs w:val="21"/>
        </w:rPr>
        <w:t>.</w:t>
      </w:r>
    </w:p>
    <w:p w:rsidR="003873B7" w:rsidRDefault="003873B7" w:rsidP="009D33D1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1"/>
          <w:szCs w:val="21"/>
        </w:rPr>
      </w:pPr>
      <w:r w:rsidRPr="003873B7">
        <w:rPr>
          <w:rFonts w:ascii="Calibri" w:eastAsia="Times New Roman" w:hAnsi="Calibri" w:cs="Calibri"/>
          <w:color w:val="333333"/>
          <w:sz w:val="21"/>
          <w:szCs w:val="21"/>
        </w:rPr>
        <w:t xml:space="preserve">FATF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>tái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 khẳng định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 xml:space="preserve">quan điểm của mình nêu tại ngày 25/2/2011, </w:t>
      </w:r>
      <w:r w:rsidRPr="003873B7">
        <w:rPr>
          <w:rFonts w:ascii="Calibri" w:eastAsia="Times New Roman" w:hAnsi="Calibri" w:cs="Calibri"/>
          <w:color w:val="333333"/>
          <w:sz w:val="21"/>
          <w:szCs w:val="21"/>
        </w:rPr>
        <w:t xml:space="preserve">kêu gọi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các quốc gia </w:t>
      </w:r>
      <w:r w:rsidRPr="003873B7">
        <w:rPr>
          <w:rFonts w:ascii="Calibri" w:eastAsia="Times New Roman" w:hAnsi="Calibri" w:cs="Calibri"/>
          <w:color w:val="333333"/>
          <w:sz w:val="21"/>
          <w:szCs w:val="21"/>
        </w:rPr>
        <w:t xml:space="preserve">thành viên và tất cả các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quốc gia khác thông báo cho </w:t>
      </w:r>
      <w:r w:rsidRPr="003873B7">
        <w:rPr>
          <w:rFonts w:ascii="Calibri" w:eastAsia="Times New Roman" w:hAnsi="Calibri" w:cs="Calibri"/>
          <w:color w:val="333333"/>
          <w:sz w:val="21"/>
          <w:szCs w:val="21"/>
        </w:rPr>
        <w:t xml:space="preserve">các tổ chức tài chính của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mình </w:t>
      </w:r>
      <w:r w:rsidRPr="003873B7">
        <w:rPr>
          <w:rFonts w:ascii="Calibri" w:eastAsia="Times New Roman" w:hAnsi="Calibri" w:cs="Calibri"/>
          <w:color w:val="333333"/>
          <w:sz w:val="21"/>
          <w:szCs w:val="21"/>
        </w:rPr>
        <w:t xml:space="preserve">đặc biệt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lưu ý </w:t>
      </w:r>
      <w:r w:rsidRPr="003873B7">
        <w:rPr>
          <w:rFonts w:ascii="Calibri" w:eastAsia="Times New Roman" w:hAnsi="Calibri" w:cs="Calibri"/>
          <w:color w:val="333333"/>
          <w:sz w:val="21"/>
          <w:szCs w:val="21"/>
        </w:rPr>
        <w:t xml:space="preserve">đến các mối quan hệ kinh doanh và giao dịch với DPRK, bao gồm các công ty DPRK, tổ chức tài chính và những người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>đại diện</w:t>
      </w:r>
      <w:r w:rsidRPr="003873B7">
        <w:rPr>
          <w:rFonts w:ascii="Calibri" w:eastAsia="Times New Roman" w:hAnsi="Calibri" w:cs="Calibri"/>
          <w:color w:val="333333"/>
          <w:sz w:val="21"/>
          <w:szCs w:val="21"/>
        </w:rPr>
        <w:t xml:space="preserve"> </w:t>
      </w:r>
      <w:r>
        <w:rPr>
          <w:rFonts w:ascii="Calibri" w:eastAsia="Times New Roman" w:hAnsi="Calibri" w:cs="Calibri"/>
          <w:color w:val="333333"/>
          <w:sz w:val="21"/>
          <w:szCs w:val="21"/>
        </w:rPr>
        <w:t>các tổ chức này</w:t>
      </w:r>
      <w:r w:rsidRPr="003873B7">
        <w:rPr>
          <w:rFonts w:ascii="Calibri" w:eastAsia="Times New Roman" w:hAnsi="Calibri" w:cs="Calibri"/>
          <w:color w:val="333333"/>
          <w:sz w:val="21"/>
          <w:szCs w:val="21"/>
        </w:rPr>
        <w:t xml:space="preserve">. Ngoài việc tăng cường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>kiểm soát</w:t>
      </w:r>
      <w:r w:rsidRPr="003873B7">
        <w:rPr>
          <w:rFonts w:ascii="Calibri" w:eastAsia="Times New Roman" w:hAnsi="Calibri" w:cs="Calibri"/>
          <w:color w:val="333333"/>
          <w:sz w:val="21"/>
          <w:szCs w:val="21"/>
        </w:rPr>
        <w:t xml:space="preserve">, FATF còn kêu gọi các </w:t>
      </w:r>
      <w:r w:rsidR="00A87864">
        <w:rPr>
          <w:rFonts w:ascii="Calibri" w:eastAsia="Times New Roman" w:hAnsi="Calibri" w:cs="Calibri"/>
          <w:color w:val="333333"/>
          <w:sz w:val="21"/>
          <w:szCs w:val="21"/>
        </w:rPr>
        <w:t xml:space="preserve">quốc gia </w:t>
      </w:r>
      <w:r w:rsidRPr="003873B7">
        <w:rPr>
          <w:rFonts w:ascii="Calibri" w:eastAsia="Times New Roman" w:hAnsi="Calibri" w:cs="Calibri"/>
          <w:color w:val="333333"/>
          <w:sz w:val="21"/>
          <w:szCs w:val="21"/>
        </w:rPr>
        <w:t xml:space="preserve">thành viên và tất cả các </w:t>
      </w:r>
      <w:r w:rsidR="00A87864">
        <w:rPr>
          <w:rFonts w:ascii="Calibri" w:eastAsia="Times New Roman" w:hAnsi="Calibri" w:cs="Calibri"/>
          <w:color w:val="333333"/>
          <w:sz w:val="21"/>
          <w:szCs w:val="21"/>
        </w:rPr>
        <w:t xml:space="preserve">quốc gia khác </w:t>
      </w:r>
      <w:r w:rsidRPr="003873B7">
        <w:rPr>
          <w:rFonts w:ascii="Calibri" w:eastAsia="Times New Roman" w:hAnsi="Calibri" w:cs="Calibri"/>
          <w:color w:val="333333"/>
          <w:sz w:val="21"/>
          <w:szCs w:val="21"/>
        </w:rPr>
        <w:t xml:space="preserve">áp dụng các biện pháp đối </w:t>
      </w:r>
      <w:r w:rsidR="00A87864">
        <w:rPr>
          <w:rFonts w:ascii="Calibri" w:eastAsia="Times New Roman" w:hAnsi="Calibri" w:cs="Calibri"/>
          <w:color w:val="333333"/>
          <w:sz w:val="21"/>
          <w:szCs w:val="21"/>
        </w:rPr>
        <w:t xml:space="preserve">kháng </w:t>
      </w:r>
      <w:r w:rsidRPr="003873B7">
        <w:rPr>
          <w:rFonts w:ascii="Calibri" w:eastAsia="Times New Roman" w:hAnsi="Calibri" w:cs="Calibri"/>
          <w:color w:val="333333"/>
          <w:sz w:val="21"/>
          <w:szCs w:val="21"/>
        </w:rPr>
        <w:t xml:space="preserve">hiệu quả và trừng phạt tài chính theo các Nghị quyết </w:t>
      </w:r>
      <w:r w:rsidR="00A87864">
        <w:rPr>
          <w:rFonts w:ascii="Calibri" w:eastAsia="Times New Roman" w:hAnsi="Calibri" w:cs="Calibri"/>
          <w:color w:val="333333"/>
          <w:sz w:val="21"/>
          <w:szCs w:val="21"/>
        </w:rPr>
        <w:t xml:space="preserve">hiện hành </w:t>
      </w:r>
      <w:r w:rsidRPr="003873B7">
        <w:rPr>
          <w:rFonts w:ascii="Calibri" w:eastAsia="Times New Roman" w:hAnsi="Calibri" w:cs="Calibri"/>
          <w:color w:val="333333"/>
          <w:sz w:val="21"/>
          <w:szCs w:val="21"/>
        </w:rPr>
        <w:t xml:space="preserve">của Hội đồng Bảo an Liên Hợp Quốc, để bảo vệ các lĩnh vực tài chính của </w:t>
      </w:r>
      <w:r w:rsidR="00EC5323">
        <w:rPr>
          <w:rFonts w:ascii="Calibri" w:eastAsia="Times New Roman" w:hAnsi="Calibri" w:cs="Calibri"/>
          <w:color w:val="333333"/>
          <w:sz w:val="21"/>
          <w:szCs w:val="21"/>
        </w:rPr>
        <w:t xml:space="preserve">mình </w:t>
      </w:r>
      <w:r w:rsidRPr="003873B7">
        <w:rPr>
          <w:rFonts w:ascii="Calibri" w:eastAsia="Times New Roman" w:hAnsi="Calibri" w:cs="Calibri"/>
          <w:color w:val="333333"/>
          <w:sz w:val="21"/>
          <w:szCs w:val="21"/>
        </w:rPr>
        <w:t xml:space="preserve">khỏi rửa tiền, tài trợ cho khủng bố và rủi ro </w:t>
      </w:r>
      <w:r w:rsidR="00EC5323">
        <w:rPr>
          <w:rFonts w:ascii="Calibri" w:eastAsia="Times New Roman" w:hAnsi="Calibri" w:cs="Calibri"/>
          <w:color w:val="333333"/>
          <w:sz w:val="21"/>
          <w:szCs w:val="21"/>
        </w:rPr>
        <w:t xml:space="preserve">tài trợ phổ biến </w:t>
      </w:r>
      <w:r w:rsidRPr="003873B7">
        <w:rPr>
          <w:rFonts w:ascii="Calibri" w:eastAsia="Times New Roman" w:hAnsi="Calibri" w:cs="Calibri"/>
          <w:color w:val="333333"/>
          <w:sz w:val="21"/>
          <w:szCs w:val="21"/>
        </w:rPr>
        <w:t xml:space="preserve">WMD (ML/TF/PF) từ DPRK. Các </w:t>
      </w:r>
      <w:r w:rsidR="00EC5323">
        <w:rPr>
          <w:rFonts w:ascii="Calibri" w:eastAsia="Times New Roman" w:hAnsi="Calibri" w:cs="Calibri"/>
          <w:color w:val="333333"/>
          <w:sz w:val="21"/>
          <w:szCs w:val="21"/>
        </w:rPr>
        <w:t xml:space="preserve">quốc gia </w:t>
      </w:r>
      <w:r w:rsidRPr="003873B7">
        <w:rPr>
          <w:rFonts w:ascii="Calibri" w:eastAsia="Times New Roman" w:hAnsi="Calibri" w:cs="Calibri"/>
          <w:color w:val="333333"/>
          <w:sz w:val="21"/>
          <w:szCs w:val="21"/>
        </w:rPr>
        <w:t xml:space="preserve">cần thực hiện các biện pháp cần thiết </w:t>
      </w:r>
      <w:r w:rsidR="00EC5323">
        <w:rPr>
          <w:rFonts w:ascii="Calibri" w:eastAsia="Times New Roman" w:hAnsi="Calibri" w:cs="Calibri"/>
          <w:color w:val="333333"/>
          <w:sz w:val="21"/>
          <w:szCs w:val="21"/>
        </w:rPr>
        <w:t xml:space="preserve">nhằm </w:t>
      </w:r>
      <w:r w:rsidRPr="003873B7">
        <w:rPr>
          <w:rFonts w:ascii="Calibri" w:eastAsia="Times New Roman" w:hAnsi="Calibri" w:cs="Calibri"/>
          <w:color w:val="333333"/>
          <w:sz w:val="21"/>
          <w:szCs w:val="21"/>
        </w:rPr>
        <w:t xml:space="preserve">đóng cửa các chi nhánh, công ty con và văn phòng đại diện của các ngân hàng DPRK trong lãnh thổ của </w:t>
      </w:r>
      <w:r w:rsidR="00EC5323">
        <w:rPr>
          <w:rFonts w:ascii="Calibri" w:eastAsia="Times New Roman" w:hAnsi="Calibri" w:cs="Calibri"/>
          <w:color w:val="333333"/>
          <w:sz w:val="21"/>
          <w:szCs w:val="21"/>
        </w:rPr>
        <w:t xml:space="preserve">mình </w:t>
      </w:r>
      <w:r w:rsidRPr="003873B7">
        <w:rPr>
          <w:rFonts w:ascii="Calibri" w:eastAsia="Times New Roman" w:hAnsi="Calibri" w:cs="Calibri"/>
          <w:color w:val="333333"/>
          <w:sz w:val="21"/>
          <w:szCs w:val="21"/>
        </w:rPr>
        <w:t xml:space="preserve">và chấm dứt mối quan hệ </w:t>
      </w:r>
      <w:r w:rsidR="00EC5323">
        <w:rPr>
          <w:rFonts w:ascii="Calibri" w:eastAsia="Times New Roman" w:hAnsi="Calibri" w:cs="Calibri"/>
          <w:color w:val="333333"/>
          <w:sz w:val="21"/>
          <w:szCs w:val="21"/>
        </w:rPr>
        <w:t xml:space="preserve">kinh doanh </w:t>
      </w:r>
      <w:r w:rsidRPr="003873B7">
        <w:rPr>
          <w:rFonts w:ascii="Calibri" w:eastAsia="Times New Roman" w:hAnsi="Calibri" w:cs="Calibri"/>
          <w:color w:val="333333"/>
          <w:sz w:val="21"/>
          <w:szCs w:val="21"/>
        </w:rPr>
        <w:t xml:space="preserve">với các ngân hàng DPRK, theo yêu cầu của các nghị quyết </w:t>
      </w:r>
      <w:r w:rsidR="00EC5323">
        <w:rPr>
          <w:rFonts w:ascii="Calibri" w:eastAsia="Times New Roman" w:hAnsi="Calibri" w:cs="Calibri"/>
          <w:color w:val="333333"/>
          <w:sz w:val="21"/>
          <w:szCs w:val="21"/>
        </w:rPr>
        <w:t xml:space="preserve">có </w:t>
      </w:r>
      <w:r w:rsidRPr="003873B7">
        <w:rPr>
          <w:rFonts w:ascii="Calibri" w:eastAsia="Times New Roman" w:hAnsi="Calibri" w:cs="Calibri"/>
          <w:color w:val="333333"/>
          <w:sz w:val="21"/>
          <w:szCs w:val="21"/>
        </w:rPr>
        <w:t>liên quan của UNSC.</w:t>
      </w:r>
    </w:p>
    <w:p w:rsidR="000F20D3" w:rsidRPr="000F20D3" w:rsidRDefault="000F20D3" w:rsidP="009D33D1">
      <w:pPr>
        <w:shd w:val="clear" w:color="auto" w:fill="FFFFFF"/>
        <w:spacing w:after="0" w:line="240" w:lineRule="auto"/>
        <w:jc w:val="both"/>
        <w:outlineLvl w:val="1"/>
        <w:rPr>
          <w:rFonts w:ascii="inherit" w:eastAsia="Times New Roman" w:hAnsi="inherit" w:cs="Calibri"/>
          <w:color w:val="333333"/>
          <w:sz w:val="40"/>
          <w:szCs w:val="40"/>
        </w:rPr>
      </w:pPr>
      <w:r w:rsidRPr="000F20D3">
        <w:rPr>
          <w:rFonts w:ascii="inherit" w:eastAsia="Times New Roman" w:hAnsi="inherit" w:cs="Calibri"/>
          <w:color w:val="333333"/>
          <w:sz w:val="40"/>
          <w:szCs w:val="40"/>
        </w:rPr>
        <w:t>Iran</w:t>
      </w:r>
      <w:bookmarkStart w:id="0" w:name="_GoBack"/>
      <w:bookmarkEnd w:id="0"/>
    </w:p>
    <w:p w:rsidR="000F20D3" w:rsidRPr="000F20D3" w:rsidRDefault="00EC5323" w:rsidP="009D33D1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1"/>
          <w:szCs w:val="21"/>
        </w:rPr>
      </w:pPr>
      <w:r>
        <w:rPr>
          <w:rFonts w:ascii="Calibri" w:eastAsia="Times New Roman" w:hAnsi="Calibri" w:cs="Calibri"/>
          <w:color w:val="333333"/>
          <w:sz w:val="21"/>
          <w:szCs w:val="21"/>
        </w:rPr>
        <w:t>T</w:t>
      </w:r>
      <w:r w:rsidRPr="00EC5323">
        <w:rPr>
          <w:rFonts w:ascii="Calibri" w:eastAsia="Times New Roman" w:hAnsi="Calibri" w:cs="Calibri"/>
          <w:color w:val="333333"/>
          <w:sz w:val="21"/>
          <w:szCs w:val="21"/>
        </w:rPr>
        <w:t xml:space="preserve">háng 6 năm 2016, Iran cam kết giải quyết các thiếu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hụt </w:t>
      </w:r>
      <w:r w:rsidRPr="00EC5323">
        <w:rPr>
          <w:rFonts w:ascii="Calibri" w:eastAsia="Times New Roman" w:hAnsi="Calibri" w:cs="Calibri"/>
          <w:color w:val="333333"/>
          <w:sz w:val="21"/>
          <w:szCs w:val="21"/>
        </w:rPr>
        <w:t xml:space="preserve">chiến lược của mình. Kế hoạch hành động của Iran đã hết hạn vào tháng 1 năm 2018. Vào tháng 2 năm 2020, FATF lưu ý Iran chưa hoàn thành kế hoạch hành động. </w:t>
      </w:r>
      <w:hyperlink r:id="rId6" w:anchor="fn1" w:history="1">
        <w:r w:rsidR="000F20D3" w:rsidRPr="000F20D3">
          <w:rPr>
            <w:rFonts w:ascii="Calibri" w:eastAsia="Times New Roman" w:hAnsi="Calibri" w:cs="Calibri"/>
            <w:color w:val="0090B4"/>
            <w:sz w:val="21"/>
            <w:szCs w:val="21"/>
            <w:u w:val="single"/>
          </w:rPr>
          <w:t>[1]</w:t>
        </w:r>
      </w:hyperlink>
    </w:p>
    <w:p w:rsidR="000F20D3" w:rsidRPr="000F20D3" w:rsidRDefault="00BC39C9" w:rsidP="009D33D1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1"/>
          <w:szCs w:val="21"/>
        </w:rPr>
      </w:pPr>
      <w:r w:rsidRPr="00BC39C9">
        <w:rPr>
          <w:rFonts w:ascii="Calibri" w:eastAsia="Times New Roman" w:hAnsi="Calibri" w:cs="Calibri"/>
          <w:color w:val="333333"/>
          <w:sz w:val="21"/>
          <w:szCs w:val="21"/>
        </w:rPr>
        <w:t xml:space="preserve">Vào tháng 10 năm 2019, FATF đã kêu gọi các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quốc gia </w:t>
      </w:r>
      <w:r w:rsidRPr="00BC39C9">
        <w:rPr>
          <w:rFonts w:ascii="Calibri" w:eastAsia="Times New Roman" w:hAnsi="Calibri" w:cs="Calibri"/>
          <w:color w:val="333333"/>
          <w:sz w:val="21"/>
          <w:szCs w:val="21"/>
        </w:rPr>
        <w:t xml:space="preserve">thành viên và tất cả các </w:t>
      </w:r>
      <w:r>
        <w:rPr>
          <w:rFonts w:ascii="Calibri" w:eastAsia="Times New Roman" w:hAnsi="Calibri" w:cs="Calibri"/>
          <w:color w:val="333333"/>
          <w:sz w:val="21"/>
          <w:szCs w:val="21"/>
        </w:rPr>
        <w:t>quốc gia khác</w:t>
      </w:r>
      <w:r w:rsidRPr="00BC39C9">
        <w:rPr>
          <w:rFonts w:ascii="Calibri" w:eastAsia="Times New Roman" w:hAnsi="Calibri" w:cs="Calibri"/>
          <w:color w:val="333333"/>
          <w:sz w:val="21"/>
          <w:szCs w:val="21"/>
        </w:rPr>
        <w:t xml:space="preserve">: yêu cầu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tăng cường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>thanh tra</w:t>
      </w:r>
      <w:r w:rsidRPr="00BC39C9">
        <w:rPr>
          <w:rFonts w:ascii="Calibri" w:eastAsia="Times New Roman" w:hAnsi="Calibri" w:cs="Calibri"/>
          <w:color w:val="333333"/>
          <w:sz w:val="21"/>
          <w:szCs w:val="21"/>
        </w:rPr>
        <w:t xml:space="preserve"> giám sát đối với các chi nhánh và công ty con của các tổ chức tài chính có trụ sở tại Iran;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ban hành </w:t>
      </w:r>
      <w:r w:rsidRPr="00BC39C9">
        <w:rPr>
          <w:rFonts w:ascii="Calibri" w:eastAsia="Times New Roman" w:hAnsi="Calibri" w:cs="Calibri"/>
          <w:color w:val="333333"/>
          <w:sz w:val="21"/>
          <w:szCs w:val="21"/>
        </w:rPr>
        <w:t xml:space="preserve">các cơ chế báo cáo hoặc báo cáo hệ thống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 xml:space="preserve">tăng cường </w:t>
      </w:r>
      <w:r w:rsidRPr="00BC39C9">
        <w:rPr>
          <w:rFonts w:ascii="Calibri" w:eastAsia="Times New Roman" w:hAnsi="Calibri" w:cs="Calibri"/>
          <w:color w:val="333333"/>
          <w:sz w:val="21"/>
          <w:szCs w:val="21"/>
        </w:rPr>
        <w:t xml:space="preserve">về các giao dịch tài chính; và yêu cầu tăng </w:t>
      </w:r>
      <w:r w:rsidR="00F47FED">
        <w:rPr>
          <w:rFonts w:ascii="Calibri" w:eastAsia="Times New Roman" w:hAnsi="Calibri" w:cs="Calibri"/>
          <w:color w:val="333333"/>
          <w:sz w:val="21"/>
          <w:szCs w:val="21"/>
        </w:rPr>
        <w:t xml:space="preserve">cường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 xml:space="preserve">việc </w:t>
      </w:r>
      <w:r w:rsidRPr="00BC39C9">
        <w:rPr>
          <w:rFonts w:ascii="Calibri" w:eastAsia="Times New Roman" w:hAnsi="Calibri" w:cs="Calibri"/>
          <w:color w:val="333333"/>
          <w:sz w:val="21"/>
          <w:szCs w:val="21"/>
        </w:rPr>
        <w:t xml:space="preserve">kiểm toán </w:t>
      </w:r>
      <w:r w:rsidR="00F47FED">
        <w:rPr>
          <w:rFonts w:ascii="Calibri" w:eastAsia="Times New Roman" w:hAnsi="Calibri" w:cs="Calibri"/>
          <w:color w:val="333333"/>
          <w:sz w:val="21"/>
          <w:szCs w:val="21"/>
        </w:rPr>
        <w:t xml:space="preserve">độc lập đối với các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 xml:space="preserve">tập đoàn </w:t>
      </w:r>
      <w:r w:rsidR="00F47FED">
        <w:rPr>
          <w:rFonts w:ascii="Calibri" w:eastAsia="Times New Roman" w:hAnsi="Calibri" w:cs="Calibri"/>
          <w:color w:val="333333"/>
          <w:sz w:val="21"/>
          <w:szCs w:val="21"/>
        </w:rPr>
        <w:t>tài chính liên quan tới</w:t>
      </w:r>
      <w:r w:rsidRPr="00BC39C9">
        <w:rPr>
          <w:rFonts w:ascii="Calibri" w:eastAsia="Times New Roman" w:hAnsi="Calibri" w:cs="Calibri"/>
          <w:color w:val="333333"/>
          <w:sz w:val="21"/>
          <w:szCs w:val="21"/>
        </w:rPr>
        <w:t xml:space="preserve"> bất kỳ chi nhánh và công ty con nào ở Iran.</w:t>
      </w:r>
    </w:p>
    <w:p w:rsidR="000F20D3" w:rsidRPr="000F20D3" w:rsidRDefault="00F47FED" w:rsidP="009D33D1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1"/>
          <w:szCs w:val="21"/>
        </w:rPr>
      </w:pPr>
      <w:r>
        <w:rPr>
          <w:rFonts w:ascii="Calibri" w:eastAsia="Times New Roman" w:hAnsi="Calibri" w:cs="Calibri"/>
          <w:color w:val="333333"/>
          <w:sz w:val="21"/>
          <w:szCs w:val="21"/>
        </w:rPr>
        <w:t>Hiện tại</w:t>
      </w:r>
      <w:r w:rsidRPr="00F47FED">
        <w:rPr>
          <w:rFonts w:ascii="Calibri" w:eastAsia="Times New Roman" w:hAnsi="Calibri" w:cs="Calibri"/>
          <w:color w:val="333333"/>
          <w:sz w:val="21"/>
          <w:szCs w:val="21"/>
        </w:rPr>
        <w:t xml:space="preserve">, do Iran không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tham gia Công ước Palermo và Công ước chống tài trợ khủng bố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>theo yêu cầu của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 Chuẩn mực FATF</w:t>
      </w:r>
      <w:r w:rsidRPr="00F47FED">
        <w:rPr>
          <w:rFonts w:ascii="Calibri" w:eastAsia="Times New Roman" w:hAnsi="Calibri" w:cs="Calibri"/>
          <w:color w:val="333333"/>
          <w:sz w:val="21"/>
          <w:szCs w:val="21"/>
        </w:rPr>
        <w:t xml:space="preserve">,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vì vậy, </w:t>
      </w:r>
      <w:r w:rsidRPr="00F47FED">
        <w:rPr>
          <w:rFonts w:ascii="Calibri" w:eastAsia="Times New Roman" w:hAnsi="Calibri" w:cs="Calibri"/>
          <w:color w:val="333333"/>
          <w:sz w:val="21"/>
          <w:szCs w:val="21"/>
        </w:rPr>
        <w:t xml:space="preserve">việc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 xml:space="preserve">FATF </w:t>
      </w:r>
      <w:r w:rsidRPr="00F47FED">
        <w:rPr>
          <w:rFonts w:ascii="Calibri" w:eastAsia="Times New Roman" w:hAnsi="Calibri" w:cs="Calibri"/>
          <w:color w:val="333333"/>
          <w:sz w:val="21"/>
          <w:szCs w:val="21"/>
        </w:rPr>
        <w:t xml:space="preserve">đình chỉ các biện pháp đối </w:t>
      </w:r>
      <w:r w:rsidR="007427BE">
        <w:rPr>
          <w:rFonts w:ascii="Calibri" w:eastAsia="Times New Roman" w:hAnsi="Calibri" w:cs="Calibri"/>
          <w:color w:val="333333"/>
          <w:sz w:val="21"/>
          <w:szCs w:val="21"/>
        </w:rPr>
        <w:t xml:space="preserve">kháng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 xml:space="preserve">sẽ bị dỡ bỏ </w:t>
      </w:r>
      <w:r w:rsidRPr="00F47FED">
        <w:rPr>
          <w:rFonts w:ascii="Calibri" w:eastAsia="Times New Roman" w:hAnsi="Calibri" w:cs="Calibri"/>
          <w:color w:val="333333"/>
          <w:sz w:val="21"/>
          <w:szCs w:val="21"/>
        </w:rPr>
        <w:t xml:space="preserve">và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 xml:space="preserve">FATF </w:t>
      </w:r>
      <w:r w:rsidR="007427BE">
        <w:rPr>
          <w:rFonts w:ascii="Calibri" w:eastAsia="Times New Roman" w:hAnsi="Calibri" w:cs="Calibri"/>
          <w:color w:val="333333"/>
          <w:sz w:val="21"/>
          <w:szCs w:val="21"/>
        </w:rPr>
        <w:t xml:space="preserve">yêu cầu </w:t>
      </w:r>
      <w:r w:rsidRPr="00F47FED">
        <w:rPr>
          <w:rFonts w:ascii="Calibri" w:eastAsia="Times New Roman" w:hAnsi="Calibri" w:cs="Calibri"/>
          <w:color w:val="333333"/>
          <w:sz w:val="21"/>
          <w:szCs w:val="21"/>
        </w:rPr>
        <w:t xml:space="preserve">các </w:t>
      </w:r>
      <w:r w:rsidR="007427BE">
        <w:rPr>
          <w:rFonts w:ascii="Calibri" w:eastAsia="Times New Roman" w:hAnsi="Calibri" w:cs="Calibri"/>
          <w:color w:val="333333"/>
          <w:sz w:val="21"/>
          <w:szCs w:val="21"/>
        </w:rPr>
        <w:t xml:space="preserve">quốc gia thành viên </w:t>
      </w:r>
      <w:r w:rsidRPr="00F47FED">
        <w:rPr>
          <w:rFonts w:ascii="Calibri" w:eastAsia="Times New Roman" w:hAnsi="Calibri" w:cs="Calibri"/>
          <w:color w:val="333333"/>
          <w:sz w:val="21"/>
          <w:szCs w:val="21"/>
        </w:rPr>
        <w:t xml:space="preserve">và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>kêu gọi</w:t>
      </w:r>
      <w:r w:rsidRPr="00F47FED">
        <w:rPr>
          <w:rFonts w:ascii="Calibri" w:eastAsia="Times New Roman" w:hAnsi="Calibri" w:cs="Calibri"/>
          <w:color w:val="333333"/>
          <w:sz w:val="21"/>
          <w:szCs w:val="21"/>
        </w:rPr>
        <w:t xml:space="preserve"> tất cả các </w:t>
      </w:r>
      <w:r w:rsidR="007427BE">
        <w:rPr>
          <w:rFonts w:ascii="Calibri" w:eastAsia="Times New Roman" w:hAnsi="Calibri" w:cs="Calibri"/>
          <w:color w:val="333333"/>
          <w:sz w:val="21"/>
          <w:szCs w:val="21"/>
        </w:rPr>
        <w:t xml:space="preserve">quốc gia khác </w:t>
      </w:r>
      <w:r w:rsidRPr="00F47FED">
        <w:rPr>
          <w:rFonts w:ascii="Calibri" w:eastAsia="Times New Roman" w:hAnsi="Calibri" w:cs="Calibri"/>
          <w:color w:val="333333"/>
          <w:sz w:val="21"/>
          <w:szCs w:val="21"/>
        </w:rPr>
        <w:t xml:space="preserve">áp dụng các biện pháp đối </w:t>
      </w:r>
      <w:r w:rsidR="007427BE">
        <w:rPr>
          <w:rFonts w:ascii="Calibri" w:eastAsia="Times New Roman" w:hAnsi="Calibri" w:cs="Calibri"/>
          <w:color w:val="333333"/>
          <w:sz w:val="21"/>
          <w:szCs w:val="21"/>
        </w:rPr>
        <w:t xml:space="preserve">kháng </w:t>
      </w:r>
      <w:r w:rsidRPr="00F47FED">
        <w:rPr>
          <w:rFonts w:ascii="Calibri" w:eastAsia="Times New Roman" w:hAnsi="Calibri" w:cs="Calibri"/>
          <w:color w:val="333333"/>
          <w:sz w:val="21"/>
          <w:szCs w:val="21"/>
        </w:rPr>
        <w:t>hiệu quả, phù hợp với Khuyến nghị 19.</w:t>
      </w:r>
      <w:hyperlink r:id="rId7" w:anchor="fn2" w:history="1">
        <w:r w:rsidR="000F20D3" w:rsidRPr="000F20D3">
          <w:rPr>
            <w:rFonts w:ascii="Calibri" w:eastAsia="Times New Roman" w:hAnsi="Calibri" w:cs="Calibri"/>
            <w:color w:val="0090B4"/>
            <w:sz w:val="21"/>
            <w:szCs w:val="21"/>
            <w:u w:val="single"/>
          </w:rPr>
          <w:t>[2]</w:t>
        </w:r>
      </w:hyperlink>
    </w:p>
    <w:p w:rsidR="007427BE" w:rsidRDefault="007427BE" w:rsidP="009D33D1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1"/>
          <w:szCs w:val="21"/>
        </w:rPr>
      </w:pPr>
      <w:r w:rsidRPr="007427BE">
        <w:rPr>
          <w:rFonts w:ascii="Calibri" w:eastAsia="Times New Roman" w:hAnsi="Calibri" w:cs="Calibri"/>
          <w:color w:val="333333"/>
          <w:sz w:val="21"/>
          <w:szCs w:val="21"/>
        </w:rPr>
        <w:t xml:space="preserve">Iran sẽ vẫn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ở trong danh sách công khai </w:t>
      </w:r>
      <w:r w:rsidRPr="007427BE">
        <w:rPr>
          <w:rFonts w:ascii="Calibri" w:eastAsia="Times New Roman" w:hAnsi="Calibri" w:cs="Calibri"/>
          <w:color w:val="333333"/>
          <w:sz w:val="21"/>
          <w:szCs w:val="21"/>
        </w:rPr>
        <w:t>của FATF [</w:t>
      </w:r>
      <w:r w:rsidR="00500E20">
        <w:rPr>
          <w:rFonts w:ascii="Calibri" w:eastAsia="Times New Roman" w:hAnsi="Calibri" w:cs="Calibri"/>
          <w:color w:val="333333"/>
          <w:sz w:val="21"/>
          <w:szCs w:val="21"/>
        </w:rPr>
        <w:t xml:space="preserve">Các quốc gia có rủi ro cao bị áp đặt các biện pháp đối kháng) </w:t>
      </w:r>
      <w:r w:rsidRPr="007427BE">
        <w:rPr>
          <w:rFonts w:ascii="Calibri" w:eastAsia="Times New Roman" w:hAnsi="Calibri" w:cs="Calibri"/>
          <w:color w:val="333333"/>
          <w:sz w:val="21"/>
          <w:szCs w:val="21"/>
        </w:rPr>
        <w:t xml:space="preserve">cho đến khi </w:t>
      </w:r>
      <w:r w:rsidR="00500E20">
        <w:rPr>
          <w:rFonts w:ascii="Calibri" w:eastAsia="Times New Roman" w:hAnsi="Calibri" w:cs="Calibri"/>
          <w:color w:val="333333"/>
          <w:sz w:val="21"/>
          <w:szCs w:val="21"/>
        </w:rPr>
        <w:t xml:space="preserve">Iran hoàn thành </w:t>
      </w:r>
      <w:r w:rsidRPr="007427BE">
        <w:rPr>
          <w:rFonts w:ascii="Calibri" w:eastAsia="Times New Roman" w:hAnsi="Calibri" w:cs="Calibri"/>
          <w:color w:val="333333"/>
          <w:sz w:val="21"/>
          <w:szCs w:val="21"/>
        </w:rPr>
        <w:t xml:space="preserve">Kế hoạch hành động. Nếu Iran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>phê chuẩn</w:t>
      </w:r>
      <w:r w:rsidR="00C864B6">
        <w:rPr>
          <w:rFonts w:ascii="Calibri" w:eastAsia="Times New Roman" w:hAnsi="Calibri" w:cs="Calibri"/>
          <w:color w:val="333333"/>
          <w:sz w:val="21"/>
          <w:szCs w:val="21"/>
        </w:rPr>
        <w:t xml:space="preserve"> Công ước Palermo và </w:t>
      </w:r>
      <w:r w:rsidRPr="007427BE">
        <w:rPr>
          <w:rFonts w:ascii="Calibri" w:eastAsia="Times New Roman" w:hAnsi="Calibri" w:cs="Calibri"/>
          <w:color w:val="333333"/>
          <w:sz w:val="21"/>
          <w:szCs w:val="21"/>
        </w:rPr>
        <w:t xml:space="preserve">Công ước </w:t>
      </w:r>
      <w:r w:rsidR="00C864B6">
        <w:rPr>
          <w:rFonts w:ascii="Calibri" w:eastAsia="Times New Roman" w:hAnsi="Calibri" w:cs="Calibri"/>
          <w:color w:val="333333"/>
          <w:sz w:val="21"/>
          <w:szCs w:val="21"/>
        </w:rPr>
        <w:t>chống tài trợ khủng bố</w:t>
      </w:r>
      <w:r w:rsidRPr="007427BE">
        <w:rPr>
          <w:rFonts w:ascii="Calibri" w:eastAsia="Times New Roman" w:hAnsi="Calibri" w:cs="Calibri"/>
          <w:color w:val="333333"/>
          <w:sz w:val="21"/>
          <w:szCs w:val="21"/>
        </w:rPr>
        <w:t xml:space="preserve">,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>phù hợp với chuẩn mực</w:t>
      </w:r>
      <w:r w:rsidRPr="007427BE">
        <w:rPr>
          <w:rFonts w:ascii="Calibri" w:eastAsia="Times New Roman" w:hAnsi="Calibri" w:cs="Calibri"/>
          <w:color w:val="333333"/>
          <w:sz w:val="21"/>
          <w:szCs w:val="21"/>
        </w:rPr>
        <w:t xml:space="preserve"> của FATF, thì FATF sẽ </w:t>
      </w:r>
      <w:r w:rsidR="00C864B6">
        <w:rPr>
          <w:rFonts w:ascii="Calibri" w:eastAsia="Times New Roman" w:hAnsi="Calibri" w:cs="Calibri"/>
          <w:color w:val="333333"/>
          <w:sz w:val="21"/>
          <w:szCs w:val="21"/>
        </w:rPr>
        <w:t xml:space="preserve">đưa ra </w:t>
      </w:r>
      <w:r w:rsidRPr="007427BE">
        <w:rPr>
          <w:rFonts w:ascii="Calibri" w:eastAsia="Times New Roman" w:hAnsi="Calibri" w:cs="Calibri"/>
          <w:color w:val="333333"/>
          <w:sz w:val="21"/>
          <w:szCs w:val="21"/>
        </w:rPr>
        <w:t xml:space="preserve">quyết định </w:t>
      </w:r>
      <w:r w:rsidR="00C864B6">
        <w:rPr>
          <w:rFonts w:ascii="Calibri" w:eastAsia="Times New Roman" w:hAnsi="Calibri" w:cs="Calibri"/>
          <w:color w:val="333333"/>
          <w:sz w:val="21"/>
          <w:szCs w:val="21"/>
        </w:rPr>
        <w:t xml:space="preserve">về </w:t>
      </w:r>
      <w:r w:rsidRPr="007427BE">
        <w:rPr>
          <w:rFonts w:ascii="Calibri" w:eastAsia="Times New Roman" w:hAnsi="Calibri" w:cs="Calibri"/>
          <w:color w:val="333333"/>
          <w:sz w:val="21"/>
          <w:szCs w:val="21"/>
        </w:rPr>
        <w:t xml:space="preserve">các bước tiếp theo, bao gồm cả việc có nên </w:t>
      </w:r>
      <w:r w:rsidR="00C864B6">
        <w:rPr>
          <w:rFonts w:ascii="Calibri" w:eastAsia="Times New Roman" w:hAnsi="Calibri" w:cs="Calibri"/>
          <w:color w:val="333333"/>
          <w:sz w:val="21"/>
          <w:szCs w:val="21"/>
        </w:rPr>
        <w:t xml:space="preserve">tạm dừng </w:t>
      </w:r>
      <w:r w:rsidRPr="007427BE">
        <w:rPr>
          <w:rFonts w:ascii="Calibri" w:eastAsia="Times New Roman" w:hAnsi="Calibri" w:cs="Calibri"/>
          <w:color w:val="333333"/>
          <w:sz w:val="21"/>
          <w:szCs w:val="21"/>
        </w:rPr>
        <w:t xml:space="preserve">các biện pháp đối </w:t>
      </w:r>
      <w:r w:rsidR="00C864B6">
        <w:rPr>
          <w:rFonts w:ascii="Calibri" w:eastAsia="Times New Roman" w:hAnsi="Calibri" w:cs="Calibri"/>
          <w:color w:val="333333"/>
          <w:sz w:val="21"/>
          <w:szCs w:val="21"/>
        </w:rPr>
        <w:t xml:space="preserve">kháng </w:t>
      </w:r>
      <w:r w:rsidRPr="007427BE">
        <w:rPr>
          <w:rFonts w:ascii="Calibri" w:eastAsia="Times New Roman" w:hAnsi="Calibri" w:cs="Calibri"/>
          <w:color w:val="333333"/>
          <w:sz w:val="21"/>
          <w:szCs w:val="21"/>
        </w:rPr>
        <w:t xml:space="preserve">hay không.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>Nếu</w:t>
      </w:r>
      <w:r w:rsidRPr="007427BE">
        <w:rPr>
          <w:rFonts w:ascii="Calibri" w:eastAsia="Times New Roman" w:hAnsi="Calibri" w:cs="Calibri"/>
          <w:color w:val="333333"/>
          <w:sz w:val="21"/>
          <w:szCs w:val="21"/>
        </w:rPr>
        <w:t xml:space="preserve"> Iran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 xml:space="preserve">vẫn chưa </w:t>
      </w:r>
      <w:r w:rsidRPr="007427BE">
        <w:rPr>
          <w:rFonts w:ascii="Calibri" w:eastAsia="Times New Roman" w:hAnsi="Calibri" w:cs="Calibri"/>
          <w:color w:val="333333"/>
          <w:sz w:val="21"/>
          <w:szCs w:val="21"/>
        </w:rPr>
        <w:t xml:space="preserve">thực hiện các biện pháp cần thiết để giải quyết các thiếu </w:t>
      </w:r>
      <w:r w:rsidR="00C864B6">
        <w:rPr>
          <w:rFonts w:ascii="Calibri" w:eastAsia="Times New Roman" w:hAnsi="Calibri" w:cs="Calibri"/>
          <w:color w:val="333333"/>
          <w:sz w:val="21"/>
          <w:szCs w:val="21"/>
        </w:rPr>
        <w:t xml:space="preserve">hụt </w:t>
      </w:r>
      <w:r w:rsidRPr="007427BE">
        <w:rPr>
          <w:rFonts w:ascii="Calibri" w:eastAsia="Times New Roman" w:hAnsi="Calibri" w:cs="Calibri"/>
          <w:color w:val="333333"/>
          <w:sz w:val="21"/>
          <w:szCs w:val="21"/>
        </w:rPr>
        <w:t>đ</w:t>
      </w:r>
      <w:r w:rsidR="00C864B6">
        <w:rPr>
          <w:rFonts w:ascii="Calibri" w:eastAsia="Times New Roman" w:hAnsi="Calibri" w:cs="Calibri"/>
          <w:color w:val="333333"/>
          <w:sz w:val="21"/>
          <w:szCs w:val="21"/>
        </w:rPr>
        <w:t xml:space="preserve">ược xác định liên quan đến </w:t>
      </w:r>
      <w:r w:rsidRPr="007427BE">
        <w:rPr>
          <w:rFonts w:ascii="Calibri" w:eastAsia="Times New Roman" w:hAnsi="Calibri" w:cs="Calibri"/>
          <w:color w:val="333333"/>
          <w:sz w:val="21"/>
          <w:szCs w:val="21"/>
        </w:rPr>
        <w:t xml:space="preserve">chống tài trợ khủng bố trong Kế hoạch hành động, </w:t>
      </w:r>
      <w:r w:rsidRPr="007427BE">
        <w:rPr>
          <w:rFonts w:ascii="Calibri" w:eastAsia="Times New Roman" w:hAnsi="Calibri" w:cs="Calibri"/>
          <w:color w:val="333333"/>
          <w:sz w:val="21"/>
          <w:szCs w:val="21"/>
        </w:rPr>
        <w:lastRenderedPageBreak/>
        <w:t xml:space="preserve">thì FATF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 xml:space="preserve">vẫn </w:t>
      </w:r>
      <w:r w:rsidRPr="007427BE">
        <w:rPr>
          <w:rFonts w:ascii="Calibri" w:eastAsia="Times New Roman" w:hAnsi="Calibri" w:cs="Calibri"/>
          <w:color w:val="333333"/>
          <w:sz w:val="21"/>
          <w:szCs w:val="21"/>
        </w:rPr>
        <w:t xml:space="preserve">sẽ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>quan</w:t>
      </w:r>
      <w:r w:rsidRPr="007427BE">
        <w:rPr>
          <w:rFonts w:ascii="Calibri" w:eastAsia="Times New Roman" w:hAnsi="Calibri" w:cs="Calibri"/>
          <w:color w:val="333333"/>
          <w:sz w:val="21"/>
          <w:szCs w:val="21"/>
        </w:rPr>
        <w:t xml:space="preserve"> ngại về rủi ro </w:t>
      </w:r>
      <w:r w:rsidR="00C864B6">
        <w:rPr>
          <w:rFonts w:ascii="Calibri" w:eastAsia="Times New Roman" w:hAnsi="Calibri" w:cs="Calibri"/>
          <w:color w:val="333333"/>
          <w:sz w:val="21"/>
          <w:szCs w:val="21"/>
        </w:rPr>
        <w:t xml:space="preserve">tài trợ </w:t>
      </w:r>
      <w:r w:rsidRPr="007427BE">
        <w:rPr>
          <w:rFonts w:ascii="Calibri" w:eastAsia="Times New Roman" w:hAnsi="Calibri" w:cs="Calibri"/>
          <w:color w:val="333333"/>
          <w:sz w:val="21"/>
          <w:szCs w:val="21"/>
        </w:rPr>
        <w:t xml:space="preserve">khủng bố phát sinh từ Iran và mối đe dọa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>mà Iran</w:t>
      </w:r>
      <w:r w:rsidR="00F576D0" w:rsidRPr="007427BE">
        <w:rPr>
          <w:rFonts w:ascii="Calibri" w:eastAsia="Times New Roman" w:hAnsi="Calibri" w:cs="Calibri"/>
          <w:color w:val="333333"/>
          <w:sz w:val="21"/>
          <w:szCs w:val="21"/>
        </w:rPr>
        <w:t xml:space="preserve"> </w:t>
      </w:r>
      <w:r w:rsidRPr="007427BE">
        <w:rPr>
          <w:rFonts w:ascii="Calibri" w:eastAsia="Times New Roman" w:hAnsi="Calibri" w:cs="Calibri"/>
          <w:color w:val="333333"/>
          <w:sz w:val="21"/>
          <w:szCs w:val="21"/>
        </w:rPr>
        <w:t>gây ra cho hệ thống tài chính quốc tế.</w:t>
      </w:r>
    </w:p>
    <w:p w:rsidR="000F20D3" w:rsidRPr="000F20D3" w:rsidRDefault="005919F4" w:rsidP="009D33D1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333333"/>
          <w:sz w:val="21"/>
          <w:szCs w:val="21"/>
        </w:rPr>
      </w:pPr>
      <w:r>
        <w:rPr>
          <w:rFonts w:ascii="Calibri" w:eastAsia="Times New Roman" w:hAnsi="Calibri" w:cs="Calibri"/>
          <w:color w:val="333333"/>
          <w:sz w:val="21"/>
          <w:szCs w:val="21"/>
        </w:rPr>
        <w:pict>
          <v:rect id="_x0000_i1025" style="width:154.45pt;height:0" o:hrpct="330" o:hrstd="t" o:hr="t" fillcolor="#a0a0a0" stroked="f"/>
        </w:pict>
      </w:r>
    </w:p>
    <w:p w:rsidR="00C864B6" w:rsidRDefault="000F20D3" w:rsidP="009D33D1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1"/>
          <w:szCs w:val="21"/>
        </w:rPr>
      </w:pPr>
      <w:bookmarkStart w:id="1" w:name="fn1"/>
      <w:bookmarkEnd w:id="1"/>
      <w:r w:rsidRPr="000F20D3">
        <w:rPr>
          <w:rFonts w:ascii="Calibri" w:eastAsia="Times New Roman" w:hAnsi="Calibri" w:cs="Calibri"/>
          <w:color w:val="333333"/>
          <w:sz w:val="21"/>
          <w:szCs w:val="21"/>
        </w:rPr>
        <w:t xml:space="preserve">[1] </w:t>
      </w:r>
      <w:r w:rsidR="00C864B6" w:rsidRPr="00C864B6">
        <w:rPr>
          <w:rFonts w:ascii="Calibri" w:eastAsia="Times New Roman" w:hAnsi="Calibri" w:cs="Calibri"/>
          <w:color w:val="333333"/>
          <w:sz w:val="21"/>
          <w:szCs w:val="21"/>
        </w:rPr>
        <w:t xml:space="preserve">Vào tháng 6 năm 2016, FATF đã hoan nghênh cam kết chính trị cấp cao của Iran </w:t>
      </w:r>
      <w:r w:rsidR="00C864B6">
        <w:rPr>
          <w:rFonts w:ascii="Calibri" w:eastAsia="Times New Roman" w:hAnsi="Calibri" w:cs="Calibri"/>
          <w:color w:val="333333"/>
          <w:sz w:val="21"/>
          <w:szCs w:val="21"/>
        </w:rPr>
        <w:t xml:space="preserve">nhằm </w:t>
      </w:r>
      <w:r w:rsidR="00C864B6" w:rsidRPr="00C864B6">
        <w:rPr>
          <w:rFonts w:ascii="Calibri" w:eastAsia="Times New Roman" w:hAnsi="Calibri" w:cs="Calibri"/>
          <w:color w:val="333333"/>
          <w:sz w:val="21"/>
          <w:szCs w:val="21"/>
        </w:rPr>
        <w:t xml:space="preserve">giải quyết các thiếu </w:t>
      </w:r>
      <w:r w:rsidR="00C864B6">
        <w:rPr>
          <w:rFonts w:ascii="Calibri" w:eastAsia="Times New Roman" w:hAnsi="Calibri" w:cs="Calibri"/>
          <w:color w:val="333333"/>
          <w:sz w:val="21"/>
          <w:szCs w:val="21"/>
        </w:rPr>
        <w:t xml:space="preserve">hụt </w:t>
      </w:r>
      <w:r w:rsidR="00C864B6" w:rsidRPr="00C864B6">
        <w:rPr>
          <w:rFonts w:ascii="Calibri" w:eastAsia="Times New Roman" w:hAnsi="Calibri" w:cs="Calibri"/>
          <w:color w:val="333333"/>
          <w:sz w:val="21"/>
          <w:szCs w:val="21"/>
        </w:rPr>
        <w:t xml:space="preserve">chiến lược </w:t>
      </w:r>
      <w:r w:rsidR="00C864B6">
        <w:rPr>
          <w:rFonts w:ascii="Calibri" w:eastAsia="Times New Roman" w:hAnsi="Calibri" w:cs="Calibri"/>
          <w:color w:val="333333"/>
          <w:sz w:val="21"/>
          <w:szCs w:val="21"/>
        </w:rPr>
        <w:t xml:space="preserve">về </w:t>
      </w:r>
      <w:r w:rsidR="00C864B6" w:rsidRPr="00C864B6">
        <w:rPr>
          <w:rFonts w:ascii="Calibri" w:eastAsia="Times New Roman" w:hAnsi="Calibri" w:cs="Calibri"/>
          <w:color w:val="333333"/>
          <w:sz w:val="21"/>
          <w:szCs w:val="21"/>
        </w:rPr>
        <w:t xml:space="preserve">AML / CFT và quyết định tìm kiếm hỗ trợ kỹ thuật trong việc thực hiện Kế hoạch hành động. Từ năm 2016, Iran đã </w:t>
      </w:r>
      <w:r w:rsidR="00C864B6">
        <w:rPr>
          <w:rFonts w:ascii="Calibri" w:eastAsia="Times New Roman" w:hAnsi="Calibri" w:cs="Calibri"/>
          <w:color w:val="333333"/>
          <w:sz w:val="21"/>
          <w:szCs w:val="21"/>
        </w:rPr>
        <w:t xml:space="preserve">xây dựng cơ chế </w:t>
      </w:r>
      <w:r w:rsidR="00C864B6" w:rsidRPr="00C864B6">
        <w:rPr>
          <w:rFonts w:ascii="Calibri" w:eastAsia="Times New Roman" w:hAnsi="Calibri" w:cs="Calibri"/>
          <w:color w:val="333333"/>
          <w:sz w:val="21"/>
          <w:szCs w:val="21"/>
        </w:rPr>
        <w:t xml:space="preserve">khai </w:t>
      </w:r>
      <w:r w:rsidR="00C864B6">
        <w:rPr>
          <w:rFonts w:ascii="Calibri" w:eastAsia="Times New Roman" w:hAnsi="Calibri" w:cs="Calibri"/>
          <w:color w:val="333333"/>
          <w:sz w:val="21"/>
          <w:szCs w:val="21"/>
        </w:rPr>
        <w:t xml:space="preserve">báo </w:t>
      </w:r>
      <w:r w:rsidR="00C864B6" w:rsidRPr="00C864B6">
        <w:rPr>
          <w:rFonts w:ascii="Calibri" w:eastAsia="Times New Roman" w:hAnsi="Calibri" w:cs="Calibri"/>
          <w:color w:val="333333"/>
          <w:sz w:val="21"/>
          <w:szCs w:val="21"/>
        </w:rPr>
        <w:t xml:space="preserve">tiền mặt, ban hành các sửa đổi đối với Đạo luật </w:t>
      </w:r>
      <w:r w:rsidR="00C864B6">
        <w:rPr>
          <w:rFonts w:ascii="Calibri" w:eastAsia="Times New Roman" w:hAnsi="Calibri" w:cs="Calibri"/>
          <w:color w:val="333333"/>
          <w:sz w:val="21"/>
          <w:szCs w:val="21"/>
        </w:rPr>
        <w:t xml:space="preserve">chống </w:t>
      </w:r>
      <w:r w:rsidR="00C864B6" w:rsidRPr="00C864B6">
        <w:rPr>
          <w:rFonts w:ascii="Calibri" w:eastAsia="Times New Roman" w:hAnsi="Calibri" w:cs="Calibri"/>
          <w:color w:val="333333"/>
          <w:sz w:val="21"/>
          <w:szCs w:val="21"/>
        </w:rPr>
        <w:t xml:space="preserve">tài </w:t>
      </w:r>
      <w:r w:rsidR="00C864B6">
        <w:rPr>
          <w:rFonts w:ascii="Calibri" w:eastAsia="Times New Roman" w:hAnsi="Calibri" w:cs="Calibri"/>
          <w:color w:val="333333"/>
          <w:sz w:val="21"/>
          <w:szCs w:val="21"/>
        </w:rPr>
        <w:t xml:space="preserve">trợ </w:t>
      </w:r>
      <w:r w:rsidR="00C864B6" w:rsidRPr="00C864B6">
        <w:rPr>
          <w:rFonts w:ascii="Calibri" w:eastAsia="Times New Roman" w:hAnsi="Calibri" w:cs="Calibri"/>
          <w:color w:val="333333"/>
          <w:sz w:val="21"/>
          <w:szCs w:val="21"/>
        </w:rPr>
        <w:t>khủng bố và Đạo luật chống rửa tiền và thông qua</w:t>
      </w:r>
      <w:r w:rsidR="00A40E47">
        <w:rPr>
          <w:rFonts w:ascii="Calibri" w:eastAsia="Times New Roman" w:hAnsi="Calibri" w:cs="Calibri"/>
          <w:color w:val="333333"/>
          <w:sz w:val="21"/>
          <w:szCs w:val="21"/>
        </w:rPr>
        <w:t xml:space="preserve"> Quy chế về </w:t>
      </w:r>
      <w:r w:rsidR="00C864B6" w:rsidRPr="00C864B6">
        <w:rPr>
          <w:rFonts w:ascii="Calibri" w:eastAsia="Times New Roman" w:hAnsi="Calibri" w:cs="Calibri"/>
          <w:color w:val="333333"/>
          <w:sz w:val="21"/>
          <w:szCs w:val="21"/>
        </w:rPr>
        <w:t>AML.</w:t>
      </w:r>
    </w:p>
    <w:p w:rsidR="000F20D3" w:rsidRPr="000F20D3" w:rsidRDefault="00A40E47" w:rsidP="009D33D1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1"/>
          <w:szCs w:val="21"/>
        </w:rPr>
      </w:pP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Vào tháng 2 năm 2020, FATF lưu ý rằng vẫn còn các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nội dung 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chưa hoàn thành và Iran cần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phải 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giải quyết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một cách 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đầy đủ: (1) hình sự hóa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>toàn diện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 hành vi 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tài </w:t>
      </w:r>
      <w:r>
        <w:rPr>
          <w:rFonts w:ascii="Calibri" w:eastAsia="Times New Roman" w:hAnsi="Calibri" w:cs="Calibri"/>
          <w:color w:val="333333"/>
          <w:sz w:val="21"/>
          <w:szCs w:val="21"/>
        </w:rPr>
        <w:t>trợ khủng bố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, bao gồm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cả việc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 xml:space="preserve">dỡ 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bỏ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các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 xml:space="preserve">biện pháp 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miễn trừ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đối với 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các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>tổ chức</w:t>
      </w:r>
      <w:r w:rsidR="00F576D0"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 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được chỉ định </w:t>
      </w:r>
      <w:r>
        <w:rPr>
          <w:rFonts w:ascii="Calibri" w:eastAsia="Times New Roman" w:hAnsi="Calibri" w:cs="Calibri"/>
          <w:color w:val="333333"/>
          <w:sz w:val="21"/>
          <w:szCs w:val="21"/>
        </w:rPr>
        <w:t>“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>nỗ lực chấm dứt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 việc 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>chiếm đóng, chủ nghĩa thực dân và phân biệt chủng tộc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 ở 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nước ngoài. (2) xác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định 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và đóng băng tài sản khủng bố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tuân thủ 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các nghị quyết của Hội đồng Bảo an Liên Hợp Quốc; (3) đảm bảo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>cơ chế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xác minh 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khách hàng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>toàn diện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 và có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>hiệu lực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; (4)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giải thích về phương thức xác định và xử phạt mà 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các cơ quan chức năng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áp dụng đối với 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các nhà cung cấp dịch vụ chuyển tiền / giá trị không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>được cấp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 phép; (5) phê chuẩn và thực 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>thi</w:t>
      </w:r>
      <w:r w:rsidR="00F576D0"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 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các Công ước Palermo và </w:t>
      </w:r>
      <w:r w:rsidR="002D0E9D">
        <w:rPr>
          <w:rFonts w:ascii="Calibri" w:eastAsia="Times New Roman" w:hAnsi="Calibri" w:cs="Calibri"/>
          <w:color w:val="333333"/>
          <w:sz w:val="21"/>
          <w:szCs w:val="21"/>
        </w:rPr>
        <w:t xml:space="preserve">Công ước về 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TF và làm rõ khả năng cung cấp hỗ trợ pháp lý </w:t>
      </w:r>
      <w:r w:rsidR="002D0E9D">
        <w:rPr>
          <w:rFonts w:ascii="Calibri" w:eastAsia="Times New Roman" w:hAnsi="Calibri" w:cs="Calibri"/>
          <w:color w:val="333333"/>
          <w:sz w:val="21"/>
          <w:szCs w:val="21"/>
        </w:rPr>
        <w:t>đa phương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>; và (6) đảm bảo rằng các tổ chức tài chính xác minh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 xml:space="preserve"> rằng các điện chuyển tiền chưa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 xml:space="preserve"> </w:t>
      </w:r>
      <w:r w:rsidR="002D0E9D">
        <w:rPr>
          <w:rFonts w:ascii="Calibri" w:eastAsia="Times New Roman" w:hAnsi="Calibri" w:cs="Calibri"/>
          <w:color w:val="333333"/>
          <w:sz w:val="21"/>
          <w:szCs w:val="21"/>
        </w:rPr>
        <w:t xml:space="preserve">đẩy đủ </w:t>
      </w:r>
      <w:r w:rsidRPr="00A40E47">
        <w:rPr>
          <w:rFonts w:ascii="Calibri" w:eastAsia="Times New Roman" w:hAnsi="Calibri" w:cs="Calibri"/>
          <w:color w:val="333333"/>
          <w:sz w:val="21"/>
          <w:szCs w:val="21"/>
        </w:rPr>
        <w:t>thông tin người khởi tạo và người thụ hưởng.</w:t>
      </w:r>
    </w:p>
    <w:p w:rsidR="005A6D93" w:rsidRPr="005A6D93" w:rsidRDefault="000F20D3" w:rsidP="005A6D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1"/>
          <w:szCs w:val="21"/>
        </w:rPr>
      </w:pPr>
      <w:bookmarkStart w:id="2" w:name="fn2"/>
      <w:bookmarkEnd w:id="2"/>
      <w:r w:rsidRPr="000F20D3">
        <w:rPr>
          <w:rFonts w:ascii="Calibri" w:eastAsia="Times New Roman" w:hAnsi="Calibri" w:cs="Calibri"/>
          <w:color w:val="333333"/>
          <w:sz w:val="21"/>
          <w:szCs w:val="21"/>
        </w:rPr>
        <w:t xml:space="preserve">[2] </w:t>
      </w:r>
      <w:r w:rsidR="005A6D93" w:rsidRPr="005A6D93">
        <w:rPr>
          <w:rFonts w:ascii="Calibri" w:eastAsia="Times New Roman" w:hAnsi="Calibri" w:cs="Calibri"/>
          <w:color w:val="333333"/>
          <w:sz w:val="21"/>
          <w:szCs w:val="21"/>
        </w:rPr>
        <w:t xml:space="preserve">Các quốc gia sẽ có thể áp dụng các biện pháp đối </w:t>
      </w:r>
      <w:r w:rsidR="005A6D93">
        <w:rPr>
          <w:rFonts w:ascii="Calibri" w:eastAsia="Times New Roman" w:hAnsi="Calibri" w:cs="Calibri"/>
          <w:color w:val="333333"/>
          <w:sz w:val="21"/>
          <w:szCs w:val="21"/>
        </w:rPr>
        <w:t xml:space="preserve">kháng </w:t>
      </w:r>
      <w:r w:rsidR="005A6D93" w:rsidRPr="005A6D93">
        <w:rPr>
          <w:rFonts w:ascii="Calibri" w:eastAsia="Times New Roman" w:hAnsi="Calibri" w:cs="Calibri"/>
          <w:color w:val="333333"/>
          <w:sz w:val="21"/>
          <w:szCs w:val="21"/>
        </w:rPr>
        <w:t xml:space="preserve">phù hợp khi </w:t>
      </w:r>
      <w:r w:rsidR="005A6D93">
        <w:rPr>
          <w:rFonts w:ascii="Calibri" w:eastAsia="Times New Roman" w:hAnsi="Calibri" w:cs="Calibri"/>
          <w:color w:val="333333"/>
          <w:sz w:val="21"/>
          <w:szCs w:val="21"/>
        </w:rPr>
        <w:t xml:space="preserve">FATF </w:t>
      </w:r>
      <w:r w:rsidR="005A6D93" w:rsidRPr="005A6D93">
        <w:rPr>
          <w:rFonts w:ascii="Calibri" w:eastAsia="Times New Roman" w:hAnsi="Calibri" w:cs="Calibri"/>
          <w:color w:val="333333"/>
          <w:sz w:val="21"/>
          <w:szCs w:val="21"/>
        </w:rPr>
        <w:t xml:space="preserve">yêu cầu. Các quốc gia cũng có thể áp dụng các biện pháp đối </w:t>
      </w:r>
      <w:r w:rsidR="005A6D93">
        <w:rPr>
          <w:rFonts w:ascii="Calibri" w:eastAsia="Times New Roman" w:hAnsi="Calibri" w:cs="Calibri"/>
          <w:color w:val="333333"/>
          <w:sz w:val="21"/>
          <w:szCs w:val="21"/>
        </w:rPr>
        <w:t xml:space="preserve">kháng </w:t>
      </w:r>
      <w:r w:rsidR="005A6D93" w:rsidRPr="005A6D93">
        <w:rPr>
          <w:rFonts w:ascii="Calibri" w:eastAsia="Times New Roman" w:hAnsi="Calibri" w:cs="Calibri"/>
          <w:color w:val="333333"/>
          <w:sz w:val="21"/>
          <w:szCs w:val="21"/>
        </w:rPr>
        <w:t xml:space="preserve">độc lập với bất kỳ </w:t>
      </w:r>
      <w:r w:rsidR="005A6D93">
        <w:rPr>
          <w:rFonts w:ascii="Calibri" w:eastAsia="Times New Roman" w:hAnsi="Calibri" w:cs="Calibri"/>
          <w:color w:val="333333"/>
          <w:sz w:val="21"/>
          <w:szCs w:val="21"/>
        </w:rPr>
        <w:t xml:space="preserve">các yêu cầu nào </w:t>
      </w:r>
      <w:r w:rsidR="005A6D93" w:rsidRPr="005A6D93">
        <w:rPr>
          <w:rFonts w:ascii="Calibri" w:eastAsia="Times New Roman" w:hAnsi="Calibri" w:cs="Calibri"/>
          <w:color w:val="333333"/>
          <w:sz w:val="21"/>
          <w:szCs w:val="21"/>
        </w:rPr>
        <w:t xml:space="preserve">của FATF. Các biện pháp đối </w:t>
      </w:r>
      <w:r w:rsidR="005A6D93">
        <w:rPr>
          <w:rFonts w:ascii="Calibri" w:eastAsia="Times New Roman" w:hAnsi="Calibri" w:cs="Calibri"/>
          <w:color w:val="333333"/>
          <w:sz w:val="21"/>
          <w:szCs w:val="21"/>
        </w:rPr>
        <w:t xml:space="preserve">kháng </w:t>
      </w:r>
      <w:r w:rsidR="005A6D93" w:rsidRPr="005A6D93">
        <w:rPr>
          <w:rFonts w:ascii="Calibri" w:eastAsia="Times New Roman" w:hAnsi="Calibri" w:cs="Calibri"/>
          <w:color w:val="333333"/>
          <w:sz w:val="21"/>
          <w:szCs w:val="21"/>
        </w:rPr>
        <w:t xml:space="preserve">như vậy </w:t>
      </w:r>
      <w:r w:rsidR="005A6D93">
        <w:rPr>
          <w:rFonts w:ascii="Calibri" w:eastAsia="Times New Roman" w:hAnsi="Calibri" w:cs="Calibri"/>
          <w:color w:val="333333"/>
          <w:sz w:val="21"/>
          <w:szCs w:val="21"/>
        </w:rPr>
        <w:t xml:space="preserve">cần </w:t>
      </w:r>
      <w:r w:rsidR="005A6D93" w:rsidRPr="005A6D93">
        <w:rPr>
          <w:rFonts w:ascii="Calibri" w:eastAsia="Times New Roman" w:hAnsi="Calibri" w:cs="Calibri"/>
          <w:color w:val="333333"/>
          <w:sz w:val="21"/>
          <w:szCs w:val="21"/>
        </w:rPr>
        <w:t>có hiệu quả và tương xứng với các rủi ro.</w:t>
      </w:r>
    </w:p>
    <w:p w:rsidR="005A6D93" w:rsidRPr="005A6D93" w:rsidRDefault="005A6D93" w:rsidP="005A6D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1"/>
          <w:szCs w:val="21"/>
        </w:rPr>
      </w:pPr>
      <w:r w:rsidRPr="005A6D93">
        <w:rPr>
          <w:rFonts w:ascii="Calibri" w:eastAsia="Times New Roman" w:hAnsi="Calibri" w:cs="Calibri"/>
          <w:color w:val="333333"/>
          <w:sz w:val="21"/>
          <w:szCs w:val="21"/>
        </w:rPr>
        <w:t xml:space="preserve">Lưu ý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Chú giải </w:t>
      </w:r>
      <w:r w:rsidRPr="005A6D93">
        <w:rPr>
          <w:rFonts w:ascii="Calibri" w:eastAsia="Times New Roman" w:hAnsi="Calibri" w:cs="Calibri"/>
          <w:color w:val="333333"/>
          <w:sz w:val="21"/>
          <w:szCs w:val="21"/>
        </w:rPr>
        <w:t xml:space="preserve">cho khuyến nghị 19 nêu rõ các ví dụ về các biện pháp đối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kháng mà các quốc gia </w:t>
      </w:r>
      <w:r w:rsidRPr="005A6D93">
        <w:rPr>
          <w:rFonts w:ascii="Calibri" w:eastAsia="Times New Roman" w:hAnsi="Calibri" w:cs="Calibri"/>
          <w:color w:val="333333"/>
          <w:sz w:val="21"/>
          <w:szCs w:val="21"/>
        </w:rPr>
        <w:t xml:space="preserve">có thể </w:t>
      </w:r>
      <w:r>
        <w:rPr>
          <w:rFonts w:ascii="Calibri" w:eastAsia="Times New Roman" w:hAnsi="Calibri" w:cs="Calibri"/>
          <w:color w:val="333333"/>
          <w:sz w:val="21"/>
          <w:szCs w:val="21"/>
        </w:rPr>
        <w:t xml:space="preserve">áp dụng và </w:t>
      </w:r>
      <w:r w:rsidRPr="005A6D93">
        <w:rPr>
          <w:rFonts w:ascii="Calibri" w:eastAsia="Times New Roman" w:hAnsi="Calibri" w:cs="Calibri"/>
          <w:color w:val="333333"/>
          <w:sz w:val="21"/>
          <w:szCs w:val="21"/>
        </w:rPr>
        <w:t>thực hiện</w:t>
      </w:r>
      <w:r>
        <w:rPr>
          <w:rFonts w:ascii="Calibri" w:eastAsia="Times New Roman" w:hAnsi="Calibri" w:cs="Calibri"/>
          <w:color w:val="333333"/>
          <w:sz w:val="21"/>
          <w:szCs w:val="21"/>
        </w:rPr>
        <w:t>.</w:t>
      </w:r>
      <w:r w:rsidRPr="005A6D93">
        <w:rPr>
          <w:rFonts w:ascii="Calibri" w:eastAsia="Times New Roman" w:hAnsi="Calibri" w:cs="Calibri"/>
          <w:color w:val="333333"/>
          <w:sz w:val="21"/>
          <w:szCs w:val="21"/>
        </w:rPr>
        <w:t> </w:t>
      </w:r>
    </w:p>
    <w:p w:rsidR="005A6D93" w:rsidRDefault="005A6D93" w:rsidP="005A6D9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1"/>
          <w:szCs w:val="21"/>
        </w:rPr>
      </w:pPr>
      <w:r w:rsidRPr="005A6D93">
        <w:rPr>
          <w:rFonts w:ascii="Calibri" w:eastAsia="Times New Roman" w:hAnsi="Calibri" w:cs="Calibri"/>
          <w:color w:val="333333"/>
          <w:sz w:val="21"/>
          <w:szCs w:val="21"/>
        </w:rPr>
        <w:t>* Tuyên bố này trước đây được gọi là "</w:t>
      </w:r>
      <w:r w:rsidR="00F576D0">
        <w:rPr>
          <w:rFonts w:ascii="Calibri" w:eastAsia="Times New Roman" w:hAnsi="Calibri" w:cs="Calibri"/>
          <w:color w:val="333333"/>
          <w:sz w:val="21"/>
          <w:szCs w:val="21"/>
        </w:rPr>
        <w:t>Danh sách</w:t>
      </w:r>
      <w:r w:rsidRPr="005A6D93">
        <w:rPr>
          <w:rFonts w:ascii="Calibri" w:eastAsia="Times New Roman" w:hAnsi="Calibri" w:cs="Calibri"/>
          <w:color w:val="333333"/>
          <w:sz w:val="21"/>
          <w:szCs w:val="21"/>
        </w:rPr>
        <w:t xml:space="preserve"> công khai"</w:t>
      </w:r>
    </w:p>
    <w:p w:rsidR="005F203E" w:rsidRDefault="005F203E" w:rsidP="009D33D1">
      <w:pPr>
        <w:jc w:val="both"/>
      </w:pPr>
    </w:p>
    <w:sectPr w:rsidR="005F203E" w:rsidSect="004A7C38">
      <w:pgSz w:w="12240" w:h="15840"/>
      <w:pgMar w:top="1080" w:right="126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9F4" w:rsidRDefault="005919F4" w:rsidP="004A7C38">
      <w:pPr>
        <w:spacing w:after="0" w:line="240" w:lineRule="auto"/>
      </w:pPr>
      <w:r>
        <w:separator/>
      </w:r>
    </w:p>
  </w:endnote>
  <w:endnote w:type="continuationSeparator" w:id="0">
    <w:p w:rsidR="005919F4" w:rsidRDefault="005919F4" w:rsidP="004A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9F4" w:rsidRDefault="005919F4" w:rsidP="004A7C38">
      <w:pPr>
        <w:spacing w:after="0" w:line="240" w:lineRule="auto"/>
      </w:pPr>
      <w:r>
        <w:separator/>
      </w:r>
    </w:p>
  </w:footnote>
  <w:footnote w:type="continuationSeparator" w:id="0">
    <w:p w:rsidR="005919F4" w:rsidRDefault="005919F4" w:rsidP="004A7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D3"/>
    <w:rsid w:val="00045B20"/>
    <w:rsid w:val="000F20D3"/>
    <w:rsid w:val="001D3096"/>
    <w:rsid w:val="002D0E9D"/>
    <w:rsid w:val="003027CA"/>
    <w:rsid w:val="003873B7"/>
    <w:rsid w:val="004A7C38"/>
    <w:rsid w:val="00500E20"/>
    <w:rsid w:val="005919F4"/>
    <w:rsid w:val="00593ECF"/>
    <w:rsid w:val="005A6D93"/>
    <w:rsid w:val="005C5097"/>
    <w:rsid w:val="005F203E"/>
    <w:rsid w:val="007427BE"/>
    <w:rsid w:val="009D33D1"/>
    <w:rsid w:val="00A40E47"/>
    <w:rsid w:val="00A87864"/>
    <w:rsid w:val="00BC39C9"/>
    <w:rsid w:val="00C23E0A"/>
    <w:rsid w:val="00C864B6"/>
    <w:rsid w:val="00CD64E1"/>
    <w:rsid w:val="00D30934"/>
    <w:rsid w:val="00D971B0"/>
    <w:rsid w:val="00DF487D"/>
    <w:rsid w:val="00EC5323"/>
    <w:rsid w:val="00F47FED"/>
    <w:rsid w:val="00F5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C995B-8629-4C2F-9F51-227EE861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2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F20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F20D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20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7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C38"/>
  </w:style>
  <w:style w:type="paragraph" w:styleId="Footer">
    <w:name w:val="footer"/>
    <w:basedOn w:val="Normal"/>
    <w:link w:val="FooterChar"/>
    <w:uiPriority w:val="99"/>
    <w:unhideWhenUsed/>
    <w:rsid w:val="004A7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C38"/>
  </w:style>
  <w:style w:type="paragraph" w:styleId="BalloonText">
    <w:name w:val="Balloon Text"/>
    <w:basedOn w:val="Normal"/>
    <w:link w:val="BalloonTextChar"/>
    <w:uiPriority w:val="99"/>
    <w:semiHidden/>
    <w:unhideWhenUsed/>
    <w:rsid w:val="00F5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2137">
          <w:marLeft w:val="-225"/>
          <w:marRight w:val="-225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0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77580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?><Relationships xmlns="http://schemas.openxmlformats.org/package/2006/relationships"><Relationship Target="fontTable.xml" Type="http://schemas.openxmlformats.org/officeDocument/2006/relationships/fontTable" Id="rId8"></Relationship><Relationship Target="webSettings.xml" Type="http://schemas.openxmlformats.org/officeDocument/2006/relationships/webSettings" Id="rId3"></Relationship><Relationship TargetMode="External" Target="http://www.fatf-gafi.org/publications/high-risk-and-other-monitored-jurisdictions/documents/call-for-action-february-2020.html" Type="http://schemas.openxmlformats.org/officeDocument/2006/relationships/hyperlink" Id="rId7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Mode="External" Target="http://www.fatf-gafi.org/publications/high-risk-and-other-monitored-jurisdictions/documents/call-for-action-february-2020.html" Type="http://schemas.openxmlformats.org/officeDocument/2006/relationships/hyperlink" Id="rId6"></Relationship><Relationship Target="endnotes.xml" Type="http://schemas.openxmlformats.org/officeDocument/2006/relationships/endnotes" Id="rId5"></Relationship><Relationship Target="footnotes.xml" Type="http://schemas.openxmlformats.org/officeDocument/2006/relationships/footnotes" Id="rId4"></Relationship><Relationship Target="theme/theme1.xml" Type="http://schemas.openxmlformats.org/officeDocument/2006/relationships/theme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Diem</dc:creator>
  <cp:lastModifiedBy>Nguyen Quang Hung (CQTTGSNH)</cp:lastModifiedBy>
  <cp:revision>3</cp:revision>
  <dcterms:created xsi:type="dcterms:W3CDTF">2020-04-21T03:54:00Z</dcterms:created>
  <dcterms:modified xsi:type="dcterms:W3CDTF">2020-04-23T03:58:00Z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SBV409275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412058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http://webcenter-app01:16200/cs/idcplg?IdcService=DESKTOP_DOC_INFO&amp;dDocName=SBV409275&amp;dID=412058&amp;ClientControlled=DocMan,taskpane&amp;coreContentOnly=1</vt:lpwstr>
  </property>
</Properties>
</file>