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D8" w:rsidRPr="00695BC2" w:rsidRDefault="00E732D8" w:rsidP="00695BC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5BC2">
        <w:rPr>
          <w:rFonts w:ascii="Arial" w:hAnsi="Arial" w:cs="Arial"/>
          <w:b/>
          <w:sz w:val="20"/>
          <w:szCs w:val="20"/>
        </w:rPr>
        <w:t>Press release on issuance of Circular No. 12/2022/TT-NHNN</w:t>
      </w:r>
    </w:p>
    <w:p w:rsidR="00E732D8" w:rsidRPr="00E732D8" w:rsidRDefault="00E732D8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732D8">
        <w:rPr>
          <w:rFonts w:ascii="Arial" w:hAnsi="Arial" w:cs="Arial"/>
          <w:sz w:val="20"/>
          <w:szCs w:val="20"/>
        </w:rPr>
        <w:t xml:space="preserve">Hanoi, </w:t>
      </w:r>
      <w:r w:rsidR="00887722">
        <w:rPr>
          <w:rFonts w:ascii="Arial" w:hAnsi="Arial" w:cs="Arial"/>
          <w:sz w:val="20"/>
          <w:szCs w:val="20"/>
        </w:rPr>
        <w:t>September 30</w:t>
      </w:r>
      <w:r w:rsidRPr="00E732D8">
        <w:rPr>
          <w:rFonts w:ascii="Arial" w:hAnsi="Arial" w:cs="Arial"/>
          <w:sz w:val="20"/>
          <w:szCs w:val="20"/>
        </w:rPr>
        <w:t xml:space="preserve">, 2022 – The Governor of the State Bank of Vietnam (SBV) has issued Circular No. </w:t>
      </w:r>
      <w:r w:rsidR="00887722">
        <w:rPr>
          <w:rFonts w:ascii="Arial" w:hAnsi="Arial" w:cs="Arial"/>
          <w:sz w:val="20"/>
          <w:szCs w:val="20"/>
        </w:rPr>
        <w:t>12</w:t>
      </w:r>
      <w:r w:rsidRPr="00E732D8">
        <w:rPr>
          <w:rFonts w:ascii="Arial" w:hAnsi="Arial" w:cs="Arial"/>
          <w:sz w:val="20"/>
          <w:szCs w:val="20"/>
        </w:rPr>
        <w:t xml:space="preserve">/2022/TT-NHNN providing guidance </w:t>
      </w:r>
      <w:r w:rsidR="00C64B06">
        <w:rPr>
          <w:rFonts w:ascii="Arial" w:hAnsi="Arial" w:cs="Arial"/>
          <w:sz w:val="20"/>
          <w:szCs w:val="20"/>
        </w:rPr>
        <w:t>for</w:t>
      </w:r>
      <w:r w:rsidRPr="00E732D8">
        <w:rPr>
          <w:rFonts w:ascii="Arial" w:hAnsi="Arial" w:cs="Arial"/>
          <w:sz w:val="20"/>
          <w:szCs w:val="20"/>
        </w:rPr>
        <w:t xml:space="preserve"> the foreign exchange management </w:t>
      </w:r>
      <w:r w:rsidR="00C64B06">
        <w:rPr>
          <w:rFonts w:ascii="Arial" w:hAnsi="Arial" w:cs="Arial"/>
          <w:sz w:val="20"/>
          <w:szCs w:val="20"/>
        </w:rPr>
        <w:t>relating to</w:t>
      </w:r>
      <w:r w:rsidRPr="00E732D8">
        <w:rPr>
          <w:rFonts w:ascii="Arial" w:hAnsi="Arial" w:cs="Arial"/>
          <w:sz w:val="20"/>
          <w:szCs w:val="20"/>
        </w:rPr>
        <w:t xml:space="preserve"> </w:t>
      </w:r>
      <w:r w:rsidR="00C64B06">
        <w:rPr>
          <w:rFonts w:ascii="Arial" w:hAnsi="Arial" w:cs="Arial"/>
          <w:sz w:val="20"/>
          <w:szCs w:val="20"/>
        </w:rPr>
        <w:t xml:space="preserve">companies’ </w:t>
      </w:r>
      <w:r w:rsidR="00887722" w:rsidRPr="00887722">
        <w:rPr>
          <w:rFonts w:ascii="Arial" w:hAnsi="Arial" w:cs="Arial"/>
          <w:sz w:val="20"/>
          <w:szCs w:val="20"/>
        </w:rPr>
        <w:t>borrowing and pay</w:t>
      </w:r>
      <w:r w:rsidR="00C64B06">
        <w:rPr>
          <w:rFonts w:ascii="Arial" w:hAnsi="Arial" w:cs="Arial"/>
          <w:sz w:val="20"/>
          <w:szCs w:val="20"/>
        </w:rPr>
        <w:t>ment of</w:t>
      </w:r>
      <w:r w:rsidR="00887722" w:rsidRPr="00887722">
        <w:rPr>
          <w:rFonts w:ascii="Arial" w:hAnsi="Arial" w:cs="Arial"/>
          <w:sz w:val="20"/>
          <w:szCs w:val="20"/>
        </w:rPr>
        <w:t xml:space="preserve"> foreign </w:t>
      </w:r>
      <w:r w:rsidR="00632609">
        <w:rPr>
          <w:rFonts w:ascii="Arial" w:hAnsi="Arial" w:cs="Arial"/>
          <w:sz w:val="20"/>
          <w:szCs w:val="20"/>
        </w:rPr>
        <w:t>loans</w:t>
      </w:r>
      <w:r w:rsidR="00887722">
        <w:rPr>
          <w:rFonts w:ascii="Arial" w:hAnsi="Arial" w:cs="Arial"/>
          <w:sz w:val="20"/>
          <w:szCs w:val="20"/>
        </w:rPr>
        <w:t xml:space="preserve"> (Circular No. 12</w:t>
      </w:r>
      <w:r w:rsidR="00887722" w:rsidRPr="00E732D8">
        <w:rPr>
          <w:rFonts w:ascii="Arial" w:hAnsi="Arial" w:cs="Arial"/>
          <w:sz w:val="20"/>
          <w:szCs w:val="20"/>
        </w:rPr>
        <w:t>/2022/TT-NHNN</w:t>
      </w:r>
      <w:r w:rsidR="00887722">
        <w:rPr>
          <w:rFonts w:ascii="Arial" w:hAnsi="Arial" w:cs="Arial"/>
          <w:sz w:val="20"/>
          <w:szCs w:val="20"/>
        </w:rPr>
        <w:t xml:space="preserve"> </w:t>
      </w:r>
      <w:r w:rsidR="00C64B06">
        <w:rPr>
          <w:rFonts w:ascii="Arial" w:hAnsi="Arial" w:cs="Arial"/>
          <w:sz w:val="20"/>
          <w:szCs w:val="20"/>
        </w:rPr>
        <w:t xml:space="preserve">shall </w:t>
      </w:r>
      <w:r w:rsidR="00887722">
        <w:rPr>
          <w:rFonts w:ascii="Arial" w:hAnsi="Arial" w:cs="Arial"/>
          <w:sz w:val="20"/>
          <w:szCs w:val="20"/>
        </w:rPr>
        <w:t xml:space="preserve">replace Circular No. 03/2016/TT-NHNN dated February 26, 2016 </w:t>
      </w:r>
      <w:r w:rsidR="00887722" w:rsidRPr="00887722">
        <w:rPr>
          <w:rFonts w:ascii="Arial" w:hAnsi="Arial" w:cs="Arial"/>
          <w:sz w:val="20"/>
          <w:szCs w:val="20"/>
        </w:rPr>
        <w:t xml:space="preserve">providing guidance </w:t>
      </w:r>
      <w:r w:rsidR="00C64B06">
        <w:rPr>
          <w:rFonts w:ascii="Arial" w:hAnsi="Arial" w:cs="Arial"/>
          <w:sz w:val="20"/>
          <w:szCs w:val="20"/>
        </w:rPr>
        <w:t>for</w:t>
      </w:r>
      <w:r w:rsidR="00065762">
        <w:rPr>
          <w:rFonts w:ascii="Arial" w:hAnsi="Arial" w:cs="Arial"/>
          <w:sz w:val="20"/>
          <w:szCs w:val="20"/>
        </w:rPr>
        <w:t xml:space="preserve"> a number of</w:t>
      </w:r>
      <w:r w:rsidR="00887722" w:rsidRPr="00887722">
        <w:rPr>
          <w:rFonts w:ascii="Arial" w:hAnsi="Arial" w:cs="Arial"/>
          <w:sz w:val="20"/>
          <w:szCs w:val="20"/>
        </w:rPr>
        <w:t xml:space="preserve"> the foreign exchange management </w:t>
      </w:r>
      <w:r w:rsidR="00C64B06">
        <w:rPr>
          <w:rFonts w:ascii="Arial" w:hAnsi="Arial" w:cs="Arial"/>
          <w:sz w:val="20"/>
          <w:szCs w:val="20"/>
        </w:rPr>
        <w:t>relating to companies’</w:t>
      </w:r>
      <w:r w:rsidR="00887722" w:rsidRPr="00887722">
        <w:rPr>
          <w:rFonts w:ascii="Arial" w:hAnsi="Arial" w:cs="Arial"/>
          <w:sz w:val="20"/>
          <w:szCs w:val="20"/>
        </w:rPr>
        <w:t xml:space="preserve"> borrowing and pay</w:t>
      </w:r>
      <w:r w:rsidR="00C64B06">
        <w:rPr>
          <w:rFonts w:ascii="Arial" w:hAnsi="Arial" w:cs="Arial"/>
          <w:sz w:val="20"/>
          <w:szCs w:val="20"/>
        </w:rPr>
        <w:t>ment of</w:t>
      </w:r>
      <w:r w:rsidR="00887722" w:rsidRPr="00887722">
        <w:rPr>
          <w:rFonts w:ascii="Arial" w:hAnsi="Arial" w:cs="Arial"/>
          <w:sz w:val="20"/>
          <w:szCs w:val="20"/>
        </w:rPr>
        <w:t xml:space="preserve"> foreign </w:t>
      </w:r>
      <w:r w:rsidR="00632609">
        <w:rPr>
          <w:rFonts w:ascii="Arial" w:hAnsi="Arial" w:cs="Arial"/>
          <w:sz w:val="20"/>
          <w:szCs w:val="20"/>
        </w:rPr>
        <w:t>loans</w:t>
      </w:r>
      <w:r w:rsidR="00065762">
        <w:rPr>
          <w:rFonts w:ascii="Arial" w:hAnsi="Arial" w:cs="Arial"/>
          <w:sz w:val="20"/>
          <w:szCs w:val="20"/>
        </w:rPr>
        <w:t>).</w:t>
      </w:r>
    </w:p>
    <w:p w:rsidR="00F32EF3" w:rsidRDefault="00F32EF3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732D8">
        <w:rPr>
          <w:rFonts w:ascii="Arial" w:hAnsi="Arial" w:cs="Arial"/>
          <w:sz w:val="20"/>
          <w:szCs w:val="20"/>
        </w:rPr>
        <w:t xml:space="preserve">Circular No. </w:t>
      </w:r>
      <w:r>
        <w:rPr>
          <w:rFonts w:ascii="Arial" w:hAnsi="Arial" w:cs="Arial"/>
          <w:sz w:val="20"/>
          <w:szCs w:val="20"/>
        </w:rPr>
        <w:t>12</w:t>
      </w:r>
      <w:r w:rsidRPr="00E732D8">
        <w:rPr>
          <w:rFonts w:ascii="Arial" w:hAnsi="Arial" w:cs="Arial"/>
          <w:sz w:val="20"/>
          <w:szCs w:val="20"/>
        </w:rPr>
        <w:t>/2022/TT-NHNN comprises of 0</w:t>
      </w:r>
      <w:r>
        <w:rPr>
          <w:rFonts w:ascii="Arial" w:hAnsi="Arial" w:cs="Arial"/>
          <w:sz w:val="20"/>
          <w:szCs w:val="20"/>
        </w:rPr>
        <w:t>8</w:t>
      </w:r>
      <w:r w:rsidRPr="00E732D8">
        <w:rPr>
          <w:rFonts w:ascii="Arial" w:hAnsi="Arial" w:cs="Arial"/>
          <w:sz w:val="20"/>
          <w:szCs w:val="20"/>
        </w:rPr>
        <w:t xml:space="preserve"> Chapters with 1</w:t>
      </w:r>
      <w:r>
        <w:rPr>
          <w:rFonts w:ascii="Arial" w:hAnsi="Arial" w:cs="Arial"/>
          <w:sz w:val="20"/>
          <w:szCs w:val="20"/>
        </w:rPr>
        <w:t>2</w:t>
      </w:r>
      <w:r w:rsidRPr="00E732D8">
        <w:rPr>
          <w:rFonts w:ascii="Arial" w:hAnsi="Arial" w:cs="Arial"/>
          <w:sz w:val="20"/>
          <w:szCs w:val="20"/>
        </w:rPr>
        <w:t xml:space="preserve"> Articles, </w:t>
      </w:r>
      <w:r w:rsidRPr="00F32EF3">
        <w:rPr>
          <w:rFonts w:ascii="Arial" w:hAnsi="Arial" w:cs="Arial"/>
          <w:sz w:val="20"/>
          <w:szCs w:val="20"/>
        </w:rPr>
        <w:t xml:space="preserve">with </w:t>
      </w:r>
      <w:r w:rsidR="00C64B06">
        <w:rPr>
          <w:rFonts w:ascii="Arial" w:hAnsi="Arial" w:cs="Arial"/>
          <w:sz w:val="20"/>
          <w:szCs w:val="20"/>
        </w:rPr>
        <w:t xml:space="preserve">specific </w:t>
      </w:r>
      <w:r w:rsidRPr="00F32EF3">
        <w:rPr>
          <w:rFonts w:ascii="Arial" w:hAnsi="Arial" w:cs="Arial"/>
          <w:sz w:val="20"/>
          <w:szCs w:val="20"/>
        </w:rPr>
        <w:t>provisions on</w:t>
      </w:r>
      <w:r>
        <w:rPr>
          <w:rFonts w:ascii="Arial" w:hAnsi="Arial" w:cs="Arial"/>
          <w:sz w:val="20"/>
          <w:szCs w:val="20"/>
        </w:rPr>
        <w:t>:</w:t>
      </w:r>
    </w:p>
    <w:p w:rsidR="00F32EF3" w:rsidRDefault="00F32EF3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</w:t>
      </w:r>
      <w:r w:rsidR="005F0FC1">
        <w:rPr>
          <w:rFonts w:ascii="Arial" w:hAnsi="Arial" w:cs="Arial"/>
          <w:sz w:val="20"/>
          <w:szCs w:val="20"/>
        </w:rPr>
        <w:t xml:space="preserve">The </w:t>
      </w:r>
      <w:r w:rsidR="00C64B06">
        <w:rPr>
          <w:rFonts w:ascii="Arial" w:hAnsi="Arial" w:cs="Arial"/>
          <w:sz w:val="20"/>
          <w:szCs w:val="20"/>
        </w:rPr>
        <w:t>sequence and</w:t>
      </w:r>
      <w:r w:rsidR="005F0FC1">
        <w:rPr>
          <w:rFonts w:ascii="Arial" w:hAnsi="Arial" w:cs="Arial"/>
          <w:sz w:val="20"/>
          <w:szCs w:val="20"/>
        </w:rPr>
        <w:t xml:space="preserve"> </w:t>
      </w:r>
      <w:r w:rsidR="005F0FC1" w:rsidRPr="005F0FC1">
        <w:rPr>
          <w:rFonts w:ascii="Arial" w:hAnsi="Arial" w:cs="Arial"/>
          <w:sz w:val="20"/>
          <w:szCs w:val="20"/>
        </w:rPr>
        <w:t xml:space="preserve">procedures for </w:t>
      </w:r>
      <w:r w:rsidR="00C64B06">
        <w:rPr>
          <w:rFonts w:ascii="Arial" w:hAnsi="Arial" w:cs="Arial"/>
          <w:sz w:val="20"/>
          <w:szCs w:val="20"/>
        </w:rPr>
        <w:t xml:space="preserve">a new </w:t>
      </w:r>
      <w:r w:rsidR="005F0FC1" w:rsidRPr="005F0FC1">
        <w:rPr>
          <w:rFonts w:ascii="Arial" w:hAnsi="Arial" w:cs="Arial"/>
          <w:sz w:val="20"/>
          <w:szCs w:val="20"/>
        </w:rPr>
        <w:t>registration</w:t>
      </w:r>
      <w:r w:rsidR="005F0FC1">
        <w:rPr>
          <w:rFonts w:ascii="Arial" w:hAnsi="Arial" w:cs="Arial"/>
          <w:sz w:val="20"/>
          <w:szCs w:val="20"/>
        </w:rPr>
        <w:t xml:space="preserve">, </w:t>
      </w:r>
      <w:r w:rsidR="005F0FC1" w:rsidRPr="005F0FC1">
        <w:rPr>
          <w:rFonts w:ascii="Arial" w:hAnsi="Arial" w:cs="Arial"/>
          <w:sz w:val="20"/>
          <w:szCs w:val="20"/>
        </w:rPr>
        <w:t>regist</w:t>
      </w:r>
      <w:r w:rsidR="00555938">
        <w:rPr>
          <w:rFonts w:ascii="Arial" w:hAnsi="Arial" w:cs="Arial"/>
          <w:sz w:val="20"/>
          <w:szCs w:val="20"/>
        </w:rPr>
        <w:t>e</w:t>
      </w:r>
      <w:r w:rsidR="005F0FC1" w:rsidRPr="005F0FC1">
        <w:rPr>
          <w:rFonts w:ascii="Arial" w:hAnsi="Arial" w:cs="Arial"/>
          <w:sz w:val="20"/>
          <w:szCs w:val="20"/>
        </w:rPr>
        <w:t>r</w:t>
      </w:r>
      <w:r w:rsidR="00555938">
        <w:rPr>
          <w:rFonts w:ascii="Arial" w:hAnsi="Arial" w:cs="Arial"/>
          <w:sz w:val="20"/>
          <w:szCs w:val="20"/>
        </w:rPr>
        <w:t>ing</w:t>
      </w:r>
      <w:r w:rsidR="005F0FC1" w:rsidRPr="005F0FC1">
        <w:rPr>
          <w:rFonts w:ascii="Arial" w:hAnsi="Arial" w:cs="Arial"/>
          <w:sz w:val="20"/>
          <w:szCs w:val="20"/>
        </w:rPr>
        <w:t xml:space="preserve"> for </w:t>
      </w:r>
      <w:r w:rsidR="00C64B06">
        <w:rPr>
          <w:rFonts w:ascii="Arial" w:hAnsi="Arial" w:cs="Arial"/>
          <w:sz w:val="20"/>
          <w:szCs w:val="20"/>
        </w:rPr>
        <w:t xml:space="preserve">a </w:t>
      </w:r>
      <w:r w:rsidR="005F0FC1" w:rsidRPr="005F0FC1">
        <w:rPr>
          <w:rFonts w:ascii="Arial" w:hAnsi="Arial" w:cs="Arial"/>
          <w:sz w:val="20"/>
          <w:szCs w:val="20"/>
        </w:rPr>
        <w:t xml:space="preserve">change in </w:t>
      </w:r>
      <w:r w:rsidR="00C64B06">
        <w:rPr>
          <w:rFonts w:ascii="Arial" w:hAnsi="Arial" w:cs="Arial"/>
          <w:sz w:val="20"/>
          <w:szCs w:val="20"/>
        </w:rPr>
        <w:t xml:space="preserve">a company’s </w:t>
      </w:r>
      <w:r w:rsidR="005F0FC1">
        <w:rPr>
          <w:rFonts w:ascii="Arial" w:hAnsi="Arial" w:cs="Arial"/>
          <w:sz w:val="20"/>
          <w:szCs w:val="20"/>
        </w:rPr>
        <w:t>foreign</w:t>
      </w:r>
      <w:r w:rsidR="005F0FC1" w:rsidRPr="005F0FC1">
        <w:rPr>
          <w:rFonts w:ascii="Arial" w:hAnsi="Arial" w:cs="Arial"/>
          <w:sz w:val="20"/>
          <w:szCs w:val="20"/>
        </w:rPr>
        <w:t xml:space="preserve"> loan</w:t>
      </w:r>
      <w:r w:rsidR="00632609">
        <w:rPr>
          <w:rFonts w:ascii="Arial" w:hAnsi="Arial" w:cs="Arial"/>
          <w:sz w:val="20"/>
          <w:szCs w:val="20"/>
        </w:rPr>
        <w:t>(</w:t>
      </w:r>
      <w:r w:rsidR="005F0FC1" w:rsidRPr="005F0FC1">
        <w:rPr>
          <w:rFonts w:ascii="Arial" w:hAnsi="Arial" w:cs="Arial"/>
          <w:sz w:val="20"/>
          <w:szCs w:val="20"/>
        </w:rPr>
        <w:t>s</w:t>
      </w:r>
      <w:r w:rsidR="00632609">
        <w:rPr>
          <w:rFonts w:ascii="Arial" w:hAnsi="Arial" w:cs="Arial"/>
          <w:sz w:val="20"/>
          <w:szCs w:val="20"/>
        </w:rPr>
        <w:t>)</w:t>
      </w:r>
      <w:r w:rsidR="005F0FC1" w:rsidRPr="005F0FC1">
        <w:rPr>
          <w:rFonts w:ascii="Arial" w:hAnsi="Arial" w:cs="Arial"/>
          <w:sz w:val="20"/>
          <w:szCs w:val="20"/>
        </w:rPr>
        <w:t xml:space="preserve"> not guaranteed by the Government</w:t>
      </w:r>
      <w:r w:rsidR="005F0FC1">
        <w:rPr>
          <w:rFonts w:ascii="Arial" w:hAnsi="Arial" w:cs="Arial"/>
          <w:sz w:val="20"/>
          <w:szCs w:val="20"/>
        </w:rPr>
        <w:t>;</w:t>
      </w:r>
    </w:p>
    <w:p w:rsidR="005F0FC1" w:rsidRDefault="005F0FC1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 T</w:t>
      </w:r>
      <w:r w:rsidRPr="005F0FC1">
        <w:rPr>
          <w:rFonts w:ascii="Arial" w:hAnsi="Arial" w:cs="Arial"/>
          <w:sz w:val="20"/>
          <w:szCs w:val="20"/>
        </w:rPr>
        <w:t xml:space="preserve">he opening and use of accounts by </w:t>
      </w:r>
      <w:r w:rsidR="00C64B06">
        <w:rPr>
          <w:rFonts w:ascii="Arial" w:hAnsi="Arial" w:cs="Arial"/>
          <w:sz w:val="20"/>
          <w:szCs w:val="20"/>
        </w:rPr>
        <w:t xml:space="preserve">the </w:t>
      </w:r>
      <w:r w:rsidRPr="005F0FC1">
        <w:rPr>
          <w:rFonts w:ascii="Arial" w:hAnsi="Arial" w:cs="Arial"/>
          <w:sz w:val="20"/>
          <w:szCs w:val="20"/>
        </w:rPr>
        <w:t xml:space="preserve">borrowers and </w:t>
      </w:r>
      <w:r w:rsidR="00C64B06">
        <w:rPr>
          <w:rFonts w:ascii="Arial" w:hAnsi="Arial" w:cs="Arial"/>
          <w:sz w:val="20"/>
          <w:szCs w:val="20"/>
        </w:rPr>
        <w:t xml:space="preserve">the </w:t>
      </w:r>
      <w:r w:rsidRPr="005F0FC1">
        <w:rPr>
          <w:rFonts w:ascii="Arial" w:hAnsi="Arial" w:cs="Arial"/>
          <w:sz w:val="20"/>
          <w:szCs w:val="20"/>
        </w:rPr>
        <w:t>lenders</w:t>
      </w:r>
      <w:r>
        <w:rPr>
          <w:rFonts w:ascii="Arial" w:hAnsi="Arial" w:cs="Arial"/>
          <w:sz w:val="20"/>
          <w:szCs w:val="20"/>
        </w:rPr>
        <w:t>;</w:t>
      </w:r>
    </w:p>
    <w:p w:rsidR="005F0FC1" w:rsidRDefault="005F0FC1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(iii) C</w:t>
      </w:r>
      <w:r w:rsidRPr="005F0FC1">
        <w:rPr>
          <w:rFonts w:ascii="Arial" w:hAnsi="Arial" w:cs="Arial"/>
          <w:sz w:val="20"/>
          <w:szCs w:val="20"/>
        </w:rPr>
        <w:t xml:space="preserve">apital withdrawal, money transfer related to </w:t>
      </w:r>
      <w:r w:rsidR="00C64B06">
        <w:rPr>
          <w:rFonts w:ascii="Arial" w:hAnsi="Arial" w:cs="Arial"/>
          <w:sz w:val="20"/>
          <w:szCs w:val="20"/>
        </w:rPr>
        <w:t xml:space="preserve">the </w:t>
      </w:r>
      <w:r w:rsidRPr="005F0FC1">
        <w:rPr>
          <w:rFonts w:ascii="Arial" w:hAnsi="Arial" w:cs="Arial"/>
          <w:sz w:val="20"/>
          <w:szCs w:val="20"/>
        </w:rPr>
        <w:t xml:space="preserve">loan </w:t>
      </w:r>
      <w:r w:rsidR="00C64B06">
        <w:rPr>
          <w:rFonts w:ascii="Arial" w:hAnsi="Arial" w:cs="Arial"/>
          <w:sz w:val="20"/>
          <w:szCs w:val="20"/>
        </w:rPr>
        <w:t>implementation</w:t>
      </w:r>
      <w:r>
        <w:rPr>
          <w:rFonts w:ascii="Arial" w:hAnsi="Arial" w:cs="Arial"/>
          <w:sz w:val="20"/>
          <w:szCs w:val="20"/>
        </w:rPr>
        <w:t>;</w:t>
      </w:r>
    </w:p>
    <w:p w:rsidR="005F0FC1" w:rsidRDefault="005F0FC1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(iv) </w:t>
      </w:r>
      <w:r w:rsidR="000E508B">
        <w:rPr>
          <w:rFonts w:ascii="Arial" w:hAnsi="Arial" w:cs="Arial"/>
          <w:sz w:val="20"/>
          <w:szCs w:val="20"/>
        </w:rPr>
        <w:t>Money</w:t>
      </w:r>
      <w:proofErr w:type="gramEnd"/>
      <w:r w:rsidR="000E508B" w:rsidRPr="000E508B">
        <w:rPr>
          <w:rFonts w:ascii="Arial" w:hAnsi="Arial" w:cs="Arial"/>
          <w:sz w:val="20"/>
          <w:szCs w:val="20"/>
        </w:rPr>
        <w:t xml:space="preserve"> transfer</w:t>
      </w:r>
      <w:r w:rsidR="00C64B06">
        <w:rPr>
          <w:rFonts w:ascii="Arial" w:hAnsi="Arial" w:cs="Arial"/>
          <w:sz w:val="20"/>
          <w:szCs w:val="20"/>
        </w:rPr>
        <w:t>s</w:t>
      </w:r>
      <w:r w:rsidR="000E508B" w:rsidRPr="000E508B">
        <w:rPr>
          <w:rFonts w:ascii="Arial" w:hAnsi="Arial" w:cs="Arial"/>
          <w:sz w:val="20"/>
          <w:szCs w:val="20"/>
        </w:rPr>
        <w:t xml:space="preserve"> related to the </w:t>
      </w:r>
      <w:r w:rsidR="00C64B06">
        <w:rPr>
          <w:rFonts w:ascii="Arial" w:hAnsi="Arial" w:cs="Arial"/>
          <w:sz w:val="20"/>
          <w:szCs w:val="20"/>
        </w:rPr>
        <w:t>implementation</w:t>
      </w:r>
      <w:r w:rsidR="000E508B" w:rsidRPr="000E508B">
        <w:rPr>
          <w:rFonts w:ascii="Arial" w:hAnsi="Arial" w:cs="Arial"/>
          <w:sz w:val="20"/>
          <w:szCs w:val="20"/>
        </w:rPr>
        <w:t xml:space="preserve"> of </w:t>
      </w:r>
      <w:r w:rsidR="00C64B06">
        <w:rPr>
          <w:rFonts w:ascii="Arial" w:hAnsi="Arial" w:cs="Arial"/>
          <w:sz w:val="20"/>
          <w:szCs w:val="20"/>
        </w:rPr>
        <w:t>guarantees for</w:t>
      </w:r>
      <w:r w:rsidR="000E508B" w:rsidRPr="000E508B">
        <w:rPr>
          <w:rFonts w:ascii="Arial" w:hAnsi="Arial" w:cs="Arial"/>
          <w:sz w:val="20"/>
          <w:szCs w:val="20"/>
        </w:rPr>
        <w:t xml:space="preserve"> </w:t>
      </w:r>
      <w:r w:rsidR="00C64B06">
        <w:rPr>
          <w:rFonts w:ascii="Arial" w:hAnsi="Arial" w:cs="Arial"/>
          <w:sz w:val="20"/>
          <w:szCs w:val="20"/>
        </w:rPr>
        <w:t xml:space="preserve">a </w:t>
      </w:r>
      <w:r w:rsidR="000E508B" w:rsidRPr="000E508B">
        <w:rPr>
          <w:rFonts w:ascii="Arial" w:hAnsi="Arial" w:cs="Arial"/>
          <w:sz w:val="20"/>
          <w:szCs w:val="20"/>
        </w:rPr>
        <w:t>foreign loan</w:t>
      </w:r>
      <w:r w:rsidR="00F764AD">
        <w:rPr>
          <w:rFonts w:ascii="Arial" w:hAnsi="Arial" w:cs="Arial"/>
          <w:sz w:val="20"/>
          <w:szCs w:val="20"/>
        </w:rPr>
        <w:t xml:space="preserve"> (</w:t>
      </w:r>
      <w:r w:rsidR="00C64B06">
        <w:rPr>
          <w:rFonts w:ascii="Arial" w:hAnsi="Arial" w:cs="Arial"/>
          <w:sz w:val="20"/>
          <w:szCs w:val="20"/>
        </w:rPr>
        <w:t xml:space="preserve">the </w:t>
      </w:r>
      <w:r w:rsidR="00F764AD" w:rsidRPr="00F764AD">
        <w:rPr>
          <w:rFonts w:ascii="Arial" w:hAnsi="Arial" w:cs="Arial"/>
          <w:sz w:val="20"/>
          <w:szCs w:val="20"/>
        </w:rPr>
        <w:t xml:space="preserve">handling </w:t>
      </w:r>
      <w:r w:rsidR="00C64B06">
        <w:rPr>
          <w:rFonts w:ascii="Arial" w:hAnsi="Arial" w:cs="Arial"/>
          <w:sz w:val="20"/>
          <w:szCs w:val="20"/>
        </w:rPr>
        <w:t xml:space="preserve">of a </w:t>
      </w:r>
      <w:r w:rsidR="00F764AD" w:rsidRPr="00F764AD">
        <w:rPr>
          <w:rFonts w:ascii="Arial" w:hAnsi="Arial" w:cs="Arial"/>
          <w:sz w:val="20"/>
          <w:szCs w:val="20"/>
        </w:rPr>
        <w:t xml:space="preserve">collateral </w:t>
      </w:r>
      <w:r w:rsidR="00C64B06">
        <w:rPr>
          <w:rFonts w:ascii="Arial" w:hAnsi="Arial" w:cs="Arial"/>
          <w:sz w:val="20"/>
          <w:szCs w:val="20"/>
        </w:rPr>
        <w:t>on Vietnam’s</w:t>
      </w:r>
      <w:r w:rsidR="00F764AD" w:rsidRPr="00F764AD">
        <w:rPr>
          <w:rFonts w:ascii="Arial" w:hAnsi="Arial" w:cs="Arial"/>
          <w:sz w:val="20"/>
          <w:szCs w:val="20"/>
        </w:rPr>
        <w:t xml:space="preserve"> territory</w:t>
      </w:r>
      <w:r w:rsidR="00F764AD">
        <w:rPr>
          <w:rFonts w:ascii="Arial" w:hAnsi="Arial" w:cs="Arial"/>
          <w:sz w:val="20"/>
          <w:szCs w:val="20"/>
        </w:rPr>
        <w:t xml:space="preserve">, </w:t>
      </w:r>
      <w:r w:rsidR="00C64B06">
        <w:rPr>
          <w:rFonts w:ascii="Arial" w:hAnsi="Arial" w:cs="Arial"/>
          <w:sz w:val="20"/>
          <w:szCs w:val="20"/>
        </w:rPr>
        <w:t xml:space="preserve">the </w:t>
      </w:r>
      <w:r w:rsidR="00F764AD">
        <w:rPr>
          <w:rFonts w:ascii="Arial" w:hAnsi="Arial" w:cs="Arial"/>
          <w:sz w:val="20"/>
          <w:szCs w:val="20"/>
        </w:rPr>
        <w:t>transfer</w:t>
      </w:r>
      <w:r w:rsidR="00C64B06">
        <w:rPr>
          <w:rFonts w:ascii="Arial" w:hAnsi="Arial" w:cs="Arial"/>
          <w:sz w:val="20"/>
          <w:szCs w:val="20"/>
        </w:rPr>
        <w:t xml:space="preserve"> of</w:t>
      </w:r>
      <w:r w:rsidR="00F764AD">
        <w:rPr>
          <w:rFonts w:ascii="Arial" w:hAnsi="Arial" w:cs="Arial"/>
          <w:sz w:val="20"/>
          <w:szCs w:val="20"/>
        </w:rPr>
        <w:t xml:space="preserve"> </w:t>
      </w:r>
      <w:r w:rsidR="00C64B06">
        <w:rPr>
          <w:rFonts w:ascii="Arial" w:hAnsi="Arial" w:cs="Arial"/>
          <w:sz w:val="20"/>
          <w:szCs w:val="20"/>
        </w:rPr>
        <w:t xml:space="preserve">the </w:t>
      </w:r>
      <w:r w:rsidR="00F764AD">
        <w:rPr>
          <w:rFonts w:ascii="Arial" w:hAnsi="Arial" w:cs="Arial"/>
          <w:sz w:val="20"/>
          <w:szCs w:val="20"/>
        </w:rPr>
        <w:t>g</w:t>
      </w:r>
      <w:r w:rsidR="00F764AD" w:rsidRPr="00F764AD">
        <w:rPr>
          <w:rFonts w:ascii="Arial" w:hAnsi="Arial" w:cs="Arial"/>
          <w:sz w:val="20"/>
          <w:szCs w:val="20"/>
        </w:rPr>
        <w:t>uarantee money</w:t>
      </w:r>
      <w:r w:rsidR="00F764AD">
        <w:rPr>
          <w:rFonts w:ascii="Arial" w:hAnsi="Arial" w:cs="Arial"/>
          <w:sz w:val="20"/>
          <w:szCs w:val="20"/>
        </w:rPr>
        <w:t xml:space="preserve">, </w:t>
      </w:r>
      <w:r w:rsidR="00C64B06">
        <w:rPr>
          <w:rFonts w:ascii="Arial" w:hAnsi="Arial" w:cs="Arial"/>
          <w:sz w:val="20"/>
          <w:szCs w:val="20"/>
        </w:rPr>
        <w:t xml:space="preserve">the </w:t>
      </w:r>
      <w:r w:rsidR="00F764AD">
        <w:rPr>
          <w:rFonts w:ascii="Arial" w:hAnsi="Arial" w:cs="Arial"/>
          <w:sz w:val="20"/>
          <w:szCs w:val="20"/>
        </w:rPr>
        <w:t>refund</w:t>
      </w:r>
      <w:r w:rsidR="00C64B06">
        <w:rPr>
          <w:rFonts w:ascii="Arial" w:hAnsi="Arial" w:cs="Arial"/>
          <w:sz w:val="20"/>
          <w:szCs w:val="20"/>
        </w:rPr>
        <w:t xml:space="preserve"> of</w:t>
      </w:r>
      <w:r w:rsidR="00F764AD">
        <w:rPr>
          <w:rFonts w:ascii="Arial" w:hAnsi="Arial" w:cs="Arial"/>
          <w:sz w:val="20"/>
          <w:szCs w:val="20"/>
        </w:rPr>
        <w:t xml:space="preserve"> the </w:t>
      </w:r>
      <w:r w:rsidR="00C64B06">
        <w:rPr>
          <w:rFonts w:ascii="Arial" w:hAnsi="Arial" w:cs="Arial"/>
          <w:sz w:val="20"/>
          <w:szCs w:val="20"/>
        </w:rPr>
        <w:t>loan</w:t>
      </w:r>
      <w:r w:rsidR="00F764AD">
        <w:rPr>
          <w:rFonts w:ascii="Arial" w:hAnsi="Arial" w:cs="Arial"/>
          <w:sz w:val="20"/>
          <w:szCs w:val="20"/>
        </w:rPr>
        <w:t xml:space="preserve"> receipt, etc.);</w:t>
      </w:r>
    </w:p>
    <w:p w:rsidR="00F764AD" w:rsidRDefault="00F764AD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(v) Us</w:t>
      </w:r>
      <w:r w:rsidR="00C64B06">
        <w:rPr>
          <w:rFonts w:ascii="Arial" w:hAnsi="Arial" w:cs="Arial"/>
          <w:sz w:val="20"/>
          <w:szCs w:val="20"/>
        </w:rPr>
        <w:t>e of the</w:t>
      </w:r>
      <w:r>
        <w:rPr>
          <w:rFonts w:ascii="Arial" w:hAnsi="Arial" w:cs="Arial"/>
          <w:sz w:val="20"/>
          <w:szCs w:val="20"/>
        </w:rPr>
        <w:t xml:space="preserve"> electronic portal;</w:t>
      </w:r>
    </w:p>
    <w:p w:rsidR="00F764AD" w:rsidRDefault="00F764AD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(vi) </w:t>
      </w:r>
      <w:r w:rsidR="00760769">
        <w:rPr>
          <w:rFonts w:ascii="Arial" w:hAnsi="Arial" w:cs="Arial"/>
          <w:sz w:val="20"/>
          <w:szCs w:val="20"/>
        </w:rPr>
        <w:t>The</w:t>
      </w:r>
      <w:proofErr w:type="gramEnd"/>
      <w:r w:rsidR="00760769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eport</w:t>
      </w:r>
      <w:r w:rsidR="00760769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2F0389">
        <w:rPr>
          <w:rFonts w:ascii="Arial" w:hAnsi="Arial" w:cs="Arial"/>
          <w:sz w:val="20"/>
          <w:szCs w:val="20"/>
        </w:rPr>
        <w:t>mechanism</w:t>
      </w:r>
      <w:r>
        <w:rPr>
          <w:rFonts w:ascii="Arial" w:hAnsi="Arial" w:cs="Arial"/>
          <w:sz w:val="20"/>
          <w:szCs w:val="20"/>
        </w:rPr>
        <w:t xml:space="preserve"> </w:t>
      </w:r>
      <w:r w:rsidR="00760769">
        <w:rPr>
          <w:rFonts w:ascii="Arial" w:hAnsi="Arial" w:cs="Arial"/>
          <w:sz w:val="20"/>
          <w:szCs w:val="20"/>
        </w:rPr>
        <w:t>applicable to</w:t>
      </w:r>
      <w:r w:rsidRPr="00F764AD">
        <w:rPr>
          <w:rFonts w:ascii="Arial" w:hAnsi="Arial" w:cs="Arial"/>
          <w:sz w:val="20"/>
          <w:szCs w:val="20"/>
        </w:rPr>
        <w:t xml:space="preserve"> </w:t>
      </w:r>
      <w:r w:rsidR="00760769">
        <w:rPr>
          <w:rFonts w:ascii="Arial" w:hAnsi="Arial" w:cs="Arial"/>
          <w:sz w:val="20"/>
          <w:szCs w:val="20"/>
        </w:rPr>
        <w:t xml:space="preserve">the </w:t>
      </w:r>
      <w:r w:rsidRPr="00F764AD">
        <w:rPr>
          <w:rFonts w:ascii="Arial" w:hAnsi="Arial" w:cs="Arial"/>
          <w:sz w:val="20"/>
          <w:szCs w:val="20"/>
        </w:rPr>
        <w:t>borrowing and pay</w:t>
      </w:r>
      <w:r w:rsidR="00760769">
        <w:rPr>
          <w:rFonts w:ascii="Arial" w:hAnsi="Arial" w:cs="Arial"/>
          <w:sz w:val="20"/>
          <w:szCs w:val="20"/>
        </w:rPr>
        <w:t xml:space="preserve">ment </w:t>
      </w:r>
      <w:proofErr w:type="spellStart"/>
      <w:r w:rsidR="00760769">
        <w:rPr>
          <w:rFonts w:ascii="Arial" w:hAnsi="Arial" w:cs="Arial"/>
          <w:sz w:val="20"/>
          <w:szCs w:val="20"/>
        </w:rPr>
        <w:t>of</w:t>
      </w:r>
      <w:r w:rsidRPr="00F764AD">
        <w:rPr>
          <w:rFonts w:ascii="Arial" w:hAnsi="Arial" w:cs="Arial"/>
          <w:sz w:val="20"/>
          <w:szCs w:val="20"/>
        </w:rPr>
        <w:t>g</w:t>
      </w:r>
      <w:proofErr w:type="spellEnd"/>
      <w:r w:rsidRPr="00F764AD">
        <w:rPr>
          <w:rFonts w:ascii="Arial" w:hAnsi="Arial" w:cs="Arial"/>
          <w:sz w:val="20"/>
          <w:szCs w:val="20"/>
        </w:rPr>
        <w:t xml:space="preserve"> </w:t>
      </w:r>
      <w:r w:rsidR="00760769">
        <w:rPr>
          <w:rFonts w:ascii="Arial" w:hAnsi="Arial" w:cs="Arial"/>
          <w:sz w:val="20"/>
          <w:szCs w:val="20"/>
        </w:rPr>
        <w:t xml:space="preserve">a company’s </w:t>
      </w:r>
      <w:r w:rsidRPr="00F764AD">
        <w:rPr>
          <w:rFonts w:ascii="Arial" w:hAnsi="Arial" w:cs="Arial"/>
          <w:sz w:val="20"/>
          <w:szCs w:val="20"/>
        </w:rPr>
        <w:t xml:space="preserve">foreign </w:t>
      </w:r>
      <w:r w:rsidR="00632609">
        <w:rPr>
          <w:rFonts w:ascii="Arial" w:hAnsi="Arial" w:cs="Arial"/>
          <w:sz w:val="20"/>
          <w:szCs w:val="20"/>
        </w:rPr>
        <w:t>loan(s)</w:t>
      </w:r>
      <w:r w:rsidRPr="00F764AD">
        <w:rPr>
          <w:rFonts w:ascii="Arial" w:hAnsi="Arial" w:cs="Arial"/>
          <w:sz w:val="20"/>
          <w:szCs w:val="20"/>
        </w:rPr>
        <w:t xml:space="preserve"> not guaranteed by the </w:t>
      </w:r>
      <w:r>
        <w:rPr>
          <w:rFonts w:ascii="Arial" w:hAnsi="Arial" w:cs="Arial"/>
          <w:sz w:val="20"/>
          <w:szCs w:val="20"/>
        </w:rPr>
        <w:t>G</w:t>
      </w:r>
      <w:r w:rsidRPr="00F764AD">
        <w:rPr>
          <w:rFonts w:ascii="Arial" w:hAnsi="Arial" w:cs="Arial"/>
          <w:sz w:val="20"/>
          <w:szCs w:val="20"/>
        </w:rPr>
        <w:t>overnment</w:t>
      </w:r>
      <w:r>
        <w:rPr>
          <w:rFonts w:ascii="Arial" w:hAnsi="Arial" w:cs="Arial"/>
          <w:sz w:val="20"/>
          <w:szCs w:val="20"/>
        </w:rPr>
        <w:t>.</w:t>
      </w:r>
    </w:p>
    <w:p w:rsidR="001B57DF" w:rsidRDefault="00F764AD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764AD">
        <w:rPr>
          <w:rFonts w:ascii="Arial" w:hAnsi="Arial" w:cs="Arial"/>
          <w:sz w:val="20"/>
          <w:szCs w:val="20"/>
        </w:rPr>
        <w:t xml:space="preserve">n the principle of </w:t>
      </w:r>
      <w:r w:rsidR="00760769">
        <w:rPr>
          <w:rFonts w:ascii="Arial" w:hAnsi="Arial" w:cs="Arial"/>
          <w:sz w:val="20"/>
          <w:szCs w:val="20"/>
        </w:rPr>
        <w:t>continuing</w:t>
      </w:r>
      <w:r w:rsidRPr="00F764AD">
        <w:rPr>
          <w:rFonts w:ascii="Arial" w:hAnsi="Arial" w:cs="Arial"/>
          <w:sz w:val="20"/>
          <w:szCs w:val="20"/>
        </w:rPr>
        <w:t xml:space="preserve"> the provisions that </w:t>
      </w:r>
      <w:r w:rsidR="00760769">
        <w:rPr>
          <w:rFonts w:ascii="Arial" w:hAnsi="Arial" w:cs="Arial"/>
          <w:sz w:val="20"/>
          <w:szCs w:val="20"/>
        </w:rPr>
        <w:t>have been</w:t>
      </w:r>
      <w:r w:rsidRPr="00F764AD">
        <w:rPr>
          <w:rFonts w:ascii="Arial" w:hAnsi="Arial" w:cs="Arial"/>
          <w:sz w:val="20"/>
          <w:szCs w:val="20"/>
        </w:rPr>
        <w:t xml:space="preserve"> effectively applied in </w:t>
      </w:r>
      <w:r w:rsidR="003D334D">
        <w:rPr>
          <w:rFonts w:ascii="Arial" w:hAnsi="Arial" w:cs="Arial"/>
          <w:sz w:val="20"/>
          <w:szCs w:val="20"/>
        </w:rPr>
        <w:t>C</w:t>
      </w:r>
      <w:r w:rsidRPr="00F764AD">
        <w:rPr>
          <w:rFonts w:ascii="Arial" w:hAnsi="Arial" w:cs="Arial"/>
          <w:sz w:val="20"/>
          <w:szCs w:val="20"/>
        </w:rPr>
        <w:t>ircular</w:t>
      </w:r>
      <w:r w:rsidR="003D334D">
        <w:rPr>
          <w:rFonts w:ascii="Arial" w:hAnsi="Arial" w:cs="Arial"/>
          <w:sz w:val="20"/>
          <w:szCs w:val="20"/>
        </w:rPr>
        <w:t xml:space="preserve"> No. 03/2016/TT-NHNN, this Circular has </w:t>
      </w:r>
      <w:r w:rsidR="00760769">
        <w:rPr>
          <w:rFonts w:ascii="Arial" w:hAnsi="Arial" w:cs="Arial"/>
          <w:sz w:val="20"/>
          <w:szCs w:val="20"/>
        </w:rPr>
        <w:t xml:space="preserve">made some </w:t>
      </w:r>
      <w:r w:rsidR="003D334D">
        <w:rPr>
          <w:rFonts w:ascii="Arial" w:hAnsi="Arial" w:cs="Arial"/>
          <w:sz w:val="20"/>
          <w:szCs w:val="20"/>
        </w:rPr>
        <w:t xml:space="preserve">revisions </w:t>
      </w:r>
      <w:r w:rsidR="00760769">
        <w:rPr>
          <w:rFonts w:ascii="Arial" w:hAnsi="Arial" w:cs="Arial"/>
          <w:sz w:val="20"/>
          <w:szCs w:val="20"/>
        </w:rPr>
        <w:t xml:space="preserve">in order </w:t>
      </w:r>
      <w:r w:rsidR="003D334D">
        <w:rPr>
          <w:rFonts w:ascii="Arial" w:hAnsi="Arial" w:cs="Arial"/>
          <w:sz w:val="20"/>
          <w:szCs w:val="20"/>
        </w:rPr>
        <w:t xml:space="preserve">to </w:t>
      </w:r>
      <w:r w:rsidR="003D334D" w:rsidRPr="003D334D">
        <w:rPr>
          <w:rFonts w:ascii="Arial" w:hAnsi="Arial" w:cs="Arial"/>
          <w:sz w:val="20"/>
          <w:szCs w:val="20"/>
        </w:rPr>
        <w:t xml:space="preserve">meet the </w:t>
      </w:r>
      <w:r w:rsidR="00760769">
        <w:rPr>
          <w:rFonts w:ascii="Arial" w:hAnsi="Arial" w:cs="Arial"/>
          <w:sz w:val="20"/>
          <w:szCs w:val="20"/>
        </w:rPr>
        <w:t xml:space="preserve">companies’ </w:t>
      </w:r>
      <w:r w:rsidR="003D334D" w:rsidRPr="003D334D">
        <w:rPr>
          <w:rFonts w:ascii="Arial" w:hAnsi="Arial" w:cs="Arial"/>
          <w:sz w:val="20"/>
          <w:szCs w:val="20"/>
        </w:rPr>
        <w:t xml:space="preserve">practical needs of borrowing and paying foreign </w:t>
      </w:r>
      <w:r w:rsidR="00632609">
        <w:rPr>
          <w:rFonts w:ascii="Arial" w:hAnsi="Arial" w:cs="Arial"/>
          <w:sz w:val="20"/>
          <w:szCs w:val="20"/>
        </w:rPr>
        <w:t>loans</w:t>
      </w:r>
      <w:r w:rsidR="003D334D">
        <w:rPr>
          <w:rFonts w:ascii="Arial" w:hAnsi="Arial" w:cs="Arial"/>
          <w:sz w:val="20"/>
          <w:szCs w:val="20"/>
        </w:rPr>
        <w:t xml:space="preserve">, as well as </w:t>
      </w:r>
      <w:r w:rsidR="00760769">
        <w:rPr>
          <w:rFonts w:ascii="Arial" w:hAnsi="Arial" w:cs="Arial"/>
          <w:sz w:val="20"/>
          <w:szCs w:val="20"/>
        </w:rPr>
        <w:t xml:space="preserve">the SBV’s </w:t>
      </w:r>
      <w:r w:rsidR="003D334D">
        <w:rPr>
          <w:rFonts w:ascii="Arial" w:hAnsi="Arial" w:cs="Arial"/>
          <w:sz w:val="20"/>
          <w:szCs w:val="20"/>
        </w:rPr>
        <w:t xml:space="preserve">management </w:t>
      </w:r>
      <w:r w:rsidR="00760769">
        <w:rPr>
          <w:rFonts w:ascii="Arial" w:hAnsi="Arial" w:cs="Arial"/>
          <w:sz w:val="20"/>
          <w:szCs w:val="20"/>
        </w:rPr>
        <w:t>objectives</w:t>
      </w:r>
      <w:r w:rsidR="003D334D">
        <w:rPr>
          <w:rFonts w:ascii="Arial" w:hAnsi="Arial" w:cs="Arial"/>
          <w:sz w:val="20"/>
          <w:szCs w:val="20"/>
        </w:rPr>
        <w:t>.</w:t>
      </w:r>
      <w:r w:rsidR="001B57DF">
        <w:rPr>
          <w:rFonts w:ascii="Arial" w:hAnsi="Arial" w:cs="Arial"/>
          <w:sz w:val="20"/>
          <w:szCs w:val="20"/>
        </w:rPr>
        <w:t xml:space="preserve"> Comparing to Circular 03, </w:t>
      </w:r>
      <w:r w:rsidR="00760769">
        <w:rPr>
          <w:rFonts w:ascii="Arial" w:hAnsi="Arial" w:cs="Arial"/>
          <w:sz w:val="20"/>
          <w:szCs w:val="20"/>
        </w:rPr>
        <w:t xml:space="preserve">the </w:t>
      </w:r>
      <w:r w:rsidR="001B57DF">
        <w:rPr>
          <w:rFonts w:ascii="Arial" w:hAnsi="Arial" w:cs="Arial"/>
          <w:sz w:val="20"/>
          <w:szCs w:val="20"/>
        </w:rPr>
        <w:t xml:space="preserve">revisions focus on </w:t>
      </w:r>
      <w:r w:rsidR="00760769">
        <w:rPr>
          <w:rFonts w:ascii="Arial" w:hAnsi="Arial" w:cs="Arial"/>
          <w:sz w:val="20"/>
          <w:szCs w:val="20"/>
        </w:rPr>
        <w:t xml:space="preserve">the following </w:t>
      </w:r>
      <w:r w:rsidR="001B57DF">
        <w:rPr>
          <w:rFonts w:ascii="Arial" w:hAnsi="Arial" w:cs="Arial"/>
          <w:sz w:val="20"/>
          <w:szCs w:val="20"/>
        </w:rPr>
        <w:t xml:space="preserve">groups of </w:t>
      </w:r>
      <w:r w:rsidR="00760769">
        <w:rPr>
          <w:rFonts w:ascii="Arial" w:hAnsi="Arial" w:cs="Arial"/>
          <w:sz w:val="20"/>
          <w:szCs w:val="20"/>
        </w:rPr>
        <w:t>substances</w:t>
      </w:r>
      <w:r w:rsidR="001B57DF">
        <w:rPr>
          <w:rFonts w:ascii="Arial" w:hAnsi="Arial" w:cs="Arial"/>
          <w:sz w:val="20"/>
          <w:szCs w:val="20"/>
        </w:rPr>
        <w:t>:</w:t>
      </w:r>
    </w:p>
    <w:p w:rsidR="00F764AD" w:rsidRDefault="00E13047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</w:t>
      </w:r>
      <w:r w:rsidR="004E25C5">
        <w:rPr>
          <w:rFonts w:ascii="Arial" w:hAnsi="Arial" w:cs="Arial"/>
          <w:sz w:val="20"/>
          <w:szCs w:val="20"/>
        </w:rPr>
        <w:t>Continuing</w:t>
      </w:r>
      <w:r w:rsidR="004E25C5" w:rsidRPr="004E25C5">
        <w:rPr>
          <w:rFonts w:ascii="Arial" w:hAnsi="Arial" w:cs="Arial"/>
          <w:sz w:val="20"/>
          <w:szCs w:val="20"/>
        </w:rPr>
        <w:t xml:space="preserve"> t</w:t>
      </w:r>
      <w:r w:rsidR="00760769">
        <w:rPr>
          <w:rFonts w:ascii="Arial" w:hAnsi="Arial" w:cs="Arial"/>
          <w:sz w:val="20"/>
          <w:szCs w:val="20"/>
        </w:rPr>
        <w:t>he</w:t>
      </w:r>
      <w:r w:rsidR="004E25C5" w:rsidRPr="004E25C5">
        <w:rPr>
          <w:rFonts w:ascii="Arial" w:hAnsi="Arial" w:cs="Arial"/>
          <w:sz w:val="20"/>
          <w:szCs w:val="20"/>
        </w:rPr>
        <w:t xml:space="preserve"> </w:t>
      </w:r>
      <w:r w:rsidR="00760769">
        <w:rPr>
          <w:rFonts w:ascii="Arial" w:hAnsi="Arial" w:cs="Arial"/>
          <w:sz w:val="20"/>
          <w:szCs w:val="20"/>
        </w:rPr>
        <w:t xml:space="preserve">public </w:t>
      </w:r>
      <w:r w:rsidR="004E25C5" w:rsidRPr="004E25C5">
        <w:rPr>
          <w:rFonts w:ascii="Arial" w:hAnsi="Arial" w:cs="Arial"/>
          <w:sz w:val="20"/>
          <w:szCs w:val="20"/>
        </w:rPr>
        <w:t xml:space="preserve">administrative </w:t>
      </w:r>
      <w:r w:rsidR="00760769">
        <w:rPr>
          <w:rFonts w:ascii="Arial" w:hAnsi="Arial" w:cs="Arial"/>
          <w:sz w:val="20"/>
          <w:szCs w:val="20"/>
        </w:rPr>
        <w:t>reform (PAR)</w:t>
      </w:r>
      <w:r w:rsidR="004E25C5">
        <w:rPr>
          <w:rFonts w:ascii="Arial" w:hAnsi="Arial" w:cs="Arial"/>
          <w:sz w:val="20"/>
          <w:szCs w:val="20"/>
        </w:rPr>
        <w:t xml:space="preserve">: </w:t>
      </w:r>
      <w:r w:rsidR="004E25C5" w:rsidRPr="004E25C5">
        <w:rPr>
          <w:rFonts w:ascii="Arial" w:hAnsi="Arial" w:cs="Arial"/>
          <w:sz w:val="20"/>
          <w:szCs w:val="20"/>
        </w:rPr>
        <w:t>expand</w:t>
      </w:r>
      <w:r w:rsidR="004E25C5">
        <w:rPr>
          <w:rFonts w:ascii="Arial" w:hAnsi="Arial" w:cs="Arial"/>
          <w:sz w:val="20"/>
          <w:szCs w:val="20"/>
        </w:rPr>
        <w:t>ing</w:t>
      </w:r>
      <w:r w:rsidR="004E25C5" w:rsidRPr="004E25C5">
        <w:rPr>
          <w:rFonts w:ascii="Arial" w:hAnsi="Arial" w:cs="Arial"/>
          <w:sz w:val="20"/>
          <w:szCs w:val="20"/>
        </w:rPr>
        <w:t xml:space="preserve"> the cases that do not require </w:t>
      </w:r>
      <w:r w:rsidR="00555938">
        <w:rPr>
          <w:rFonts w:ascii="Arial" w:hAnsi="Arial" w:cs="Arial"/>
          <w:sz w:val="20"/>
          <w:szCs w:val="20"/>
        </w:rPr>
        <w:t>companies</w:t>
      </w:r>
      <w:r w:rsidR="004E25C5" w:rsidRPr="004E25C5">
        <w:rPr>
          <w:rFonts w:ascii="Arial" w:hAnsi="Arial" w:cs="Arial"/>
          <w:sz w:val="20"/>
          <w:szCs w:val="20"/>
        </w:rPr>
        <w:t xml:space="preserve"> to </w:t>
      </w:r>
      <w:r w:rsidR="00555938">
        <w:rPr>
          <w:rFonts w:ascii="Arial" w:hAnsi="Arial" w:cs="Arial"/>
          <w:sz w:val="20"/>
          <w:szCs w:val="20"/>
        </w:rPr>
        <w:t>follow the</w:t>
      </w:r>
      <w:r w:rsidR="004E25C5" w:rsidRPr="004E25C5">
        <w:rPr>
          <w:rFonts w:ascii="Arial" w:hAnsi="Arial" w:cs="Arial"/>
          <w:sz w:val="20"/>
          <w:szCs w:val="20"/>
        </w:rPr>
        <w:t xml:space="preserve"> procedures</w:t>
      </w:r>
      <w:r w:rsidR="00555938">
        <w:rPr>
          <w:rFonts w:ascii="Arial" w:hAnsi="Arial" w:cs="Arial"/>
          <w:sz w:val="20"/>
          <w:szCs w:val="20"/>
        </w:rPr>
        <w:t xml:space="preserve"> for a new registration</w:t>
      </w:r>
      <w:r w:rsidR="004E25C5" w:rsidRPr="004E25C5">
        <w:rPr>
          <w:rFonts w:ascii="Arial" w:hAnsi="Arial" w:cs="Arial"/>
          <w:sz w:val="20"/>
          <w:szCs w:val="20"/>
        </w:rPr>
        <w:t xml:space="preserve">, </w:t>
      </w:r>
      <w:r w:rsidR="004E25C5">
        <w:rPr>
          <w:rFonts w:ascii="Arial" w:hAnsi="Arial" w:cs="Arial"/>
          <w:sz w:val="20"/>
          <w:szCs w:val="20"/>
        </w:rPr>
        <w:t>regist</w:t>
      </w:r>
      <w:r w:rsidR="00555938">
        <w:rPr>
          <w:rFonts w:ascii="Arial" w:hAnsi="Arial" w:cs="Arial"/>
          <w:sz w:val="20"/>
          <w:szCs w:val="20"/>
        </w:rPr>
        <w:t>e</w:t>
      </w:r>
      <w:r w:rsidR="004E25C5">
        <w:rPr>
          <w:rFonts w:ascii="Arial" w:hAnsi="Arial" w:cs="Arial"/>
          <w:sz w:val="20"/>
          <w:szCs w:val="20"/>
        </w:rPr>
        <w:t>r</w:t>
      </w:r>
      <w:r w:rsidR="00555938">
        <w:rPr>
          <w:rFonts w:ascii="Arial" w:hAnsi="Arial" w:cs="Arial"/>
          <w:sz w:val="20"/>
          <w:szCs w:val="20"/>
        </w:rPr>
        <w:t>ing</w:t>
      </w:r>
      <w:r w:rsidR="004E25C5">
        <w:rPr>
          <w:rFonts w:ascii="Arial" w:hAnsi="Arial" w:cs="Arial"/>
          <w:sz w:val="20"/>
          <w:szCs w:val="20"/>
        </w:rPr>
        <w:t xml:space="preserve"> for </w:t>
      </w:r>
      <w:r w:rsidR="00555938">
        <w:rPr>
          <w:rFonts w:ascii="Arial" w:hAnsi="Arial" w:cs="Arial"/>
          <w:sz w:val="20"/>
          <w:szCs w:val="20"/>
        </w:rPr>
        <w:t>a</w:t>
      </w:r>
      <w:r w:rsidR="004E25C5">
        <w:rPr>
          <w:rFonts w:ascii="Arial" w:hAnsi="Arial" w:cs="Arial"/>
          <w:sz w:val="20"/>
          <w:szCs w:val="20"/>
        </w:rPr>
        <w:t xml:space="preserve"> change</w:t>
      </w:r>
      <w:r w:rsidR="00555938">
        <w:rPr>
          <w:rFonts w:ascii="Arial" w:hAnsi="Arial" w:cs="Arial"/>
          <w:sz w:val="20"/>
          <w:szCs w:val="20"/>
        </w:rPr>
        <w:t xml:space="preserve"> in the company’s foreign </w:t>
      </w:r>
      <w:r w:rsidR="00632609">
        <w:rPr>
          <w:rFonts w:ascii="Arial" w:hAnsi="Arial" w:cs="Arial"/>
          <w:sz w:val="20"/>
          <w:szCs w:val="20"/>
        </w:rPr>
        <w:t>loan</w:t>
      </w:r>
      <w:r w:rsidR="00555938">
        <w:rPr>
          <w:rFonts w:ascii="Arial" w:hAnsi="Arial" w:cs="Arial"/>
          <w:sz w:val="20"/>
          <w:szCs w:val="20"/>
        </w:rPr>
        <w:t>(s)</w:t>
      </w:r>
      <w:r w:rsidR="004E25C5">
        <w:rPr>
          <w:rFonts w:ascii="Arial" w:hAnsi="Arial" w:cs="Arial"/>
          <w:sz w:val="20"/>
          <w:szCs w:val="20"/>
        </w:rPr>
        <w:t xml:space="preserve">; </w:t>
      </w:r>
      <w:r w:rsidR="00555938">
        <w:rPr>
          <w:rFonts w:ascii="Arial" w:hAnsi="Arial" w:cs="Arial"/>
          <w:sz w:val="20"/>
          <w:szCs w:val="20"/>
        </w:rPr>
        <w:t>the d</w:t>
      </w:r>
      <w:r w:rsidR="004E25C5" w:rsidRPr="004E25C5">
        <w:rPr>
          <w:rFonts w:ascii="Arial" w:hAnsi="Arial" w:cs="Arial"/>
          <w:sz w:val="20"/>
          <w:szCs w:val="20"/>
        </w:rPr>
        <w:t xml:space="preserve">ecentralization </w:t>
      </w:r>
      <w:r w:rsidR="00555938">
        <w:rPr>
          <w:rFonts w:ascii="Arial" w:hAnsi="Arial" w:cs="Arial"/>
          <w:sz w:val="20"/>
          <w:szCs w:val="20"/>
        </w:rPr>
        <w:t xml:space="preserve">of authority </w:t>
      </w:r>
      <w:r w:rsidR="004E25C5" w:rsidRPr="004E25C5">
        <w:rPr>
          <w:rFonts w:ascii="Arial" w:hAnsi="Arial" w:cs="Arial"/>
          <w:sz w:val="20"/>
          <w:szCs w:val="20"/>
        </w:rPr>
        <w:t xml:space="preserve">in handling </w:t>
      </w:r>
      <w:r w:rsidR="00555938">
        <w:rPr>
          <w:rFonts w:ascii="Arial" w:hAnsi="Arial" w:cs="Arial"/>
          <w:sz w:val="20"/>
          <w:szCs w:val="20"/>
        </w:rPr>
        <w:t xml:space="preserve">with </w:t>
      </w:r>
      <w:r w:rsidR="004E25C5" w:rsidRPr="004E25C5">
        <w:rPr>
          <w:rFonts w:ascii="Arial" w:hAnsi="Arial" w:cs="Arial"/>
          <w:sz w:val="20"/>
          <w:szCs w:val="20"/>
        </w:rPr>
        <w:t>foreign loans in VND</w:t>
      </w:r>
      <w:r w:rsidR="004E25C5">
        <w:rPr>
          <w:rFonts w:ascii="Arial" w:hAnsi="Arial" w:cs="Arial"/>
          <w:sz w:val="20"/>
          <w:szCs w:val="20"/>
        </w:rPr>
        <w:t>;</w:t>
      </w:r>
    </w:p>
    <w:p w:rsidR="004E25C5" w:rsidRDefault="004E25C5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 Supplementing</w:t>
      </w:r>
      <w:r w:rsidRPr="004E25C5">
        <w:rPr>
          <w:rFonts w:ascii="Arial" w:hAnsi="Arial" w:cs="Arial"/>
          <w:sz w:val="20"/>
          <w:szCs w:val="20"/>
        </w:rPr>
        <w:t xml:space="preserve"> </w:t>
      </w:r>
      <w:r w:rsidR="000922F6">
        <w:rPr>
          <w:rFonts w:ascii="Arial" w:hAnsi="Arial" w:cs="Arial"/>
          <w:sz w:val="20"/>
          <w:szCs w:val="20"/>
        </w:rPr>
        <w:t>some instructions</w:t>
      </w:r>
      <w:r w:rsidRPr="004E25C5">
        <w:rPr>
          <w:rFonts w:ascii="Arial" w:hAnsi="Arial" w:cs="Arial"/>
          <w:sz w:val="20"/>
          <w:szCs w:val="20"/>
        </w:rPr>
        <w:t xml:space="preserve"> on </w:t>
      </w:r>
      <w:r w:rsidR="000922F6">
        <w:rPr>
          <w:rFonts w:ascii="Arial" w:hAnsi="Arial" w:cs="Arial"/>
          <w:sz w:val="20"/>
          <w:szCs w:val="20"/>
        </w:rPr>
        <w:t xml:space="preserve">the </w:t>
      </w:r>
      <w:r w:rsidRPr="004E25C5">
        <w:rPr>
          <w:rFonts w:ascii="Arial" w:hAnsi="Arial" w:cs="Arial"/>
          <w:sz w:val="20"/>
          <w:szCs w:val="20"/>
        </w:rPr>
        <w:t>foreign exchange management for asset</w:t>
      </w:r>
      <w:r w:rsidR="002F0389">
        <w:rPr>
          <w:rFonts w:ascii="Arial" w:hAnsi="Arial" w:cs="Arial"/>
          <w:sz w:val="20"/>
          <w:szCs w:val="20"/>
        </w:rPr>
        <w:t>s used as guarantees</w:t>
      </w:r>
      <w:r w:rsidRPr="004E25C5">
        <w:rPr>
          <w:rFonts w:ascii="Arial" w:hAnsi="Arial" w:cs="Arial"/>
          <w:sz w:val="20"/>
          <w:szCs w:val="20"/>
        </w:rPr>
        <w:t xml:space="preserve"> for foreign loans</w:t>
      </w:r>
      <w:r w:rsidR="00507C4D">
        <w:rPr>
          <w:rFonts w:ascii="Arial" w:hAnsi="Arial" w:cs="Arial"/>
          <w:sz w:val="20"/>
          <w:szCs w:val="20"/>
        </w:rPr>
        <w:t>;</w:t>
      </w:r>
    </w:p>
    <w:p w:rsidR="00507C4D" w:rsidRDefault="00507C4D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(iii) Supplementing provision</w:t>
      </w:r>
      <w:r w:rsidR="002F0389">
        <w:rPr>
          <w:rFonts w:ascii="Arial" w:hAnsi="Arial" w:cs="Arial"/>
          <w:sz w:val="20"/>
          <w:szCs w:val="20"/>
        </w:rPr>
        <w:t>s providing</w:t>
      </w:r>
      <w:r w:rsidRPr="00507C4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07C4D">
        <w:rPr>
          <w:rFonts w:ascii="Arial" w:hAnsi="Arial" w:cs="Arial"/>
          <w:sz w:val="20"/>
          <w:szCs w:val="20"/>
        </w:rPr>
        <w:t xml:space="preserve">guidance in case the original borrower </w:t>
      </w:r>
      <w:r w:rsidR="002F0389">
        <w:rPr>
          <w:rFonts w:ascii="Arial" w:hAnsi="Arial" w:cs="Arial"/>
          <w:sz w:val="20"/>
          <w:szCs w:val="20"/>
        </w:rPr>
        <w:t>experiences</w:t>
      </w:r>
      <w:r w:rsidRPr="00507C4D">
        <w:rPr>
          <w:rFonts w:ascii="Arial" w:hAnsi="Arial" w:cs="Arial"/>
          <w:sz w:val="20"/>
          <w:szCs w:val="20"/>
        </w:rPr>
        <w:t xml:space="preserve"> a division, separation, </w:t>
      </w:r>
      <w:r w:rsidR="002F0389">
        <w:rPr>
          <w:rFonts w:ascii="Arial" w:hAnsi="Arial" w:cs="Arial"/>
          <w:sz w:val="20"/>
          <w:szCs w:val="20"/>
        </w:rPr>
        <w:t>acquisition</w:t>
      </w:r>
      <w:r w:rsidRPr="00507C4D">
        <w:rPr>
          <w:rFonts w:ascii="Arial" w:hAnsi="Arial" w:cs="Arial"/>
          <w:sz w:val="20"/>
          <w:szCs w:val="20"/>
        </w:rPr>
        <w:t xml:space="preserve"> or merger</w:t>
      </w:r>
      <w:r>
        <w:rPr>
          <w:rFonts w:ascii="Arial" w:hAnsi="Arial" w:cs="Arial"/>
          <w:sz w:val="20"/>
          <w:szCs w:val="20"/>
        </w:rPr>
        <w:t>;</w:t>
      </w:r>
    </w:p>
    <w:p w:rsidR="00507C4D" w:rsidRDefault="00507C4D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(iv) Improving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F038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report</w:t>
      </w:r>
      <w:r w:rsidR="002F0389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2F0389">
        <w:rPr>
          <w:rFonts w:ascii="Arial" w:hAnsi="Arial" w:cs="Arial"/>
          <w:sz w:val="20"/>
          <w:szCs w:val="20"/>
        </w:rPr>
        <w:t>mechanism</w:t>
      </w:r>
      <w:r>
        <w:rPr>
          <w:rFonts w:ascii="Arial" w:hAnsi="Arial" w:cs="Arial"/>
          <w:sz w:val="20"/>
          <w:szCs w:val="20"/>
        </w:rPr>
        <w:t>.</w:t>
      </w:r>
    </w:p>
    <w:p w:rsidR="00F32EF3" w:rsidRDefault="00507C4D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507C4D">
        <w:rPr>
          <w:rFonts w:ascii="Arial" w:hAnsi="Arial" w:cs="Arial"/>
          <w:sz w:val="20"/>
          <w:szCs w:val="20"/>
        </w:rPr>
        <w:t xml:space="preserve">Circular </w:t>
      </w:r>
      <w:r w:rsidR="002F0389">
        <w:rPr>
          <w:rFonts w:ascii="Arial" w:hAnsi="Arial" w:cs="Arial"/>
          <w:sz w:val="20"/>
          <w:szCs w:val="20"/>
        </w:rPr>
        <w:t>is expected to help improve</w:t>
      </w:r>
      <w:r w:rsidRPr="00507C4D">
        <w:rPr>
          <w:rFonts w:ascii="Arial" w:hAnsi="Arial" w:cs="Arial"/>
          <w:sz w:val="20"/>
          <w:szCs w:val="20"/>
        </w:rPr>
        <w:t xml:space="preserve"> the legal framework</w:t>
      </w:r>
      <w:r>
        <w:rPr>
          <w:rFonts w:ascii="Arial" w:hAnsi="Arial" w:cs="Arial"/>
          <w:sz w:val="20"/>
          <w:szCs w:val="20"/>
        </w:rPr>
        <w:t xml:space="preserve"> on </w:t>
      </w:r>
      <w:r w:rsidR="002F0389">
        <w:rPr>
          <w:rFonts w:ascii="Arial" w:hAnsi="Arial" w:cs="Arial"/>
          <w:sz w:val="20"/>
          <w:szCs w:val="20"/>
        </w:rPr>
        <w:t xml:space="preserve">companies’ </w:t>
      </w:r>
      <w:r w:rsidRPr="00507C4D">
        <w:rPr>
          <w:rFonts w:ascii="Arial" w:hAnsi="Arial" w:cs="Arial"/>
          <w:sz w:val="20"/>
          <w:szCs w:val="20"/>
        </w:rPr>
        <w:t>borrowing and pay</w:t>
      </w:r>
      <w:r w:rsidR="002F0389">
        <w:rPr>
          <w:rFonts w:ascii="Arial" w:hAnsi="Arial" w:cs="Arial"/>
          <w:sz w:val="20"/>
          <w:szCs w:val="20"/>
        </w:rPr>
        <w:t>ment of</w:t>
      </w:r>
      <w:r w:rsidRPr="00507C4D">
        <w:rPr>
          <w:rFonts w:ascii="Arial" w:hAnsi="Arial" w:cs="Arial"/>
          <w:sz w:val="20"/>
          <w:szCs w:val="20"/>
        </w:rPr>
        <w:t xml:space="preserve"> foreign </w:t>
      </w:r>
      <w:r w:rsidR="00632609">
        <w:rPr>
          <w:rFonts w:ascii="Arial" w:hAnsi="Arial" w:cs="Arial"/>
          <w:sz w:val="20"/>
          <w:szCs w:val="20"/>
        </w:rPr>
        <w:t>loans</w:t>
      </w:r>
      <w:r w:rsidRPr="00507C4D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ot guaranteed by the Government; </w:t>
      </w:r>
      <w:r w:rsidR="002F0389">
        <w:rPr>
          <w:rFonts w:ascii="Arial" w:hAnsi="Arial" w:cs="Arial"/>
          <w:sz w:val="20"/>
          <w:szCs w:val="20"/>
        </w:rPr>
        <w:t>reflecting</w:t>
      </w:r>
      <w:r>
        <w:rPr>
          <w:rFonts w:ascii="Arial" w:hAnsi="Arial" w:cs="Arial"/>
          <w:sz w:val="20"/>
          <w:szCs w:val="20"/>
        </w:rPr>
        <w:t xml:space="preserve"> the </w:t>
      </w:r>
      <w:r w:rsidR="002F0389">
        <w:rPr>
          <w:rFonts w:ascii="Arial" w:hAnsi="Arial" w:cs="Arial"/>
          <w:sz w:val="20"/>
          <w:szCs w:val="20"/>
        </w:rPr>
        <w:t>targets</w:t>
      </w:r>
      <w:r>
        <w:rPr>
          <w:rFonts w:ascii="Arial" w:hAnsi="Arial" w:cs="Arial"/>
          <w:sz w:val="20"/>
          <w:szCs w:val="20"/>
        </w:rPr>
        <w:t xml:space="preserve"> of </w:t>
      </w:r>
      <w:r w:rsidR="002F0389">
        <w:rPr>
          <w:rFonts w:ascii="Arial" w:hAnsi="Arial" w:cs="Arial"/>
          <w:sz w:val="20"/>
          <w:szCs w:val="20"/>
        </w:rPr>
        <w:t>the PAR</w:t>
      </w:r>
      <w:r>
        <w:rPr>
          <w:rFonts w:ascii="Arial" w:hAnsi="Arial" w:cs="Arial"/>
          <w:sz w:val="20"/>
          <w:szCs w:val="20"/>
        </w:rPr>
        <w:t xml:space="preserve"> (simplif</w:t>
      </w:r>
      <w:r w:rsidR="002F0389">
        <w:rPr>
          <w:rFonts w:ascii="Arial" w:hAnsi="Arial" w:cs="Arial"/>
          <w:sz w:val="20"/>
          <w:szCs w:val="20"/>
        </w:rPr>
        <w:t>ication</w:t>
      </w:r>
      <w:r>
        <w:rPr>
          <w:rFonts w:ascii="Arial" w:hAnsi="Arial" w:cs="Arial"/>
          <w:sz w:val="20"/>
          <w:szCs w:val="20"/>
        </w:rPr>
        <w:t xml:space="preserve">, </w:t>
      </w:r>
      <w:r w:rsidRPr="00507C4D">
        <w:rPr>
          <w:rFonts w:ascii="Arial" w:hAnsi="Arial" w:cs="Arial"/>
          <w:sz w:val="20"/>
          <w:szCs w:val="20"/>
        </w:rPr>
        <w:t xml:space="preserve">application of information technology in </w:t>
      </w:r>
      <w:r>
        <w:rPr>
          <w:rFonts w:ascii="Arial" w:hAnsi="Arial" w:cs="Arial"/>
          <w:sz w:val="20"/>
          <w:szCs w:val="20"/>
        </w:rPr>
        <w:t xml:space="preserve">providing </w:t>
      </w:r>
      <w:r w:rsidRPr="00507C4D">
        <w:rPr>
          <w:rFonts w:ascii="Arial" w:hAnsi="Arial" w:cs="Arial"/>
          <w:sz w:val="20"/>
          <w:szCs w:val="20"/>
        </w:rPr>
        <w:t>public service</w:t>
      </w:r>
      <w:r w:rsidR="002F03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); support</w:t>
      </w:r>
      <w:r w:rsidR="002F0389">
        <w:rPr>
          <w:rFonts w:ascii="Arial" w:hAnsi="Arial" w:cs="Arial"/>
          <w:sz w:val="20"/>
          <w:szCs w:val="20"/>
        </w:rPr>
        <w:t>ing</w:t>
      </w:r>
      <w:r w:rsidRPr="00507C4D">
        <w:rPr>
          <w:rFonts w:ascii="Arial" w:hAnsi="Arial" w:cs="Arial"/>
          <w:sz w:val="20"/>
          <w:szCs w:val="20"/>
        </w:rPr>
        <w:t xml:space="preserve"> </w:t>
      </w:r>
      <w:r w:rsidR="002F0389">
        <w:rPr>
          <w:rFonts w:ascii="Arial" w:hAnsi="Arial" w:cs="Arial"/>
          <w:sz w:val="20"/>
          <w:szCs w:val="20"/>
        </w:rPr>
        <w:t>companies</w:t>
      </w:r>
      <w:r w:rsidRPr="00507C4D">
        <w:rPr>
          <w:rFonts w:ascii="Arial" w:hAnsi="Arial" w:cs="Arial"/>
          <w:sz w:val="20"/>
          <w:szCs w:val="20"/>
        </w:rPr>
        <w:t xml:space="preserve"> to mobilize </w:t>
      </w:r>
      <w:r w:rsidR="002F0389">
        <w:rPr>
          <w:rFonts w:ascii="Arial" w:hAnsi="Arial" w:cs="Arial"/>
          <w:sz w:val="20"/>
          <w:szCs w:val="20"/>
        </w:rPr>
        <w:t>financial resources</w:t>
      </w:r>
      <w:r w:rsidRPr="00507C4D">
        <w:rPr>
          <w:rFonts w:ascii="Arial" w:hAnsi="Arial" w:cs="Arial"/>
          <w:sz w:val="20"/>
          <w:szCs w:val="20"/>
        </w:rPr>
        <w:t xml:space="preserve"> from abroad </w:t>
      </w:r>
      <w:r w:rsidR="002F0389">
        <w:rPr>
          <w:rFonts w:ascii="Arial" w:hAnsi="Arial" w:cs="Arial"/>
          <w:sz w:val="20"/>
          <w:szCs w:val="20"/>
        </w:rPr>
        <w:t>for their</w:t>
      </w:r>
      <w:r w:rsidRPr="00507C4D">
        <w:rPr>
          <w:rFonts w:ascii="Arial" w:hAnsi="Arial" w:cs="Arial"/>
          <w:sz w:val="20"/>
          <w:szCs w:val="20"/>
        </w:rPr>
        <w:t xml:space="preserve"> production and business</w:t>
      </w:r>
      <w:r w:rsidR="002F0389">
        <w:rPr>
          <w:rFonts w:ascii="Arial" w:hAnsi="Arial" w:cs="Arial"/>
          <w:sz w:val="20"/>
          <w:szCs w:val="20"/>
        </w:rPr>
        <w:t xml:space="preserve"> operations</w:t>
      </w:r>
      <w:r>
        <w:rPr>
          <w:rFonts w:ascii="Arial" w:hAnsi="Arial" w:cs="Arial"/>
          <w:sz w:val="20"/>
          <w:szCs w:val="20"/>
        </w:rPr>
        <w:t>.</w:t>
      </w:r>
    </w:p>
    <w:p w:rsidR="00380A88" w:rsidRDefault="00E732D8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732D8">
        <w:rPr>
          <w:rFonts w:ascii="Arial" w:hAnsi="Arial" w:cs="Arial"/>
          <w:sz w:val="20"/>
          <w:szCs w:val="20"/>
        </w:rPr>
        <w:t xml:space="preserve">The </w:t>
      </w:r>
      <w:r w:rsidR="00A32A1E">
        <w:rPr>
          <w:rFonts w:ascii="Arial" w:hAnsi="Arial" w:cs="Arial"/>
          <w:sz w:val="20"/>
          <w:szCs w:val="20"/>
        </w:rPr>
        <w:t xml:space="preserve">new </w:t>
      </w:r>
      <w:r w:rsidRPr="00E732D8">
        <w:rPr>
          <w:rFonts w:ascii="Arial" w:hAnsi="Arial" w:cs="Arial"/>
          <w:sz w:val="20"/>
          <w:szCs w:val="20"/>
        </w:rPr>
        <w:t xml:space="preserve">Circular will take effect on </w:t>
      </w:r>
      <w:r w:rsidR="001B57DF">
        <w:rPr>
          <w:rFonts w:ascii="Arial" w:hAnsi="Arial" w:cs="Arial"/>
          <w:sz w:val="20"/>
          <w:szCs w:val="20"/>
        </w:rPr>
        <w:t>November 15</w:t>
      </w:r>
      <w:r w:rsidRPr="00E732D8">
        <w:rPr>
          <w:rFonts w:ascii="Arial" w:hAnsi="Arial" w:cs="Arial"/>
          <w:sz w:val="20"/>
          <w:szCs w:val="20"/>
        </w:rPr>
        <w:t>, 2022.</w:t>
      </w:r>
    </w:p>
    <w:p w:rsidR="00695BC2" w:rsidRDefault="00695BC2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95BC2" w:rsidRPr="00695BC2" w:rsidRDefault="00695BC2" w:rsidP="00695B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95BC2">
        <w:rPr>
          <w:rFonts w:ascii="Arial" w:hAnsi="Arial" w:cs="Arial"/>
          <w:sz w:val="20"/>
          <w:szCs w:val="20"/>
        </w:rPr>
        <w:t>Translated by LK.</w:t>
      </w:r>
      <w:proofErr w:type="gramEnd"/>
    </w:p>
    <w:sectPr w:rsidR="00695BC2" w:rsidRPr="0069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98"/>
    <w:rsid w:val="00065762"/>
    <w:rsid w:val="000922F6"/>
    <w:rsid w:val="000D4C9F"/>
    <w:rsid w:val="000E508B"/>
    <w:rsid w:val="001B57DF"/>
    <w:rsid w:val="002E3B6B"/>
    <w:rsid w:val="002F0389"/>
    <w:rsid w:val="00353503"/>
    <w:rsid w:val="00380A88"/>
    <w:rsid w:val="003D334D"/>
    <w:rsid w:val="004E25C5"/>
    <w:rsid w:val="00507C4D"/>
    <w:rsid w:val="00547DB7"/>
    <w:rsid w:val="00555938"/>
    <w:rsid w:val="005F0FC1"/>
    <w:rsid w:val="00632609"/>
    <w:rsid w:val="00695BC2"/>
    <w:rsid w:val="006A379B"/>
    <w:rsid w:val="00706A1E"/>
    <w:rsid w:val="00707C8E"/>
    <w:rsid w:val="00760769"/>
    <w:rsid w:val="00791D6D"/>
    <w:rsid w:val="00860AFD"/>
    <w:rsid w:val="00887722"/>
    <w:rsid w:val="008D4D77"/>
    <w:rsid w:val="009346BC"/>
    <w:rsid w:val="00A32A1E"/>
    <w:rsid w:val="00B1559F"/>
    <w:rsid w:val="00B96D78"/>
    <w:rsid w:val="00C64B06"/>
    <w:rsid w:val="00E13047"/>
    <w:rsid w:val="00E374A3"/>
    <w:rsid w:val="00E732D8"/>
    <w:rsid w:val="00E90698"/>
    <w:rsid w:val="00E9781B"/>
    <w:rsid w:val="00F32EF3"/>
    <w:rsid w:val="00F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q">
    <w:name w:val="xq"/>
    <w:basedOn w:val="DefaultParagraphFont"/>
    <w:rsid w:val="00E90698"/>
  </w:style>
  <w:style w:type="character" w:styleId="Hyperlink">
    <w:name w:val="Hyperlink"/>
    <w:basedOn w:val="DefaultParagraphFont"/>
    <w:uiPriority w:val="99"/>
    <w:semiHidden/>
    <w:unhideWhenUsed/>
    <w:rsid w:val="00E906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q">
    <w:name w:val="xq"/>
    <w:basedOn w:val="DefaultParagraphFont"/>
    <w:rsid w:val="00E90698"/>
  </w:style>
  <w:style w:type="character" w:styleId="Hyperlink">
    <w:name w:val="Hyperlink"/>
    <w:basedOn w:val="DefaultParagraphFont"/>
    <w:uiPriority w:val="99"/>
    <w:semiHidden/>
    <w:unhideWhenUsed/>
    <w:rsid w:val="00E906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0" w:color="DEDFDF"/>
            <w:right w:val="none" w:sz="0" w:space="0" w:color="auto"/>
          </w:divBdr>
          <w:divsChild>
            <w:div w:id="1169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803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256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73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 Linh (VTTh)</dc:creator>
  <cp:lastModifiedBy>Pham Khanh Linh (VTTh)</cp:lastModifiedBy>
  <cp:revision>28</cp:revision>
  <dcterms:created xsi:type="dcterms:W3CDTF">2022-10-13T09:43:00Z</dcterms:created>
  <dcterms:modified xsi:type="dcterms:W3CDTF">2022-10-17T01:49:00Z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SBV530235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521468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http://webcenter-app01:16200/cs/idcplg?IdcService=DESKTOP_DOC_INFO&amp;dDocName=SBV530235&amp;dID=521468&amp;ClientControlled=DocMan,taskpane&amp;coreContentOnly=1</vt:lpwstr>
  </property>
</Properties>
</file>