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1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759"/>
      </w:tblGrid>
      <w:tr w:rsidR="0037618F" w:rsidRPr="0037618F" w14:paraId="676F72E7" w14:textId="77777777" w:rsidTr="00C9372C">
        <w:tc>
          <w:tcPr>
            <w:tcW w:w="3402" w:type="dxa"/>
          </w:tcPr>
          <w:p w14:paraId="7A35AC74" w14:textId="77777777" w:rsidR="0037618F" w:rsidRPr="0037618F" w:rsidRDefault="0037618F" w:rsidP="003761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618F">
              <w:rPr>
                <w:rFonts w:ascii="Times New Roman" w:hAnsi="Times New Roman" w:cs="Times New Roman"/>
                <w:b/>
                <w:sz w:val="26"/>
                <w:szCs w:val="26"/>
              </w:rPr>
              <w:t>NGÂN HÀNG NHÀ NƯỚC</w:t>
            </w:r>
          </w:p>
          <w:p w14:paraId="7825CEC1" w14:textId="77777777" w:rsidR="0037618F" w:rsidRPr="0037618F" w:rsidRDefault="0037618F" w:rsidP="00376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F">
              <w:rPr>
                <w:rFonts w:ascii="Times New Roman" w:hAnsi="Times New Roman" w:cs="Times New Roman"/>
                <w:b/>
                <w:sz w:val="26"/>
                <w:szCs w:val="26"/>
              </w:rPr>
              <w:t>VIỆT NAM</w:t>
            </w:r>
          </w:p>
        </w:tc>
        <w:tc>
          <w:tcPr>
            <w:tcW w:w="5759" w:type="dxa"/>
          </w:tcPr>
          <w:p w14:paraId="5D79C29D" w14:textId="77777777" w:rsidR="0037618F" w:rsidRPr="0037618F" w:rsidRDefault="0037618F" w:rsidP="003761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618F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32BEEA8" w14:textId="77777777" w:rsidR="0037618F" w:rsidRPr="0037618F" w:rsidRDefault="0037618F" w:rsidP="00376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F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</w:tc>
      </w:tr>
    </w:tbl>
    <w:p w14:paraId="3997F9E2" w14:textId="77777777" w:rsidR="007019D2" w:rsidRDefault="00C9372C" w:rsidP="003761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A2CA88" wp14:editId="5340C8DA">
                <wp:simplePos x="0" y="0"/>
                <wp:positionH relativeFrom="column">
                  <wp:posOffset>3008532</wp:posOffset>
                </wp:positionH>
                <wp:positionV relativeFrom="paragraph">
                  <wp:posOffset>36830</wp:posOffset>
                </wp:positionV>
                <wp:extent cx="19050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7748427" id="Straight Connector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9pt,2.9pt" to="386.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" strokecolor="black [3040]"/>
            </w:pict>
          </mc:Fallback>
        </mc:AlternateContent>
      </w:r>
      <w:r w:rsidR="0037618F">
        <w:rPr>
          <w:rFonts w:ascii="Times New Roman" w:hAnsi="Times New Roman"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766405D" wp14:editId="28C02294">
                <wp:simplePos x="0" y="0"/>
                <wp:positionH relativeFrom="column">
                  <wp:posOffset>806547</wp:posOffset>
                </wp:positionH>
                <wp:positionV relativeFrom="paragraph">
                  <wp:posOffset>17877</wp:posOffset>
                </wp:positionV>
                <wp:extent cx="5334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21AC024" id="Straight Connector 1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5pt,1.4pt" to="105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" strokecolor="black [3040]"/>
            </w:pict>
          </mc:Fallback>
        </mc:AlternateContent>
      </w:r>
    </w:p>
    <w:p w14:paraId="165A3782" w14:textId="77777777" w:rsidR="0037618F" w:rsidRPr="0037618F" w:rsidRDefault="0037618F" w:rsidP="000433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18F">
        <w:rPr>
          <w:rFonts w:ascii="Times New Roman" w:hAnsi="Times New Roman" w:cs="Times New Roman"/>
          <w:b/>
          <w:sz w:val="28"/>
          <w:szCs w:val="28"/>
        </w:rPr>
        <w:t>THÔNG CÁO BÁO CHÍ</w:t>
      </w:r>
    </w:p>
    <w:p w14:paraId="1E1038FD" w14:textId="77777777" w:rsidR="0037618F" w:rsidRPr="0037618F" w:rsidRDefault="0037618F" w:rsidP="000433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18F">
        <w:rPr>
          <w:rFonts w:ascii="Times New Roman" w:hAnsi="Times New Roman" w:cs="Times New Roman"/>
          <w:b/>
          <w:sz w:val="28"/>
          <w:szCs w:val="28"/>
        </w:rPr>
        <w:t xml:space="preserve">Về việc ban hành Thông tư </w:t>
      </w:r>
      <w:r w:rsidR="002E6C1F">
        <w:rPr>
          <w:rFonts w:ascii="Times New Roman" w:hAnsi="Times New Roman" w:cs="Times New Roman"/>
          <w:b/>
          <w:sz w:val="28"/>
          <w:szCs w:val="28"/>
        </w:rPr>
        <w:t xml:space="preserve">quy định về hoạt động </w:t>
      </w:r>
      <w:r w:rsidR="007E28D3">
        <w:rPr>
          <w:rFonts w:ascii="Times New Roman" w:hAnsi="Times New Roman" w:cs="Times New Roman"/>
          <w:b/>
          <w:sz w:val="28"/>
          <w:szCs w:val="28"/>
        </w:rPr>
        <w:t>thẻ ngân hàng</w:t>
      </w:r>
    </w:p>
    <w:p w14:paraId="6F6715AD" w14:textId="77777777" w:rsidR="00C9372C" w:rsidRDefault="000433E3" w:rsidP="00C9372C">
      <w:pPr>
        <w:spacing w:before="120" w:after="120" w:line="26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DFB45BB" wp14:editId="5BAEF917">
                <wp:simplePos x="0" y="0"/>
                <wp:positionH relativeFrom="column">
                  <wp:posOffset>2216979</wp:posOffset>
                </wp:positionH>
                <wp:positionV relativeFrom="paragraph">
                  <wp:posOffset>71902</wp:posOffset>
                </wp:positionV>
                <wp:extent cx="1327639" cy="0"/>
                <wp:effectExtent l="0" t="0" r="254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6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8D24EF1" id="Straight Connector 4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55pt,5.65pt" to="279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" strokecolor="#4579b8 [3044]"/>
            </w:pict>
          </mc:Fallback>
        </mc:AlternateContent>
      </w:r>
    </w:p>
    <w:p w14:paraId="60B790E5" w14:textId="6167D93E" w:rsidR="00AF5305" w:rsidRPr="007E28D3" w:rsidRDefault="00244243" w:rsidP="00FE5D27">
      <w:pPr>
        <w:spacing w:before="120" w:after="120" w:line="269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Ngày 28</w:t>
      </w:r>
      <w:r w:rsidR="00D47F8C">
        <w:rPr>
          <w:rFonts w:ascii="Times New Roman" w:hAnsi="Times New Roman"/>
          <w:sz w:val="28"/>
          <w:szCs w:val="28"/>
        </w:rPr>
        <w:t xml:space="preserve"> tháng </w:t>
      </w:r>
      <w:r>
        <w:rPr>
          <w:rFonts w:ascii="Times New Roman" w:hAnsi="Times New Roman"/>
          <w:sz w:val="28"/>
          <w:szCs w:val="28"/>
        </w:rPr>
        <w:t>6</w:t>
      </w:r>
      <w:r w:rsidR="00D47F8C">
        <w:rPr>
          <w:rFonts w:ascii="Times New Roman" w:hAnsi="Times New Roman"/>
          <w:sz w:val="28"/>
          <w:szCs w:val="28"/>
        </w:rPr>
        <w:t xml:space="preserve"> năm </w:t>
      </w:r>
      <w:r>
        <w:rPr>
          <w:rFonts w:ascii="Times New Roman" w:hAnsi="Times New Roman"/>
          <w:sz w:val="28"/>
          <w:szCs w:val="28"/>
        </w:rPr>
        <w:t xml:space="preserve">2024, Thống đốc </w:t>
      </w:r>
      <w:r w:rsidR="00710241">
        <w:rPr>
          <w:rFonts w:ascii="Times New Roman" w:hAnsi="Times New Roman"/>
          <w:sz w:val="28"/>
          <w:szCs w:val="28"/>
        </w:rPr>
        <w:t>Ngân hàng Nhà nước</w:t>
      </w:r>
      <w:r>
        <w:rPr>
          <w:rFonts w:ascii="Times New Roman" w:hAnsi="Times New Roman"/>
          <w:sz w:val="28"/>
          <w:szCs w:val="28"/>
        </w:rPr>
        <w:t xml:space="preserve"> </w:t>
      </w:r>
      <w:r w:rsidR="00D47F8C">
        <w:rPr>
          <w:rFonts w:ascii="Times New Roman" w:hAnsi="Times New Roman"/>
          <w:sz w:val="28"/>
          <w:szCs w:val="28"/>
        </w:rPr>
        <w:t xml:space="preserve">Việt Nam </w:t>
      </w:r>
      <w:r>
        <w:rPr>
          <w:rFonts w:ascii="Times New Roman" w:hAnsi="Times New Roman"/>
          <w:sz w:val="28"/>
          <w:szCs w:val="28"/>
        </w:rPr>
        <w:t xml:space="preserve">đã ký ban hành Thông tư số 18/2024/TT-NHNN quy định về hoạt động thẻ ngân hàng. </w:t>
      </w:r>
    </w:p>
    <w:p w14:paraId="4740380C" w14:textId="4DEF2477" w:rsidR="00244243" w:rsidRDefault="00244243" w:rsidP="00A77E2F">
      <w:pPr>
        <w:spacing w:before="120" w:after="120" w:line="269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Việc ban hành Thông tư</w:t>
      </w:r>
      <w:r w:rsidR="00710241">
        <w:rPr>
          <w:rFonts w:ascii="Times New Roman" w:hAnsi="Times New Roman"/>
          <w:sz w:val="28"/>
          <w:szCs w:val="28"/>
        </w:rPr>
        <w:t xml:space="preserve"> quy định về hoạt động thẻ ngân hàng</w:t>
      </w:r>
      <w:r>
        <w:rPr>
          <w:rFonts w:ascii="Times New Roman" w:hAnsi="Times New Roman"/>
          <w:sz w:val="28"/>
          <w:szCs w:val="28"/>
        </w:rPr>
        <w:t xml:space="preserve"> trên cơ s</w:t>
      </w:r>
      <w:r w:rsidR="00710241">
        <w:rPr>
          <w:rFonts w:ascii="Times New Roman" w:hAnsi="Times New Roman"/>
          <w:sz w:val="28"/>
          <w:szCs w:val="28"/>
        </w:rPr>
        <w:t>ở</w:t>
      </w:r>
      <w:r>
        <w:rPr>
          <w:rFonts w:ascii="Times New Roman" w:hAnsi="Times New Roman"/>
          <w:sz w:val="28"/>
          <w:szCs w:val="28"/>
        </w:rPr>
        <w:t xml:space="preserve"> quy định chi tiết Luật Các </w:t>
      </w:r>
      <w:r w:rsidR="00D47F8C">
        <w:rPr>
          <w:rFonts w:ascii="Times New Roman" w:hAnsi="Times New Roman"/>
          <w:sz w:val="28"/>
          <w:szCs w:val="28"/>
        </w:rPr>
        <w:t>t</w:t>
      </w:r>
      <w:r w:rsidR="00710241">
        <w:rPr>
          <w:rFonts w:ascii="Times New Roman" w:hAnsi="Times New Roman"/>
          <w:sz w:val="28"/>
          <w:szCs w:val="28"/>
        </w:rPr>
        <w:t>ổ chức tín dụng</w:t>
      </w:r>
      <w:r>
        <w:rPr>
          <w:rFonts w:ascii="Times New Roman" w:hAnsi="Times New Roman"/>
          <w:sz w:val="28"/>
          <w:szCs w:val="28"/>
        </w:rPr>
        <w:t xml:space="preserve"> năm 2024 và Nghị định số 52/2024/NĐ-CP ngày 15</w:t>
      </w:r>
      <w:r w:rsidR="00710241">
        <w:rPr>
          <w:rFonts w:ascii="Times New Roman" w:hAnsi="Times New Roman"/>
          <w:sz w:val="28"/>
          <w:szCs w:val="28"/>
        </w:rPr>
        <w:t xml:space="preserve"> tháng </w:t>
      </w:r>
      <w:r>
        <w:rPr>
          <w:rFonts w:ascii="Times New Roman" w:hAnsi="Times New Roman"/>
          <w:sz w:val="28"/>
          <w:szCs w:val="28"/>
        </w:rPr>
        <w:t>5</w:t>
      </w:r>
      <w:r w:rsidR="00710241">
        <w:rPr>
          <w:rFonts w:ascii="Times New Roman" w:hAnsi="Times New Roman"/>
          <w:sz w:val="28"/>
          <w:szCs w:val="28"/>
        </w:rPr>
        <w:t xml:space="preserve"> năm</w:t>
      </w:r>
      <w:r w:rsidR="002974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</w:t>
      </w:r>
      <w:r w:rsidR="00DF1F07">
        <w:rPr>
          <w:rFonts w:ascii="Times New Roman" w:hAnsi="Times New Roman"/>
          <w:sz w:val="28"/>
          <w:szCs w:val="28"/>
        </w:rPr>
        <w:t xml:space="preserve"> của Chính phủ</w:t>
      </w:r>
      <w:r>
        <w:rPr>
          <w:rFonts w:ascii="Times New Roman" w:hAnsi="Times New Roman"/>
          <w:sz w:val="28"/>
          <w:szCs w:val="28"/>
        </w:rPr>
        <w:t xml:space="preserve"> về thanh toán không dùng tiền mặt</w:t>
      </w:r>
      <w:r w:rsidR="007E28D3" w:rsidRPr="007E28D3">
        <w:rPr>
          <w:rFonts w:ascii="Times New Roman" w:hAnsi="Times New Roman"/>
          <w:sz w:val="28"/>
          <w:szCs w:val="28"/>
        </w:rPr>
        <w:t xml:space="preserve"> nhằm </w:t>
      </w:r>
      <w:r w:rsidR="0019557E">
        <w:rPr>
          <w:rFonts w:ascii="Times New Roman" w:hAnsi="Times New Roman"/>
          <w:sz w:val="28"/>
          <w:szCs w:val="28"/>
        </w:rPr>
        <w:t>hoàn thiện khuôn khổ pháp lý</w:t>
      </w:r>
      <w:r w:rsidR="007E28D3" w:rsidRPr="007E28D3">
        <w:rPr>
          <w:rFonts w:ascii="Times New Roman" w:hAnsi="Times New Roman"/>
          <w:sz w:val="28"/>
          <w:szCs w:val="28"/>
        </w:rPr>
        <w:t xml:space="preserve"> liên quan </w:t>
      </w:r>
      <w:r w:rsidR="007E28D3" w:rsidRPr="007E28D3">
        <w:rPr>
          <w:rFonts w:ascii="Times New Roman" w:hAnsi="Times New Roman" w:hint="eastAsia"/>
          <w:sz w:val="28"/>
          <w:szCs w:val="28"/>
        </w:rPr>
        <w:t>đ</w:t>
      </w:r>
      <w:r w:rsidR="007E28D3" w:rsidRPr="007E28D3">
        <w:rPr>
          <w:rFonts w:ascii="Times New Roman" w:hAnsi="Times New Roman"/>
          <w:sz w:val="28"/>
          <w:szCs w:val="28"/>
        </w:rPr>
        <w:t xml:space="preserve">ến hoạt </w:t>
      </w:r>
      <w:r w:rsidR="007E28D3" w:rsidRPr="007E28D3">
        <w:rPr>
          <w:rFonts w:ascii="Times New Roman" w:hAnsi="Times New Roman" w:hint="eastAsia"/>
          <w:sz w:val="28"/>
          <w:szCs w:val="28"/>
        </w:rPr>
        <w:t>đ</w:t>
      </w:r>
      <w:r w:rsidR="007E28D3" w:rsidRPr="007E28D3">
        <w:rPr>
          <w:rFonts w:ascii="Times New Roman" w:hAnsi="Times New Roman"/>
          <w:sz w:val="28"/>
          <w:szCs w:val="28"/>
        </w:rPr>
        <w:t>ộng thanh toán</w:t>
      </w:r>
      <w:r w:rsidR="007E28D3">
        <w:rPr>
          <w:rFonts w:ascii="Times New Roman" w:hAnsi="Times New Roman"/>
          <w:sz w:val="28"/>
          <w:szCs w:val="28"/>
        </w:rPr>
        <w:t xml:space="preserve"> nói chung và hoạt động thẻ</w:t>
      </w:r>
      <w:r w:rsidR="008A52C3">
        <w:rPr>
          <w:rFonts w:ascii="Times New Roman" w:hAnsi="Times New Roman"/>
          <w:sz w:val="28"/>
          <w:szCs w:val="28"/>
        </w:rPr>
        <w:t xml:space="preserve"> ngân hàng nói riêng; đồng thời đảm bảo phù hợp với thực tế triển khai</w:t>
      </w:r>
      <w:r>
        <w:rPr>
          <w:rFonts w:ascii="Times New Roman" w:hAnsi="Times New Roman"/>
          <w:sz w:val="28"/>
          <w:szCs w:val="28"/>
        </w:rPr>
        <w:t>.</w:t>
      </w:r>
      <w:r w:rsidR="008A52C3">
        <w:rPr>
          <w:rFonts w:ascii="Times New Roman" w:hAnsi="Times New Roman"/>
          <w:sz w:val="28"/>
          <w:szCs w:val="28"/>
        </w:rPr>
        <w:t xml:space="preserve"> Thông tư quy định về hoạt động thẻ ngân hàng thay thế Thông tư số 19/2016/TT-NHNN ngày 30</w:t>
      </w:r>
      <w:r w:rsidR="00D47F8C">
        <w:rPr>
          <w:rFonts w:ascii="Times New Roman" w:hAnsi="Times New Roman"/>
          <w:sz w:val="28"/>
          <w:szCs w:val="28"/>
        </w:rPr>
        <w:t xml:space="preserve"> tháng </w:t>
      </w:r>
      <w:r w:rsidR="008A52C3">
        <w:rPr>
          <w:rFonts w:ascii="Times New Roman" w:hAnsi="Times New Roman"/>
          <w:sz w:val="28"/>
          <w:szCs w:val="28"/>
        </w:rPr>
        <w:t>6</w:t>
      </w:r>
      <w:r w:rsidR="00D47F8C">
        <w:rPr>
          <w:rFonts w:ascii="Times New Roman" w:hAnsi="Times New Roman"/>
          <w:sz w:val="28"/>
          <w:szCs w:val="28"/>
        </w:rPr>
        <w:t xml:space="preserve"> năm </w:t>
      </w:r>
      <w:r w:rsidR="005F0F3F">
        <w:rPr>
          <w:rFonts w:ascii="Times New Roman" w:hAnsi="Times New Roman"/>
          <w:sz w:val="28"/>
          <w:szCs w:val="28"/>
        </w:rPr>
        <w:t>2016</w:t>
      </w:r>
      <w:bookmarkStart w:id="0" w:name="_GoBack"/>
      <w:bookmarkEnd w:id="0"/>
      <w:r w:rsidR="008A52C3">
        <w:rPr>
          <w:rFonts w:ascii="Times New Roman" w:hAnsi="Times New Roman"/>
          <w:sz w:val="28"/>
          <w:szCs w:val="28"/>
        </w:rPr>
        <w:t xml:space="preserve"> và các văn bản bản sửa đổi, bổ sung</w:t>
      </w:r>
      <w:r>
        <w:rPr>
          <w:rFonts w:ascii="Times New Roman" w:hAnsi="Times New Roman"/>
          <w:sz w:val="28"/>
          <w:szCs w:val="28"/>
        </w:rPr>
        <w:t xml:space="preserve"> Thông tư số 19/2016/TT-NHNN</w:t>
      </w:r>
      <w:r w:rsidR="008A52C3">
        <w:rPr>
          <w:rFonts w:ascii="Times New Roman" w:hAnsi="Times New Roman"/>
          <w:sz w:val="28"/>
          <w:szCs w:val="28"/>
        </w:rPr>
        <w:t xml:space="preserve">. </w:t>
      </w:r>
      <w:r w:rsidR="0019557E" w:rsidRPr="00AF5305">
        <w:rPr>
          <w:rFonts w:ascii="Times New Roman" w:hAnsi="Times New Roman"/>
          <w:sz w:val="28"/>
          <w:szCs w:val="28"/>
        </w:rPr>
        <w:t>Thông tư gồ</w:t>
      </w:r>
      <w:r w:rsidR="00FE4672">
        <w:rPr>
          <w:rFonts w:ascii="Times New Roman" w:hAnsi="Times New Roman"/>
          <w:sz w:val="28"/>
          <w:szCs w:val="28"/>
        </w:rPr>
        <w:t xml:space="preserve">m </w:t>
      </w:r>
      <w:r w:rsidR="00710241">
        <w:rPr>
          <w:rFonts w:ascii="Times New Roman" w:hAnsi="Times New Roman"/>
          <w:sz w:val="28"/>
          <w:szCs w:val="28"/>
        </w:rPr>
        <w:t>0</w:t>
      </w:r>
      <w:r w:rsidR="00FE4672">
        <w:rPr>
          <w:rFonts w:ascii="Times New Roman" w:hAnsi="Times New Roman"/>
          <w:sz w:val="28"/>
          <w:szCs w:val="28"/>
        </w:rPr>
        <w:t>6 Chương, 30</w:t>
      </w:r>
      <w:r w:rsidR="0019557E" w:rsidRPr="00AF5305">
        <w:rPr>
          <w:rFonts w:ascii="Times New Roman" w:hAnsi="Times New Roman"/>
          <w:sz w:val="28"/>
          <w:szCs w:val="28"/>
        </w:rPr>
        <w:t xml:space="preserve"> Điều, </w:t>
      </w:r>
      <w:r w:rsidR="0019557E" w:rsidRPr="0019557E">
        <w:rPr>
          <w:rFonts w:ascii="Times New Roman" w:hAnsi="Times New Roman"/>
          <w:sz w:val="28"/>
          <w:szCs w:val="28"/>
        </w:rPr>
        <w:t xml:space="preserve">cụ thể: </w:t>
      </w:r>
      <w:r w:rsidR="00FE4672" w:rsidRPr="00FE4672">
        <w:rPr>
          <w:rFonts w:ascii="Times New Roman" w:hAnsi="Times New Roman"/>
          <w:sz w:val="28"/>
          <w:szCs w:val="28"/>
        </w:rPr>
        <w:t>Chương I - Quy đị</w:t>
      </w:r>
      <w:r w:rsidR="00FE4672">
        <w:rPr>
          <w:rFonts w:ascii="Times New Roman" w:hAnsi="Times New Roman"/>
          <w:sz w:val="28"/>
          <w:szCs w:val="28"/>
        </w:rPr>
        <w:t xml:space="preserve">nh chung; </w:t>
      </w:r>
      <w:r w:rsidR="00FE4672" w:rsidRPr="00FE4672">
        <w:rPr>
          <w:rFonts w:ascii="Times New Roman" w:hAnsi="Times New Roman"/>
          <w:sz w:val="28"/>
          <w:szCs w:val="28"/>
        </w:rPr>
        <w:t>Chương II - Phát hành thẻ</w:t>
      </w:r>
      <w:r w:rsidR="00FE4672">
        <w:rPr>
          <w:rFonts w:ascii="Times New Roman" w:hAnsi="Times New Roman"/>
          <w:sz w:val="28"/>
          <w:szCs w:val="28"/>
        </w:rPr>
        <w:t xml:space="preserve">; </w:t>
      </w:r>
      <w:r w:rsidR="00FE4672" w:rsidRPr="00FE4672">
        <w:rPr>
          <w:rFonts w:ascii="Times New Roman" w:hAnsi="Times New Roman"/>
          <w:sz w:val="28"/>
          <w:szCs w:val="28"/>
        </w:rPr>
        <w:t>Chương III - Sử dụng th</w:t>
      </w:r>
      <w:r w:rsidR="00FE4672">
        <w:rPr>
          <w:rFonts w:ascii="Times New Roman" w:hAnsi="Times New Roman"/>
          <w:sz w:val="28"/>
          <w:szCs w:val="28"/>
        </w:rPr>
        <w:t xml:space="preserve">ẻ; </w:t>
      </w:r>
      <w:r w:rsidR="00FE4672" w:rsidRPr="00FE4672">
        <w:rPr>
          <w:rFonts w:ascii="Times New Roman" w:hAnsi="Times New Roman"/>
          <w:sz w:val="28"/>
          <w:szCs w:val="28"/>
        </w:rPr>
        <w:t>Chương IV - Thanh toán, quyết toán giao dịch thẻ</w:t>
      </w:r>
      <w:r w:rsidR="00FE4672">
        <w:rPr>
          <w:rFonts w:ascii="Times New Roman" w:hAnsi="Times New Roman"/>
          <w:sz w:val="28"/>
          <w:szCs w:val="28"/>
        </w:rPr>
        <w:t xml:space="preserve">; </w:t>
      </w:r>
      <w:r w:rsidR="00FE4672" w:rsidRPr="00FE4672">
        <w:rPr>
          <w:rFonts w:ascii="Times New Roman" w:hAnsi="Times New Roman"/>
          <w:sz w:val="28"/>
          <w:szCs w:val="28"/>
        </w:rPr>
        <w:t>Chương V- Báo cáo, cung cấ</w:t>
      </w:r>
      <w:r w:rsidR="00FE4672">
        <w:rPr>
          <w:rFonts w:ascii="Times New Roman" w:hAnsi="Times New Roman"/>
          <w:sz w:val="28"/>
          <w:szCs w:val="28"/>
        </w:rPr>
        <w:t xml:space="preserve">p thông tin; </w:t>
      </w:r>
      <w:r w:rsidR="00FE4672" w:rsidRPr="00FE4672">
        <w:rPr>
          <w:rFonts w:ascii="Times New Roman" w:hAnsi="Times New Roman"/>
          <w:sz w:val="28"/>
          <w:szCs w:val="28"/>
        </w:rPr>
        <w:t>Chương VI - Tổ chứ</w:t>
      </w:r>
      <w:r w:rsidR="00FE4672">
        <w:rPr>
          <w:rFonts w:ascii="Times New Roman" w:hAnsi="Times New Roman"/>
          <w:sz w:val="28"/>
          <w:szCs w:val="28"/>
        </w:rPr>
        <w:t xml:space="preserve">c thi hành. </w:t>
      </w:r>
    </w:p>
    <w:p w14:paraId="75DA6DE4" w14:textId="54BC1243" w:rsidR="00244243" w:rsidRPr="00244243" w:rsidRDefault="00244243" w:rsidP="00244243">
      <w:pPr>
        <w:spacing w:before="120" w:after="120" w:line="269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4243">
        <w:rPr>
          <w:rFonts w:ascii="Times New Roman" w:hAnsi="Times New Roman"/>
          <w:sz w:val="28"/>
          <w:szCs w:val="28"/>
        </w:rPr>
        <w:t xml:space="preserve">Về hiệu lực thi hành, Thông tư </w:t>
      </w:r>
      <w:r w:rsidR="00710241">
        <w:rPr>
          <w:rFonts w:ascii="Times New Roman" w:hAnsi="Times New Roman"/>
          <w:sz w:val="28"/>
          <w:szCs w:val="28"/>
        </w:rPr>
        <w:t>số 18/2024/TT-NHNN quy định v</w:t>
      </w:r>
      <w:r w:rsidR="00D47F8C">
        <w:rPr>
          <w:rFonts w:ascii="Times New Roman" w:hAnsi="Times New Roman"/>
          <w:sz w:val="28"/>
          <w:szCs w:val="28"/>
        </w:rPr>
        <w:t>ề</w:t>
      </w:r>
      <w:r w:rsidR="00710241">
        <w:rPr>
          <w:rFonts w:ascii="Times New Roman" w:hAnsi="Times New Roman"/>
          <w:sz w:val="28"/>
          <w:szCs w:val="28"/>
        </w:rPr>
        <w:t xml:space="preserve"> hoạt động thẻ ngân hàng </w:t>
      </w:r>
      <w:r w:rsidRPr="00244243">
        <w:rPr>
          <w:rFonts w:ascii="Times New Roman" w:hAnsi="Times New Roman"/>
          <w:sz w:val="28"/>
          <w:szCs w:val="28"/>
        </w:rPr>
        <w:t>có hiệu lực thi hành kể từ ngày 01</w:t>
      </w:r>
      <w:r w:rsidR="00710241">
        <w:rPr>
          <w:rFonts w:ascii="Times New Roman" w:hAnsi="Times New Roman"/>
          <w:sz w:val="28"/>
          <w:szCs w:val="28"/>
        </w:rPr>
        <w:t xml:space="preserve"> tháng </w:t>
      </w:r>
      <w:r w:rsidRPr="00244243">
        <w:rPr>
          <w:rFonts w:ascii="Times New Roman" w:hAnsi="Times New Roman"/>
          <w:sz w:val="28"/>
          <w:szCs w:val="28"/>
        </w:rPr>
        <w:t>7</w:t>
      </w:r>
      <w:r w:rsidR="00710241">
        <w:rPr>
          <w:rFonts w:ascii="Times New Roman" w:hAnsi="Times New Roman"/>
          <w:sz w:val="28"/>
          <w:szCs w:val="28"/>
        </w:rPr>
        <w:t xml:space="preserve"> năm </w:t>
      </w:r>
      <w:r w:rsidRPr="00244243">
        <w:rPr>
          <w:rFonts w:ascii="Times New Roman" w:hAnsi="Times New Roman"/>
          <w:sz w:val="28"/>
          <w:szCs w:val="28"/>
        </w:rPr>
        <w:t xml:space="preserve">2024. Đối với một số quy định mới, để các </w:t>
      </w:r>
      <w:r w:rsidR="00710241">
        <w:rPr>
          <w:rFonts w:ascii="Times New Roman" w:hAnsi="Times New Roman"/>
          <w:sz w:val="28"/>
          <w:szCs w:val="28"/>
        </w:rPr>
        <w:t>tổ chức tín dụng</w:t>
      </w:r>
      <w:r w:rsidRPr="00244243">
        <w:rPr>
          <w:rFonts w:ascii="Times New Roman" w:hAnsi="Times New Roman"/>
          <w:sz w:val="28"/>
          <w:szCs w:val="28"/>
        </w:rPr>
        <w:t>, chi nhánh ngân hàng nước ngoài</w:t>
      </w:r>
      <w:r w:rsidR="00710241">
        <w:rPr>
          <w:rFonts w:ascii="Times New Roman" w:hAnsi="Times New Roman"/>
          <w:sz w:val="28"/>
          <w:szCs w:val="28"/>
        </w:rPr>
        <w:t xml:space="preserve"> và các tổ chức, cá nhân khác có liên quan đến hoạt động thẻ</w:t>
      </w:r>
      <w:r w:rsidR="00DF1F07">
        <w:rPr>
          <w:rFonts w:ascii="Times New Roman" w:hAnsi="Times New Roman"/>
          <w:sz w:val="28"/>
          <w:szCs w:val="28"/>
        </w:rPr>
        <w:t xml:space="preserve"> có thời gian tổ</w:t>
      </w:r>
      <w:r w:rsidRPr="00244243">
        <w:rPr>
          <w:rFonts w:ascii="Times New Roman" w:hAnsi="Times New Roman"/>
          <w:sz w:val="28"/>
          <w:szCs w:val="28"/>
        </w:rPr>
        <w:t xml:space="preserve"> chức triển khai</w:t>
      </w:r>
      <w:r w:rsidR="00DF1F07">
        <w:rPr>
          <w:rFonts w:ascii="Times New Roman" w:hAnsi="Times New Roman"/>
          <w:sz w:val="28"/>
          <w:szCs w:val="28"/>
        </w:rPr>
        <w:t>,</w:t>
      </w:r>
      <w:r w:rsidRPr="00244243">
        <w:rPr>
          <w:rFonts w:ascii="Times New Roman" w:hAnsi="Times New Roman"/>
          <w:sz w:val="28"/>
          <w:szCs w:val="28"/>
        </w:rPr>
        <w:t xml:space="preserve"> thực hiện và chỉnh sửa, cập nhật giải pháp công nghệ</w:t>
      </w:r>
      <w:r w:rsidR="00710241">
        <w:rPr>
          <w:rFonts w:ascii="Times New Roman" w:hAnsi="Times New Roman"/>
          <w:sz w:val="28"/>
          <w:szCs w:val="28"/>
        </w:rPr>
        <w:t>. Theo đó,</w:t>
      </w:r>
      <w:r w:rsidRPr="00244243">
        <w:rPr>
          <w:rFonts w:ascii="Times New Roman" w:hAnsi="Times New Roman"/>
          <w:sz w:val="28"/>
          <w:szCs w:val="28"/>
        </w:rPr>
        <w:t xml:space="preserve"> tại Thông tư đã quy định hiệu lực đối với một số điều khoản như sau: </w:t>
      </w:r>
    </w:p>
    <w:p w14:paraId="57B6B964" w14:textId="755568CF" w:rsidR="00244243" w:rsidRPr="00244243" w:rsidRDefault="00244243" w:rsidP="00244243">
      <w:pPr>
        <w:spacing w:before="120" w:after="120" w:line="269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4243">
        <w:rPr>
          <w:rFonts w:ascii="Times New Roman" w:hAnsi="Times New Roman"/>
          <w:sz w:val="28"/>
          <w:szCs w:val="28"/>
        </w:rPr>
        <w:t>- Áp dụng từ ngày 01</w:t>
      </w:r>
      <w:r w:rsidR="00D47F8C">
        <w:rPr>
          <w:rFonts w:ascii="Times New Roman" w:hAnsi="Times New Roman"/>
          <w:sz w:val="28"/>
          <w:szCs w:val="28"/>
        </w:rPr>
        <w:t xml:space="preserve"> tháng </w:t>
      </w:r>
      <w:r w:rsidRPr="00244243">
        <w:rPr>
          <w:rFonts w:ascii="Times New Roman" w:hAnsi="Times New Roman"/>
          <w:sz w:val="28"/>
          <w:szCs w:val="28"/>
        </w:rPr>
        <w:t>10</w:t>
      </w:r>
      <w:r w:rsidR="00D47F8C">
        <w:rPr>
          <w:rFonts w:ascii="Times New Roman" w:hAnsi="Times New Roman"/>
          <w:sz w:val="28"/>
          <w:szCs w:val="28"/>
        </w:rPr>
        <w:t xml:space="preserve"> năm </w:t>
      </w:r>
      <w:r w:rsidRPr="00244243">
        <w:rPr>
          <w:rFonts w:ascii="Times New Roman" w:hAnsi="Times New Roman"/>
          <w:sz w:val="28"/>
          <w:szCs w:val="28"/>
        </w:rPr>
        <w:t>2024 (sau 03 tháng kể từ ngày Thông tư có hiệu lực) đối với các quy định tại Điều 9, Điều 10, Điều 12 (trừ quy định tại điểm g khoản 1) và khoản 1 Điều 17 (trừ quy định tại điểm q)</w:t>
      </w:r>
      <w:r>
        <w:rPr>
          <w:rFonts w:ascii="Times New Roman" w:hAnsi="Times New Roman"/>
          <w:sz w:val="28"/>
          <w:szCs w:val="28"/>
        </w:rPr>
        <w:t xml:space="preserve"> Thông tư</w:t>
      </w:r>
      <w:r w:rsidRPr="00244243">
        <w:rPr>
          <w:rFonts w:ascii="Times New Roman" w:hAnsi="Times New Roman"/>
          <w:sz w:val="28"/>
          <w:szCs w:val="28"/>
        </w:rPr>
        <w:t xml:space="preserve">; </w:t>
      </w:r>
    </w:p>
    <w:p w14:paraId="17F3168F" w14:textId="2474A22B" w:rsidR="00244243" w:rsidRPr="00244243" w:rsidRDefault="00244243" w:rsidP="00244243">
      <w:pPr>
        <w:spacing w:before="120" w:after="120" w:line="269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4243">
        <w:rPr>
          <w:rFonts w:ascii="Times New Roman" w:hAnsi="Times New Roman"/>
          <w:sz w:val="28"/>
          <w:szCs w:val="28"/>
        </w:rPr>
        <w:t>- Áp dụng kể từ ngày 01</w:t>
      </w:r>
      <w:r w:rsidR="00D47F8C">
        <w:rPr>
          <w:rFonts w:ascii="Times New Roman" w:hAnsi="Times New Roman"/>
          <w:sz w:val="28"/>
          <w:szCs w:val="28"/>
        </w:rPr>
        <w:t xml:space="preserve"> tháng </w:t>
      </w:r>
      <w:r w:rsidRPr="00244243">
        <w:rPr>
          <w:rFonts w:ascii="Times New Roman" w:hAnsi="Times New Roman"/>
          <w:sz w:val="28"/>
          <w:szCs w:val="28"/>
        </w:rPr>
        <w:t>0</w:t>
      </w:r>
      <w:r w:rsidR="00D47F8C">
        <w:rPr>
          <w:rFonts w:ascii="Times New Roman" w:hAnsi="Times New Roman"/>
          <w:sz w:val="28"/>
          <w:szCs w:val="28"/>
        </w:rPr>
        <w:t xml:space="preserve">1 năm </w:t>
      </w:r>
      <w:r w:rsidRPr="00244243">
        <w:rPr>
          <w:rFonts w:ascii="Times New Roman" w:hAnsi="Times New Roman"/>
          <w:sz w:val="28"/>
          <w:szCs w:val="28"/>
        </w:rPr>
        <w:t xml:space="preserve">2025 (sau </w:t>
      </w:r>
      <w:r w:rsidR="00710241">
        <w:rPr>
          <w:rFonts w:ascii="Times New Roman" w:hAnsi="Times New Roman"/>
          <w:sz w:val="28"/>
          <w:szCs w:val="28"/>
        </w:rPr>
        <w:t>0</w:t>
      </w:r>
      <w:r w:rsidRPr="00244243">
        <w:rPr>
          <w:rFonts w:ascii="Times New Roman" w:hAnsi="Times New Roman"/>
          <w:sz w:val="28"/>
          <w:szCs w:val="28"/>
        </w:rPr>
        <w:t xml:space="preserve">6 tháng kể từ </w:t>
      </w:r>
      <w:r w:rsidR="00710241">
        <w:rPr>
          <w:rFonts w:ascii="Times New Roman" w:hAnsi="Times New Roman"/>
          <w:sz w:val="28"/>
          <w:szCs w:val="28"/>
        </w:rPr>
        <w:t>ngày</w:t>
      </w:r>
      <w:r w:rsidRPr="00244243">
        <w:rPr>
          <w:rFonts w:ascii="Times New Roman" w:hAnsi="Times New Roman"/>
          <w:sz w:val="28"/>
          <w:szCs w:val="28"/>
        </w:rPr>
        <w:t xml:space="preserve"> Thông tư có hiệu lực) đối với quy định tại</w:t>
      </w:r>
      <w:r w:rsidRPr="00244243"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10241">
        <w:rPr>
          <w:rFonts w:ascii="Times New Roman" w:hAnsi="Times New Roman"/>
          <w:sz w:val="28"/>
          <w:szCs w:val="28"/>
        </w:rPr>
        <w:t>k</w:t>
      </w:r>
      <w:r w:rsidRPr="00244243">
        <w:rPr>
          <w:rFonts w:ascii="Times New Roman" w:hAnsi="Times New Roman"/>
          <w:sz w:val="28"/>
          <w:szCs w:val="28"/>
        </w:rPr>
        <w:t>hoản 3 Điều 13, khoản 6 Điều 16, điểm q khoản 1 Điều 17 và khoản 5 Điều 19 Thông tư</w:t>
      </w:r>
      <w:r w:rsidR="00917CCE">
        <w:rPr>
          <w:rFonts w:ascii="Times New Roman" w:hAnsi="Times New Roman"/>
          <w:sz w:val="28"/>
          <w:szCs w:val="28"/>
        </w:rPr>
        <w:t>;</w:t>
      </w:r>
    </w:p>
    <w:p w14:paraId="38CAF004" w14:textId="4AB337A7" w:rsidR="00244243" w:rsidRPr="00244243" w:rsidRDefault="00244243" w:rsidP="00244243">
      <w:pPr>
        <w:spacing w:before="120" w:after="120" w:line="269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4243">
        <w:rPr>
          <w:rFonts w:ascii="Times New Roman" w:hAnsi="Times New Roman"/>
          <w:sz w:val="28"/>
          <w:szCs w:val="28"/>
        </w:rPr>
        <w:t>- Đối với các tổ chức tín dụng được kiểm soát đặc biệt áp dụng muộn hơn 6 tháng so với các tổ chức khác đối với quy định tại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4243">
        <w:rPr>
          <w:rFonts w:ascii="Times New Roman" w:hAnsi="Times New Roman"/>
          <w:sz w:val="28"/>
          <w:szCs w:val="28"/>
        </w:rPr>
        <w:t xml:space="preserve">khoản 6 Điều 16, điểm q khoản 1 Điều 17 và khoản 5 Điều 19 Thông tư. </w:t>
      </w:r>
    </w:p>
    <w:p w14:paraId="6863F585" w14:textId="361116FA" w:rsidR="00244243" w:rsidRDefault="00244243" w:rsidP="00244243">
      <w:pPr>
        <w:spacing w:before="120" w:after="120" w:line="269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4243">
        <w:rPr>
          <w:rFonts w:ascii="Times New Roman" w:hAnsi="Times New Roman"/>
          <w:sz w:val="28"/>
          <w:szCs w:val="28"/>
        </w:rPr>
        <w:t>Về điều khoản chuyển tiếp</w:t>
      </w:r>
      <w:r w:rsidR="00C871C5">
        <w:rPr>
          <w:rFonts w:ascii="Times New Roman" w:hAnsi="Times New Roman"/>
          <w:sz w:val="28"/>
          <w:szCs w:val="28"/>
        </w:rPr>
        <w:t>:</w:t>
      </w:r>
    </w:p>
    <w:p w14:paraId="3DB497DA" w14:textId="626E1CB5" w:rsidR="00C871C5" w:rsidRPr="00C871C5" w:rsidRDefault="00C871C5" w:rsidP="00C871C5">
      <w:pPr>
        <w:spacing w:before="120" w:after="120" w:line="269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71C5">
        <w:rPr>
          <w:rFonts w:ascii="Times New Roman" w:hAnsi="Times New Roman"/>
          <w:sz w:val="28"/>
          <w:szCs w:val="28"/>
        </w:rPr>
        <w:t xml:space="preserve">Đối với mẫu thẻ vật lý đã in trước ngày 01 tháng 7 năm 2024, </w:t>
      </w:r>
      <w:r w:rsidR="00710241">
        <w:rPr>
          <w:rFonts w:ascii="Times New Roman" w:hAnsi="Times New Roman"/>
          <w:sz w:val="28"/>
          <w:szCs w:val="28"/>
        </w:rPr>
        <w:t>tổ chức phát hành thẻ</w:t>
      </w:r>
      <w:r w:rsidRPr="00C871C5">
        <w:rPr>
          <w:rFonts w:ascii="Times New Roman" w:hAnsi="Times New Roman"/>
          <w:sz w:val="28"/>
          <w:szCs w:val="28"/>
        </w:rPr>
        <w:t xml:space="preserve"> được tiếp tục sử dụng đến hết ngày 31 tháng 12 năm 2024.</w:t>
      </w:r>
    </w:p>
    <w:p w14:paraId="6EB07E2B" w14:textId="6644F201" w:rsidR="00C871C5" w:rsidRDefault="00C871C5" w:rsidP="00C871C5">
      <w:pPr>
        <w:spacing w:before="120" w:after="120" w:line="269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C871C5">
        <w:rPr>
          <w:rFonts w:ascii="Times New Roman" w:hAnsi="Times New Roman"/>
          <w:sz w:val="28"/>
          <w:szCs w:val="28"/>
        </w:rPr>
        <w:t xml:space="preserve">Đối với khách hàng có thẻ được phát hành trước ngày 01 tháng 10 năm 2024, </w:t>
      </w:r>
      <w:r w:rsidR="00D47F8C">
        <w:rPr>
          <w:rFonts w:ascii="Times New Roman" w:hAnsi="Times New Roman"/>
          <w:sz w:val="28"/>
          <w:szCs w:val="28"/>
        </w:rPr>
        <w:t>tổ chức phát hành thẻ</w:t>
      </w:r>
      <w:r w:rsidRPr="00C871C5">
        <w:rPr>
          <w:rFonts w:ascii="Times New Roman" w:hAnsi="Times New Roman"/>
          <w:sz w:val="28"/>
          <w:szCs w:val="28"/>
        </w:rPr>
        <w:t xml:space="preserve"> phối hợp với khách hàng thực hiện cập nhật, bổ sung tài liệu, thông tin, dữ liệu của khách hàng đảm bảo tuân thủ quy định tại khoản 2 Điều 9, Điều 12 Thông tư này, hoàn thành trước ngày 01 tháng 01 năm 2026.</w:t>
      </w:r>
    </w:p>
    <w:p w14:paraId="64FC45CB" w14:textId="50C92BA4" w:rsidR="002D3BA6" w:rsidRPr="008A52C3" w:rsidRDefault="002D3BA6" w:rsidP="00A77E2F">
      <w:pPr>
        <w:spacing w:before="120" w:after="120" w:line="269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Thông tư quy định về hoạt động thẻ ngân hàng</w:t>
      </w:r>
      <w:r w:rsidR="00244243">
        <w:rPr>
          <w:rFonts w:ascii="Times New Roman" w:hAnsi="Times New Roman"/>
          <w:sz w:val="28"/>
          <w:szCs w:val="28"/>
        </w:rPr>
        <w:t xml:space="preserve"> với một số chính sách mới</w:t>
      </w:r>
      <w:r>
        <w:rPr>
          <w:rFonts w:ascii="Times New Roman" w:hAnsi="Times New Roman"/>
          <w:sz w:val="28"/>
          <w:szCs w:val="28"/>
        </w:rPr>
        <w:t xml:space="preserve"> </w:t>
      </w:r>
      <w:r w:rsidR="00A77E2F">
        <w:rPr>
          <w:rFonts w:ascii="Times New Roman" w:hAnsi="Times New Roman"/>
          <w:sz w:val="28"/>
          <w:szCs w:val="28"/>
        </w:rPr>
        <w:t xml:space="preserve"> nhằm tăng cường an ninh, an toàn trong hoạt động thẻ ngân hàng đảm bảo phù hợp với các quy định pháp luật có liên quan, cụ thể như: Quy định về định danh khách hàng trong đó quy định cụ thể về các giấy tờ tùy thân của khách hàng phải cung cấp; quy định về việc định danh xác thực khách hàng khi phát hành thẻ bằng phương tiện điện tử; </w:t>
      </w:r>
      <w:r w:rsidR="00244243">
        <w:rPr>
          <w:rFonts w:ascii="Times New Roman" w:hAnsi="Times New Roman"/>
          <w:sz w:val="28"/>
          <w:szCs w:val="28"/>
        </w:rPr>
        <w:t>q</w:t>
      </w:r>
      <w:r w:rsidR="00A77E2F">
        <w:rPr>
          <w:rFonts w:ascii="Times New Roman" w:hAnsi="Times New Roman"/>
          <w:sz w:val="28"/>
          <w:szCs w:val="28"/>
        </w:rPr>
        <w:t>uy định về hạn mức</w:t>
      </w:r>
      <w:r w:rsidR="002B122F">
        <w:rPr>
          <w:rFonts w:ascii="Times New Roman" w:hAnsi="Times New Roman"/>
          <w:sz w:val="28"/>
          <w:szCs w:val="28"/>
        </w:rPr>
        <w:t xml:space="preserve"> giao dịch đối với</w:t>
      </w:r>
      <w:r w:rsidR="00A77E2F">
        <w:rPr>
          <w:rFonts w:ascii="Times New Roman" w:hAnsi="Times New Roman"/>
          <w:sz w:val="28"/>
          <w:szCs w:val="28"/>
        </w:rPr>
        <w:t xml:space="preserve"> thẻ trả trước định danh, thẻ tín dụn</w:t>
      </w:r>
      <w:r w:rsidR="00244243">
        <w:rPr>
          <w:rFonts w:ascii="Times New Roman" w:hAnsi="Times New Roman"/>
          <w:sz w:val="28"/>
          <w:szCs w:val="28"/>
        </w:rPr>
        <w:t>g</w:t>
      </w:r>
      <w:r w:rsidR="00A77E2F">
        <w:rPr>
          <w:rFonts w:ascii="Times New Roman" w:hAnsi="Times New Roman"/>
          <w:sz w:val="28"/>
          <w:szCs w:val="28"/>
        </w:rPr>
        <w:t>;</w:t>
      </w:r>
      <w:r w:rsidR="00710241">
        <w:rPr>
          <w:rFonts w:ascii="Times New Roman" w:hAnsi="Times New Roman"/>
          <w:sz w:val="28"/>
          <w:szCs w:val="28"/>
        </w:rPr>
        <w:t xml:space="preserve"> quy định</w:t>
      </w:r>
      <w:r w:rsidR="00CE2774">
        <w:rPr>
          <w:rFonts w:ascii="Times New Roman" w:hAnsi="Times New Roman"/>
          <w:sz w:val="28"/>
          <w:szCs w:val="28"/>
        </w:rPr>
        <w:t xml:space="preserve"> về</w:t>
      </w:r>
      <w:r w:rsidR="00710241">
        <w:rPr>
          <w:rFonts w:ascii="Times New Roman" w:hAnsi="Times New Roman"/>
          <w:sz w:val="28"/>
          <w:szCs w:val="28"/>
        </w:rPr>
        <w:t xml:space="preserve"> tổng hạn mức rút tiền mặt đối với chủ thẻ tính theo BIN (mã tổ chức phát hành thẻ)</w:t>
      </w:r>
      <w:r w:rsidR="00D47F8C">
        <w:rPr>
          <w:rFonts w:ascii="Times New Roman" w:hAnsi="Times New Roman"/>
          <w:sz w:val="28"/>
          <w:szCs w:val="28"/>
        </w:rPr>
        <w:t xml:space="preserve"> của thẻ tín dụng</w:t>
      </w:r>
      <w:r w:rsidR="00710241">
        <w:rPr>
          <w:rFonts w:ascii="Times New Roman" w:hAnsi="Times New Roman"/>
          <w:sz w:val="28"/>
          <w:szCs w:val="28"/>
        </w:rPr>
        <w:t xml:space="preserve"> tối đa là 100 triệu đồng trong 01 tháng./.</w:t>
      </w:r>
    </w:p>
    <w:p w14:paraId="3D0E7B73" w14:textId="77777777" w:rsidR="00B10B12" w:rsidRPr="00B10B12" w:rsidRDefault="00B10B12" w:rsidP="00B10B12">
      <w:pPr>
        <w:spacing w:before="120"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0B12">
        <w:rPr>
          <w:rFonts w:ascii="Times New Roman" w:hAnsi="Times New Roman" w:cs="Times New Roman"/>
          <w:b/>
          <w:sz w:val="28"/>
          <w:szCs w:val="28"/>
        </w:rPr>
        <w:t>NGÂN HÀNG NHÀ NƯỚC VIỆT NAM</w:t>
      </w:r>
    </w:p>
    <w:sectPr w:rsidR="00B10B12" w:rsidRPr="00B10B12" w:rsidSect="00DE3471"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8B4A5" w14:textId="77777777" w:rsidR="00D6199F" w:rsidRDefault="00D6199F" w:rsidP="000433E3">
      <w:pPr>
        <w:spacing w:after="0" w:line="240" w:lineRule="auto"/>
      </w:pPr>
      <w:r>
        <w:separator/>
      </w:r>
    </w:p>
  </w:endnote>
  <w:endnote w:type="continuationSeparator" w:id="0">
    <w:p w14:paraId="465ACFE0" w14:textId="77777777" w:rsidR="00D6199F" w:rsidRDefault="00D6199F" w:rsidP="00043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6267D" w14:textId="77777777" w:rsidR="00D6199F" w:rsidRDefault="00D6199F" w:rsidP="000433E3">
      <w:pPr>
        <w:spacing w:after="0" w:line="240" w:lineRule="auto"/>
      </w:pPr>
      <w:r>
        <w:separator/>
      </w:r>
    </w:p>
  </w:footnote>
  <w:footnote w:type="continuationSeparator" w:id="0">
    <w:p w14:paraId="105841C0" w14:textId="77777777" w:rsidR="00D6199F" w:rsidRDefault="00D6199F" w:rsidP="000433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B7"/>
    <w:rsid w:val="000433E3"/>
    <w:rsid w:val="000C6D2B"/>
    <w:rsid w:val="00185656"/>
    <w:rsid w:val="0019557E"/>
    <w:rsid w:val="00215217"/>
    <w:rsid w:val="0022349B"/>
    <w:rsid w:val="00244243"/>
    <w:rsid w:val="00297435"/>
    <w:rsid w:val="002A4321"/>
    <w:rsid w:val="002B122F"/>
    <w:rsid w:val="002D3BA6"/>
    <w:rsid w:val="002E6C1F"/>
    <w:rsid w:val="0037616B"/>
    <w:rsid w:val="0037618F"/>
    <w:rsid w:val="00395782"/>
    <w:rsid w:val="003C14F9"/>
    <w:rsid w:val="003C169A"/>
    <w:rsid w:val="004B746A"/>
    <w:rsid w:val="00514483"/>
    <w:rsid w:val="0059762F"/>
    <w:rsid w:val="005F0F3F"/>
    <w:rsid w:val="007019D2"/>
    <w:rsid w:val="00710241"/>
    <w:rsid w:val="00764A8D"/>
    <w:rsid w:val="007B4E59"/>
    <w:rsid w:val="007C578F"/>
    <w:rsid w:val="007E28D3"/>
    <w:rsid w:val="007E71AF"/>
    <w:rsid w:val="00875629"/>
    <w:rsid w:val="008A1DB7"/>
    <w:rsid w:val="008A52C3"/>
    <w:rsid w:val="00917CCE"/>
    <w:rsid w:val="00946C1A"/>
    <w:rsid w:val="00974AD6"/>
    <w:rsid w:val="009C2B16"/>
    <w:rsid w:val="009F5DBA"/>
    <w:rsid w:val="00A02FD3"/>
    <w:rsid w:val="00A10012"/>
    <w:rsid w:val="00A27A34"/>
    <w:rsid w:val="00A77E2F"/>
    <w:rsid w:val="00AA2746"/>
    <w:rsid w:val="00AF5305"/>
    <w:rsid w:val="00B03E4C"/>
    <w:rsid w:val="00B10B12"/>
    <w:rsid w:val="00B77DF1"/>
    <w:rsid w:val="00C871C5"/>
    <w:rsid w:val="00C9372C"/>
    <w:rsid w:val="00CE2774"/>
    <w:rsid w:val="00CE6F2D"/>
    <w:rsid w:val="00D47F8C"/>
    <w:rsid w:val="00D6199F"/>
    <w:rsid w:val="00DA33E4"/>
    <w:rsid w:val="00DE3471"/>
    <w:rsid w:val="00DF1F07"/>
    <w:rsid w:val="00E62BBA"/>
    <w:rsid w:val="00E77834"/>
    <w:rsid w:val="00F004CB"/>
    <w:rsid w:val="00F26454"/>
    <w:rsid w:val="00F819D0"/>
    <w:rsid w:val="00F96CFB"/>
    <w:rsid w:val="00FC6429"/>
    <w:rsid w:val="00FE4672"/>
    <w:rsid w:val="00FE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AA633"/>
  <w15:chartTrackingRefBased/>
  <w15:docId w15:val="{1558B4D4-BFAE-46D2-BFF9-007AF7B9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Final Footnote Text,Footnote Text Char Char Char Char Char,Footnote Text Char Char Char Char Char Char Ch,Char Char,Char9,Footnote Text 2,fn,Footnotes,ft,fn cafc,Footnote ak,fn Char,footnote text Char,Footnotes Char,Footnote ak Char,З"/>
    <w:basedOn w:val="Normal"/>
    <w:link w:val="FootnoteTextChar"/>
    <w:uiPriority w:val="99"/>
    <w:qFormat/>
    <w:rsid w:val="00043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aliases w:val="Final Footnote Text Char,Footnote Text Char Char Char Char Char Char,Footnote Text Char Char Char Char Char Char Ch Char,Char Char Char,Char9 Char,Footnote Text 2 Char,fn Char1,Footnotes Char1,ft Char,fn cafc Char,Footnote ak Char1"/>
    <w:basedOn w:val="DefaultParagraphFont"/>
    <w:link w:val="FootnoteText"/>
    <w:uiPriority w:val="99"/>
    <w:qFormat/>
    <w:rsid w:val="000433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aliases w:val="Footnote Reference1,Footnote,Ref,de nota al pie,Footnote text + 13 pt,Footnote text,ftref,4_G,fr,16 Point,Superscript 6 Point,BearingPoint,Footnote Text1,Footnote Text Char Char Char Char Char Char Ch Char Char Char Char Char Char C,R"/>
    <w:link w:val="CharChar1CharCharCharChar1CharCharCharCharCharCharCharChar"/>
    <w:uiPriority w:val="99"/>
    <w:qFormat/>
    <w:rsid w:val="000433E3"/>
    <w:rPr>
      <w:vertAlign w:val="superscript"/>
    </w:rPr>
  </w:style>
  <w:style w:type="paragraph" w:customStyle="1" w:styleId="CharChar1CharCharCharChar1CharCharCharCharCharCharCharChar">
    <w:name w:val="Char Char1 Char Char Char Char1 Char Char Char Char Char Char Char Char"/>
    <w:aliases w:val="Char Char1 Char Char Char Char1 Char Char Char Char Char Char Char Char Char Char Char Char"/>
    <w:basedOn w:val="Normal"/>
    <w:link w:val="FootnoteReference"/>
    <w:uiPriority w:val="99"/>
    <w:qFormat/>
    <w:rsid w:val="000433E3"/>
    <w:pPr>
      <w:spacing w:after="160" w:line="240" w:lineRule="exact"/>
    </w:pPr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3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?><Relationships xmlns="http://schemas.openxmlformats.org/package/2006/relationships"><Relationship Target="endnotes.xml" Type="http://schemas.openxmlformats.org/officeDocument/2006/relationships/endnotes" Id="rId8"></Relationship><Relationship Target="../customXml/item3.xml" Type="http://schemas.openxmlformats.org/officeDocument/2006/relationships/customXml" Id="rId3"></Relationship><Relationship Target="footnotes.xml" Type="http://schemas.openxmlformats.org/officeDocument/2006/relationships/footnotes" Id="rId7"></Relationship><Relationship Target="../customXml/item2.xml" Type="http://schemas.openxmlformats.org/officeDocument/2006/relationships/customXml" Id="rId2"></Relationship><Relationship Target="../customXml/item1.xml" Type="http://schemas.openxmlformats.org/officeDocument/2006/relationships/customXml" Id="rId1"></Relationship><Relationship Target="webSettings.xml" Type="http://schemas.openxmlformats.org/officeDocument/2006/relationships/webSettings" Id="rId6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10"></Relationship><Relationship Target="styles.xml" Type="http://schemas.openxmlformats.org/officeDocument/2006/relationships/styles" Id="rId4"></Relationship><Relationship Target="fontTable.xml" Type="http://schemas.openxmlformats.org/officeDocument/2006/relationships/fontTable" Id="rId9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478D2C6DD5A4FBCA9633FB76EF110" ma:contentTypeVersion="0" ma:contentTypeDescription="Create a new document." ma:contentTypeScope="" ma:versionID="b6da3576b147be201284a637a4f33b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797035-98C3-4776-B735-D9D275EF09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D5C960-E0D2-4C39-BCE9-B372F807B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7AB716-5A1A-43BD-9251-7DE40940AC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Thuy Nga (TDCNKT)</dc:creator>
  <cp:keywords/>
  <dc:description/>
  <cp:lastModifiedBy>Nguyen Ngoc Quyet (VTTh)</cp:lastModifiedBy>
  <cp:revision>3</cp:revision>
  <cp:lastPrinted>2024-07-02T22:22:00Z</cp:lastPrinted>
  <dcterms:created xsi:type="dcterms:W3CDTF">2024-07-04T01:44:00Z</dcterms:created>
  <dcterms:modified xsi:type="dcterms:W3CDTF">2024-07-04T01:44:00Z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0x010100FB5478D2C6DD5A4FBCA9633FB76EF110</vt:lpwstr>
  </property>
  <property fmtid="{D5CDD505-2E9C-101B-9397-08002B2CF9AE}" pid="10" name="DISdDocName">
    <vt:lpwstr>SBV605219</vt:lpwstr>
  </property>
  <property fmtid="{D5CDD505-2E9C-101B-9397-08002B2CF9AE}" pid="11" name="DISProperties">
    <vt:lpwstr>DISdDocName,DIScgiUrl,DISdUser,DISdID,DISidcName,DISTaskPaneUrl</vt:lpwstr>
  </property>
  <property fmtid="{D5CDD505-2E9C-101B-9397-08002B2CF9AE}" pid="12" name="DIScgiUrl">
    <vt:lpwstr>http://webcenter-app01:16200/cs/idcplg</vt:lpwstr>
  </property>
  <property fmtid="{D5CDD505-2E9C-101B-9397-08002B2CF9AE}" pid="13" name="DISdUser">
    <vt:lpwstr>anonymous</vt:lpwstr>
  </property>
  <property fmtid="{D5CDD505-2E9C-101B-9397-08002B2CF9AE}" pid="14" name="DISdID">
    <vt:lpwstr>579873</vt:lpwstr>
  </property>
  <property fmtid="{D5CDD505-2E9C-101B-9397-08002B2CF9AE}" pid="15" name="DISidcName">
    <vt:lpwstr>webcenterapp0116200</vt:lpwstr>
  </property>
  <property fmtid="{D5CDD505-2E9C-101B-9397-08002B2CF9AE}" pid="16" name="DISTaskPaneUrl">
    <vt:lpwstr>http://webcenter-app01:16200/cs/idcplg?IdcService=DESKTOP_DOC_INFO&amp;dDocName=SBV605219&amp;dID=579873&amp;ClientControlled=DocMan,taskpane&amp;coreContentOnly=1</vt:lpwstr>
  </property>
</Properties>
</file>