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AD" w:rsidRPr="004D50A6" w:rsidRDefault="005F2AAD" w:rsidP="005F2AAD">
      <w:pPr>
        <w:tabs>
          <w:tab w:val="left" w:pos="930"/>
          <w:tab w:val="center" w:pos="4520"/>
        </w:tabs>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b/>
          <w:color w:val="000000" w:themeColor="text1"/>
          <w:sz w:val="20"/>
          <w:szCs w:val="20"/>
          <w:lang w:eastAsia="en-GB"/>
        </w:rPr>
        <w:t>Developments in Money Market and Inter-bank Market (March 31 – April 4, 2025)</w:t>
      </w:r>
    </w:p>
    <w:p w:rsidR="005F2AAD" w:rsidRPr="004D50A6" w:rsidRDefault="005F2AAD" w:rsidP="005F2AAD">
      <w:pPr>
        <w:spacing w:before="12" w:after="120" w:line="240" w:lineRule="auto"/>
        <w:rPr>
          <w:rFonts w:ascii="Arial" w:eastAsia="Arial" w:hAnsi="Arial" w:cs="Arial"/>
          <w:color w:val="000000" w:themeColor="text1"/>
          <w:sz w:val="20"/>
          <w:szCs w:val="20"/>
          <w:lang w:eastAsia="en-GB"/>
        </w:rPr>
      </w:pPr>
      <w:r w:rsidRPr="004D50A6">
        <w:rPr>
          <w:rFonts w:ascii="Arial" w:eastAsia="Arial" w:hAnsi="Arial" w:cs="Arial"/>
          <w:b/>
          <w:color w:val="000000" w:themeColor="text1"/>
          <w:sz w:val="20"/>
          <w:szCs w:val="20"/>
          <w:lang w:eastAsia="en-GB"/>
        </w:rPr>
        <w:t xml:space="preserve">1. </w:t>
      </w:r>
      <w:proofErr w:type="spellStart"/>
      <w:r w:rsidRPr="004D50A6">
        <w:rPr>
          <w:rFonts w:ascii="Arial" w:eastAsia="Arial" w:hAnsi="Arial" w:cs="Arial"/>
          <w:b/>
          <w:color w:val="000000" w:themeColor="text1"/>
          <w:sz w:val="20"/>
          <w:szCs w:val="20"/>
          <w:lang w:eastAsia="en-GB"/>
        </w:rPr>
        <w:t>Forex</w:t>
      </w:r>
      <w:proofErr w:type="spellEnd"/>
      <w:r w:rsidRPr="004D50A6">
        <w:rPr>
          <w:rFonts w:ascii="Arial" w:eastAsia="Arial" w:hAnsi="Arial" w:cs="Arial"/>
          <w:b/>
          <w:color w:val="000000" w:themeColor="text1"/>
          <w:sz w:val="20"/>
          <w:szCs w:val="20"/>
          <w:lang w:eastAsia="en-GB"/>
        </w:rPr>
        <w:t xml:space="preserve"> market and exchange rates</w:t>
      </w:r>
    </w:p>
    <w:p w:rsidR="005F2AAD" w:rsidRPr="004D50A6" w:rsidRDefault="005F2AAD" w:rsidP="005F2AAD">
      <w:pPr>
        <w:tabs>
          <w:tab w:val="left" w:pos="8205"/>
        </w:tabs>
        <w:spacing w:before="12" w:after="120" w:line="240" w:lineRule="auto"/>
        <w:jc w:val="both"/>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On March 31, 2025, the buying and selling exchange rates quoted on the website of the Joint Stock Commercial Bank for Foreign Trade of Vietnam (</w:t>
      </w:r>
      <w:proofErr w:type="spellStart"/>
      <w:r w:rsidRPr="004D50A6">
        <w:rPr>
          <w:rFonts w:ascii="Arial" w:eastAsia="Arial" w:hAnsi="Arial" w:cs="Arial"/>
          <w:color w:val="000000" w:themeColor="text1"/>
          <w:sz w:val="20"/>
          <w:szCs w:val="20"/>
          <w:lang w:eastAsia="en-GB"/>
        </w:rPr>
        <w:t>Vietcombank</w:t>
      </w:r>
      <w:proofErr w:type="spellEnd"/>
      <w:r w:rsidRPr="004D50A6">
        <w:rPr>
          <w:rFonts w:ascii="Arial" w:eastAsia="Arial" w:hAnsi="Arial" w:cs="Arial"/>
          <w:color w:val="000000" w:themeColor="text1"/>
          <w:sz w:val="20"/>
          <w:szCs w:val="20"/>
          <w:lang w:eastAsia="en-GB"/>
        </w:rPr>
        <w:t xml:space="preserve">) were at </w:t>
      </w:r>
      <w:proofErr w:type="gramStart"/>
      <w:r w:rsidRPr="004D50A6">
        <w:rPr>
          <w:rFonts w:ascii="Arial" w:eastAsia="Arial" w:hAnsi="Arial" w:cs="Arial"/>
          <w:color w:val="000000" w:themeColor="text1"/>
          <w:sz w:val="20"/>
          <w:szCs w:val="20"/>
          <w:lang w:eastAsia="en-GB"/>
        </w:rPr>
        <w:t>VND  25,380</w:t>
      </w:r>
      <w:proofErr w:type="gramEnd"/>
      <w:r w:rsidRPr="004D50A6">
        <w:rPr>
          <w:rFonts w:ascii="Arial" w:eastAsia="Arial" w:hAnsi="Arial" w:cs="Arial"/>
          <w:color w:val="000000" w:themeColor="text1"/>
          <w:sz w:val="20"/>
          <w:szCs w:val="20"/>
          <w:lang w:eastAsia="en-GB"/>
        </w:rPr>
        <w:t>/25,740 per USD, a decrease of VND 20 USD as compared with the rates of the last working day of the previous week (March 28, 2025). By the end of April 4, 2025, the exchange rates were quoted at VND 25,600/25,960 per USD, an increase of 220 VND per USD as compared with the rates of March 31, 2025.</w:t>
      </w:r>
    </w:p>
    <w:p w:rsidR="005F2AAD" w:rsidRPr="004D50A6" w:rsidRDefault="005F2AAD" w:rsidP="005F2AAD">
      <w:pPr>
        <w:tabs>
          <w:tab w:val="left" w:pos="8205"/>
        </w:tabs>
        <w:spacing w:before="12" w:after="120" w:line="240" w:lineRule="auto"/>
        <w:jc w:val="both"/>
        <w:rPr>
          <w:rFonts w:ascii="Arial" w:eastAsia="Arial" w:hAnsi="Arial" w:cs="Arial"/>
          <w:color w:val="000000" w:themeColor="text1"/>
          <w:sz w:val="20"/>
          <w:szCs w:val="20"/>
          <w:lang w:eastAsia="en-GB"/>
        </w:rPr>
      </w:pPr>
      <w:r w:rsidRPr="004D50A6">
        <w:rPr>
          <w:rFonts w:ascii="Arial" w:eastAsia="Arial" w:hAnsi="Arial" w:cs="Arial"/>
          <w:b/>
          <w:color w:val="000000" w:themeColor="text1"/>
          <w:sz w:val="20"/>
          <w:szCs w:val="20"/>
          <w:lang w:eastAsia="en-GB"/>
        </w:rPr>
        <w:t>2. Inter-bank transaction operations</w:t>
      </w:r>
    </w:p>
    <w:p w:rsidR="005F2AAD" w:rsidRPr="004D50A6" w:rsidRDefault="005F2AAD" w:rsidP="005F2AAD">
      <w:pPr>
        <w:tabs>
          <w:tab w:val="left" w:pos="8205"/>
        </w:tabs>
        <w:spacing w:before="12" w:after="120" w:line="240" w:lineRule="auto"/>
        <w:jc w:val="both"/>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2.1. Transactions</w:t>
      </w:r>
    </w:p>
    <w:p w:rsidR="005F2AAD" w:rsidRPr="004D50A6" w:rsidRDefault="005F2AAD" w:rsidP="005F2AAD">
      <w:pPr>
        <w:tabs>
          <w:tab w:val="left" w:pos="8205"/>
        </w:tabs>
        <w:spacing w:before="12" w:after="120" w:line="240" w:lineRule="auto"/>
        <w:jc w:val="both"/>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According to the reports submitted by the credit institutions and the foreign bank branches, the total amount of transactions in VND in the inter-bank market during the week reached approximately VND  2,555,765 billion, an average of VND 511,153 billion per day, an increase of VND 16,788 billion per day as compared to the previous week. Meanwhile, the transaction amount in USD was equivalent to VND 540,692 billion, an average of VND 108,138 billion per day, an increase of VND 250 billion per day as compared to the previous week.</w:t>
      </w:r>
    </w:p>
    <w:p w:rsidR="005F2AAD" w:rsidRPr="004D50A6" w:rsidRDefault="005F2AAD" w:rsidP="005F2AAD">
      <w:pPr>
        <w:tabs>
          <w:tab w:val="left" w:pos="8205"/>
        </w:tabs>
        <w:spacing w:before="12" w:after="120" w:line="240" w:lineRule="auto"/>
        <w:jc w:val="both"/>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 xml:space="preserve">Regarding the maturities, most VND transactions were for overnight and 1-week terms, accounting for </w:t>
      </w:r>
      <w:r w:rsidRPr="004D50A6">
        <w:rPr>
          <w:rFonts w:ascii="Arial" w:eastAsia="Times New Roman" w:hAnsi="Arial" w:cs="Arial"/>
          <w:color w:val="000000" w:themeColor="text1"/>
          <w:sz w:val="20"/>
          <w:szCs w:val="20"/>
          <w:lang w:eastAsia="en-GB"/>
        </w:rPr>
        <w:t>78</w:t>
      </w:r>
      <w:r w:rsidRPr="004D50A6">
        <w:rPr>
          <w:rFonts w:ascii="Arial" w:eastAsia="Arial" w:hAnsi="Arial" w:cs="Arial"/>
          <w:color w:val="000000" w:themeColor="text1"/>
          <w:sz w:val="20"/>
          <w:szCs w:val="20"/>
          <w:lang w:eastAsia="en-GB"/>
        </w:rPr>
        <w:t>% and 19% of the total amount of transactions respectively. For USD transactions, overnight and 1-week terms accounted for 69% and 25% of the total amount of transactions respectively.</w:t>
      </w:r>
    </w:p>
    <w:p w:rsidR="005F2AAD" w:rsidRPr="004D50A6" w:rsidRDefault="005F2AAD" w:rsidP="005F2AAD">
      <w:pPr>
        <w:tabs>
          <w:tab w:val="left" w:pos="8205"/>
        </w:tabs>
        <w:spacing w:before="12" w:after="120" w:line="240" w:lineRule="auto"/>
        <w:jc w:val="both"/>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2.2. Inter-bank interest rates</w:t>
      </w:r>
    </w:p>
    <w:p w:rsidR="005F2AAD" w:rsidRPr="004D50A6" w:rsidRDefault="005F2AAD" w:rsidP="005F2AAD">
      <w:pPr>
        <w:spacing w:before="12" w:after="120" w:line="240" w:lineRule="auto"/>
        <w:jc w:val="both"/>
        <w:rPr>
          <w:rFonts w:ascii="Arial" w:eastAsia="Times New Roman" w:hAnsi="Arial" w:cs="Arial"/>
          <w:color w:val="000000" w:themeColor="text1"/>
          <w:sz w:val="20"/>
          <w:szCs w:val="20"/>
          <w:lang w:eastAsia="en-GB"/>
        </w:rPr>
      </w:pPr>
      <w:r w:rsidRPr="004D50A6">
        <w:rPr>
          <w:rFonts w:ascii="Arial" w:eastAsia="Arial" w:hAnsi="Arial" w:cs="Arial"/>
          <w:color w:val="000000" w:themeColor="text1"/>
          <w:sz w:val="20"/>
          <w:szCs w:val="20"/>
          <w:lang w:eastAsia="en-GB"/>
        </w:rPr>
        <w:t>For transactions in VND: As compared to the previous week, the average inter-bank interest rates for some key terms experienced opposite movements as compared to the previous week</w:t>
      </w:r>
      <w:r w:rsidRPr="004D50A6">
        <w:rPr>
          <w:rFonts w:ascii="Arial" w:eastAsia="Times New Roman" w:hAnsi="Arial" w:cs="Arial"/>
          <w:color w:val="000000" w:themeColor="text1"/>
          <w:sz w:val="20"/>
          <w:szCs w:val="20"/>
          <w:lang w:eastAsia="en-GB"/>
        </w:rPr>
        <w:t xml:space="preserve">. </w:t>
      </w:r>
      <w:proofErr w:type="gramStart"/>
      <w:r w:rsidRPr="004D50A6">
        <w:rPr>
          <w:rFonts w:ascii="Arial" w:eastAsia="Times New Roman" w:hAnsi="Arial" w:cs="Arial"/>
          <w:color w:val="000000" w:themeColor="text1"/>
          <w:sz w:val="20"/>
          <w:szCs w:val="20"/>
          <w:lang w:eastAsia="en-GB"/>
        </w:rPr>
        <w:t>Specifically, the average inter-bank interest rate for overnight term increased by 0.22 percentage points, to 4.33% p.a.</w:t>
      </w:r>
      <w:proofErr w:type="gramEnd"/>
      <w:r w:rsidRPr="004D50A6">
        <w:rPr>
          <w:rFonts w:ascii="Arial" w:eastAsia="Times New Roman" w:hAnsi="Arial" w:cs="Arial"/>
          <w:color w:val="000000" w:themeColor="text1"/>
          <w:sz w:val="20"/>
          <w:szCs w:val="20"/>
          <w:lang w:eastAsia="en-GB"/>
        </w:rPr>
        <w:t xml:space="preserve"> Meanwhile, the average inter-bank interest rates for 1-week and 1-month terms decreased by 0.</w:t>
      </w:r>
      <w:r w:rsidR="00B170BB" w:rsidRPr="004D50A6">
        <w:rPr>
          <w:rFonts w:ascii="Arial" w:eastAsia="Times New Roman" w:hAnsi="Arial" w:cs="Arial"/>
          <w:color w:val="000000" w:themeColor="text1"/>
          <w:sz w:val="20"/>
          <w:szCs w:val="20"/>
          <w:lang w:eastAsia="en-GB"/>
        </w:rPr>
        <w:t>32</w:t>
      </w:r>
      <w:r w:rsidRPr="004D50A6">
        <w:rPr>
          <w:rFonts w:ascii="Arial" w:eastAsia="Times New Roman" w:hAnsi="Arial" w:cs="Arial"/>
          <w:color w:val="000000" w:themeColor="text1"/>
          <w:sz w:val="20"/>
          <w:szCs w:val="20"/>
          <w:lang w:eastAsia="en-GB"/>
        </w:rPr>
        <w:t xml:space="preserve"> percentage points and 0.</w:t>
      </w:r>
      <w:r w:rsidR="00B170BB" w:rsidRPr="004D50A6">
        <w:rPr>
          <w:rFonts w:ascii="Arial" w:eastAsia="Times New Roman" w:hAnsi="Arial" w:cs="Arial"/>
          <w:color w:val="000000" w:themeColor="text1"/>
          <w:sz w:val="20"/>
          <w:szCs w:val="20"/>
          <w:lang w:eastAsia="en-GB"/>
        </w:rPr>
        <w:t>40</w:t>
      </w:r>
      <w:r w:rsidRPr="004D50A6">
        <w:rPr>
          <w:rFonts w:ascii="Arial" w:eastAsia="Times New Roman" w:hAnsi="Arial" w:cs="Arial"/>
          <w:color w:val="000000" w:themeColor="text1"/>
          <w:sz w:val="20"/>
          <w:szCs w:val="20"/>
          <w:lang w:eastAsia="en-GB"/>
        </w:rPr>
        <w:t xml:space="preserve"> percentage points respectively</w:t>
      </w:r>
      <w:r w:rsidR="00B170BB" w:rsidRPr="004D50A6">
        <w:rPr>
          <w:rFonts w:ascii="Arial" w:eastAsia="Times New Roman" w:hAnsi="Arial" w:cs="Arial"/>
          <w:color w:val="000000" w:themeColor="text1"/>
          <w:sz w:val="20"/>
          <w:szCs w:val="20"/>
          <w:lang w:eastAsia="en-GB"/>
        </w:rPr>
        <w:t>, to 4.11</w:t>
      </w:r>
      <w:r w:rsidRPr="004D50A6">
        <w:rPr>
          <w:rFonts w:ascii="Arial" w:eastAsia="Times New Roman" w:hAnsi="Arial" w:cs="Arial"/>
          <w:color w:val="000000" w:themeColor="text1"/>
          <w:sz w:val="20"/>
          <w:szCs w:val="20"/>
          <w:lang w:eastAsia="en-GB"/>
        </w:rPr>
        <w:t>% p.a.</w:t>
      </w:r>
      <w:r w:rsidR="00B170BB" w:rsidRPr="004D50A6">
        <w:rPr>
          <w:rFonts w:ascii="Arial" w:eastAsia="Times New Roman" w:hAnsi="Arial" w:cs="Arial"/>
          <w:color w:val="000000" w:themeColor="text1"/>
          <w:sz w:val="20"/>
          <w:szCs w:val="20"/>
          <w:lang w:eastAsia="en-GB"/>
        </w:rPr>
        <w:t xml:space="preserve"> and 4.1</w:t>
      </w:r>
      <w:r w:rsidRPr="004D50A6">
        <w:rPr>
          <w:rFonts w:ascii="Arial" w:eastAsia="Times New Roman" w:hAnsi="Arial" w:cs="Arial"/>
          <w:color w:val="000000" w:themeColor="text1"/>
          <w:sz w:val="20"/>
          <w:szCs w:val="20"/>
          <w:lang w:eastAsia="en-GB"/>
        </w:rPr>
        <w:t xml:space="preserve">6% p.a. respectively. </w:t>
      </w:r>
    </w:p>
    <w:p w:rsidR="00B170BB" w:rsidRPr="004D50A6" w:rsidRDefault="005F2AAD" w:rsidP="005F2AAD">
      <w:pPr>
        <w:spacing w:before="12" w:after="120" w:line="240" w:lineRule="auto"/>
        <w:jc w:val="both"/>
        <w:rPr>
          <w:rFonts w:ascii="Arial" w:eastAsia="Times New Roman" w:hAnsi="Arial" w:cs="Arial"/>
          <w:color w:val="000000" w:themeColor="text1"/>
          <w:sz w:val="20"/>
          <w:szCs w:val="20"/>
          <w:lang w:eastAsia="en-GB"/>
        </w:rPr>
      </w:pPr>
      <w:r w:rsidRPr="004D50A6">
        <w:rPr>
          <w:rFonts w:ascii="Arial" w:eastAsia="Arial" w:hAnsi="Arial" w:cs="Arial"/>
          <w:color w:val="000000" w:themeColor="text1"/>
          <w:sz w:val="20"/>
          <w:szCs w:val="20"/>
          <w:lang w:eastAsia="en-GB"/>
        </w:rPr>
        <w:t xml:space="preserve">For transactions in USD: As compared to the previous week, </w:t>
      </w:r>
      <w:r w:rsidR="00B170BB" w:rsidRPr="004D50A6">
        <w:rPr>
          <w:rFonts w:ascii="Arial" w:eastAsia="Arial" w:hAnsi="Arial" w:cs="Arial"/>
          <w:color w:val="000000" w:themeColor="text1"/>
          <w:sz w:val="20"/>
          <w:szCs w:val="20"/>
          <w:lang w:eastAsia="en-GB"/>
        </w:rPr>
        <w:t>the average inter-bank interest rates for most terms experienced minor changes as compared to the previous week</w:t>
      </w:r>
      <w:r w:rsidRPr="004D50A6">
        <w:rPr>
          <w:rFonts w:ascii="Arial" w:eastAsia="Arial" w:hAnsi="Arial" w:cs="Arial"/>
          <w:color w:val="000000" w:themeColor="text1"/>
          <w:sz w:val="20"/>
          <w:szCs w:val="20"/>
          <w:lang w:eastAsia="en-GB"/>
        </w:rPr>
        <w:t xml:space="preserve">. Specifically, </w:t>
      </w:r>
      <w:r w:rsidRPr="004D50A6">
        <w:rPr>
          <w:rFonts w:ascii="Arial" w:eastAsia="Times New Roman" w:hAnsi="Arial" w:cs="Arial"/>
          <w:color w:val="000000" w:themeColor="text1"/>
          <w:sz w:val="20"/>
          <w:szCs w:val="20"/>
          <w:lang w:eastAsia="en-GB"/>
        </w:rPr>
        <w:t xml:space="preserve">the average inter-bank interest rate for overnight term remained unchanged at 4.30% p.a., </w:t>
      </w:r>
      <w:r w:rsidR="002C21F2" w:rsidRPr="004D50A6">
        <w:rPr>
          <w:rFonts w:ascii="Arial" w:eastAsia="Times New Roman" w:hAnsi="Arial" w:cs="Arial"/>
          <w:color w:val="000000" w:themeColor="text1"/>
          <w:sz w:val="20"/>
          <w:szCs w:val="20"/>
          <w:lang w:eastAsia="en-GB"/>
        </w:rPr>
        <w:t xml:space="preserve">while </w:t>
      </w:r>
      <w:r w:rsidRPr="004D50A6">
        <w:rPr>
          <w:rFonts w:ascii="Arial" w:eastAsia="Times New Roman" w:hAnsi="Arial" w:cs="Arial"/>
          <w:color w:val="000000" w:themeColor="text1"/>
          <w:sz w:val="20"/>
          <w:szCs w:val="20"/>
          <w:lang w:eastAsia="en-GB"/>
        </w:rPr>
        <w:t>the average inter-bank interest rates for 1-week</w:t>
      </w:r>
      <w:r w:rsidR="00B170BB" w:rsidRPr="004D50A6">
        <w:rPr>
          <w:rFonts w:ascii="Arial" w:eastAsia="Times New Roman" w:hAnsi="Arial" w:cs="Arial"/>
          <w:color w:val="000000" w:themeColor="text1"/>
          <w:sz w:val="20"/>
          <w:szCs w:val="20"/>
          <w:lang w:eastAsia="en-GB"/>
        </w:rPr>
        <w:t xml:space="preserve"> and 1-month</w:t>
      </w:r>
      <w:r w:rsidRPr="004D50A6">
        <w:rPr>
          <w:rFonts w:ascii="Arial" w:eastAsia="Times New Roman" w:hAnsi="Arial" w:cs="Arial"/>
          <w:color w:val="000000" w:themeColor="text1"/>
          <w:sz w:val="20"/>
          <w:szCs w:val="20"/>
          <w:lang w:eastAsia="en-GB"/>
        </w:rPr>
        <w:t xml:space="preserve"> term</w:t>
      </w:r>
      <w:r w:rsidR="00B170BB" w:rsidRPr="004D50A6">
        <w:rPr>
          <w:rFonts w:ascii="Arial" w:eastAsia="Times New Roman" w:hAnsi="Arial" w:cs="Arial"/>
          <w:color w:val="000000" w:themeColor="text1"/>
          <w:sz w:val="20"/>
          <w:szCs w:val="20"/>
          <w:lang w:eastAsia="en-GB"/>
        </w:rPr>
        <w:t>s decreased by 0.02</w:t>
      </w:r>
      <w:r w:rsidRPr="004D50A6">
        <w:rPr>
          <w:rFonts w:ascii="Arial" w:eastAsia="Times New Roman" w:hAnsi="Arial" w:cs="Arial"/>
          <w:color w:val="000000" w:themeColor="text1"/>
          <w:sz w:val="20"/>
          <w:szCs w:val="20"/>
          <w:lang w:eastAsia="en-GB"/>
        </w:rPr>
        <w:t xml:space="preserve"> percentage points, </w:t>
      </w:r>
      <w:r w:rsidR="002C21F2" w:rsidRPr="004D50A6">
        <w:rPr>
          <w:rFonts w:ascii="Arial" w:eastAsia="Times New Roman" w:hAnsi="Arial" w:cs="Arial"/>
          <w:color w:val="000000" w:themeColor="text1"/>
          <w:sz w:val="20"/>
          <w:szCs w:val="20"/>
          <w:lang w:eastAsia="en-GB"/>
        </w:rPr>
        <w:t xml:space="preserve">and </w:t>
      </w:r>
      <w:r w:rsidR="00B170BB" w:rsidRPr="004D50A6">
        <w:rPr>
          <w:rFonts w:ascii="Arial" w:eastAsia="Times New Roman" w:hAnsi="Arial" w:cs="Arial"/>
          <w:color w:val="000000" w:themeColor="text1"/>
          <w:sz w:val="20"/>
          <w:szCs w:val="20"/>
          <w:lang w:eastAsia="en-GB"/>
        </w:rPr>
        <w:t>0.24 percentage points</w:t>
      </w:r>
      <w:r w:rsidR="002C21F2" w:rsidRPr="004D50A6">
        <w:rPr>
          <w:rFonts w:ascii="Arial" w:eastAsia="Times New Roman" w:hAnsi="Arial" w:cs="Arial"/>
          <w:color w:val="000000" w:themeColor="text1"/>
          <w:sz w:val="20"/>
          <w:szCs w:val="20"/>
          <w:lang w:eastAsia="en-GB"/>
        </w:rPr>
        <w:t xml:space="preserve"> respectively</w:t>
      </w:r>
      <w:r w:rsidR="00B170BB" w:rsidRPr="004D50A6">
        <w:rPr>
          <w:rFonts w:ascii="Arial" w:eastAsia="Times New Roman" w:hAnsi="Arial" w:cs="Arial"/>
          <w:color w:val="000000" w:themeColor="text1"/>
          <w:sz w:val="20"/>
          <w:szCs w:val="20"/>
          <w:lang w:eastAsia="en-GB"/>
        </w:rPr>
        <w:t>, to 4.31% p.a.</w:t>
      </w:r>
      <w:r w:rsidR="002C21F2" w:rsidRPr="004D50A6">
        <w:rPr>
          <w:rFonts w:ascii="Arial" w:eastAsia="Times New Roman" w:hAnsi="Arial" w:cs="Arial"/>
          <w:color w:val="000000" w:themeColor="text1"/>
          <w:sz w:val="20"/>
          <w:szCs w:val="20"/>
          <w:lang w:eastAsia="en-GB"/>
        </w:rPr>
        <w:t xml:space="preserve"> and</w:t>
      </w:r>
      <w:r w:rsidR="00B170BB" w:rsidRPr="004D50A6">
        <w:rPr>
          <w:rFonts w:ascii="Arial" w:eastAsia="Times New Roman" w:hAnsi="Arial" w:cs="Arial"/>
          <w:color w:val="000000" w:themeColor="text1"/>
          <w:sz w:val="20"/>
          <w:szCs w:val="20"/>
          <w:lang w:eastAsia="en-GB"/>
        </w:rPr>
        <w:t xml:space="preserve"> 4.15% p.a. respectively.</w:t>
      </w:r>
    </w:p>
    <w:p w:rsidR="005F2AAD" w:rsidRPr="004D50A6" w:rsidRDefault="005F2AAD" w:rsidP="005F2AAD">
      <w:pPr>
        <w:spacing w:before="12" w:after="120" w:line="240" w:lineRule="auto"/>
        <w:jc w:val="both"/>
        <w:rPr>
          <w:rFonts w:ascii="Arial" w:eastAsia="Times New Roman" w:hAnsi="Arial" w:cs="Arial"/>
          <w:color w:val="000000" w:themeColor="text1"/>
          <w:sz w:val="20"/>
          <w:szCs w:val="20"/>
          <w:lang w:eastAsia="en-GB"/>
        </w:rPr>
      </w:pPr>
      <w:r w:rsidRPr="004D50A6">
        <w:rPr>
          <w:rFonts w:ascii="Arial" w:eastAsia="Arial" w:hAnsi="Arial" w:cs="Arial"/>
          <w:color w:val="000000" w:themeColor="text1"/>
          <w:sz w:val="20"/>
          <w:szCs w:val="20"/>
          <w:lang w:eastAsia="en-GB"/>
        </w:rPr>
        <w:t>The specific average inter-bank interest rates were as follows:</w:t>
      </w:r>
    </w:p>
    <w:tbl>
      <w:tblPr>
        <w:tblW w:w="8925" w:type="dxa"/>
        <w:jc w:val="center"/>
        <w:tblLayout w:type="fixed"/>
        <w:tblLook w:val="04A0" w:firstRow="1" w:lastRow="0" w:firstColumn="1" w:lastColumn="0" w:noHBand="0" w:noVBand="1"/>
      </w:tblPr>
      <w:tblGrid>
        <w:gridCol w:w="852"/>
        <w:gridCol w:w="1361"/>
        <w:gridCol w:w="1050"/>
        <w:gridCol w:w="1134"/>
        <w:gridCol w:w="1134"/>
        <w:gridCol w:w="1134"/>
        <w:gridCol w:w="1080"/>
        <w:gridCol w:w="1180"/>
      </w:tblGrid>
      <w:tr w:rsidR="004D50A6" w:rsidRPr="004D50A6" w:rsidTr="00D038A7">
        <w:trPr>
          <w:trHeight w:val="34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p>
        </w:tc>
        <w:tc>
          <w:tcPr>
            <w:tcW w:w="1360" w:type="dxa"/>
            <w:tcBorders>
              <w:top w:val="single" w:sz="4" w:space="0" w:color="000000"/>
              <w:left w:val="nil"/>
              <w:bottom w:val="nil"/>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Overnight</w:t>
            </w:r>
          </w:p>
        </w:tc>
        <w:tc>
          <w:tcPr>
            <w:tcW w:w="1050" w:type="dxa"/>
            <w:tcBorders>
              <w:top w:val="single" w:sz="4" w:space="0" w:color="000000"/>
              <w:left w:val="nil"/>
              <w:bottom w:val="nil"/>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1-week</w:t>
            </w:r>
          </w:p>
        </w:tc>
        <w:tc>
          <w:tcPr>
            <w:tcW w:w="1134" w:type="dxa"/>
            <w:tcBorders>
              <w:top w:val="single" w:sz="4" w:space="0" w:color="000000"/>
              <w:left w:val="nil"/>
              <w:bottom w:val="single" w:sz="4" w:space="0" w:color="000000"/>
              <w:right w:val="single" w:sz="4" w:space="0" w:color="auto"/>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2-week</w:t>
            </w:r>
          </w:p>
        </w:tc>
        <w:tc>
          <w:tcPr>
            <w:tcW w:w="1134" w:type="dxa"/>
            <w:tcBorders>
              <w:top w:val="single" w:sz="4" w:space="0" w:color="000000"/>
              <w:left w:val="nil"/>
              <w:bottom w:val="nil"/>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1-month</w:t>
            </w:r>
          </w:p>
        </w:tc>
        <w:tc>
          <w:tcPr>
            <w:tcW w:w="1134" w:type="dxa"/>
            <w:tcBorders>
              <w:top w:val="single" w:sz="4" w:space="0" w:color="000000"/>
              <w:left w:val="nil"/>
              <w:bottom w:val="nil"/>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3-month</w:t>
            </w:r>
          </w:p>
        </w:tc>
        <w:tc>
          <w:tcPr>
            <w:tcW w:w="1080" w:type="dxa"/>
            <w:tcBorders>
              <w:top w:val="single" w:sz="4" w:space="0" w:color="000000"/>
              <w:left w:val="nil"/>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6-month</w:t>
            </w:r>
          </w:p>
        </w:tc>
        <w:tc>
          <w:tcPr>
            <w:tcW w:w="1180" w:type="dxa"/>
            <w:tcBorders>
              <w:top w:val="single" w:sz="4" w:space="0" w:color="000000"/>
              <w:left w:val="nil"/>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b/>
                <w:color w:val="000000" w:themeColor="text1"/>
                <w:sz w:val="20"/>
                <w:szCs w:val="20"/>
                <w:lang w:eastAsia="en-GB"/>
              </w:rPr>
            </w:pPr>
            <w:r w:rsidRPr="004D50A6">
              <w:rPr>
                <w:rFonts w:ascii="Arial" w:eastAsia="Arial" w:hAnsi="Arial" w:cs="Arial"/>
                <w:b/>
                <w:color w:val="000000" w:themeColor="text1"/>
                <w:sz w:val="20"/>
                <w:szCs w:val="20"/>
                <w:lang w:eastAsia="en-GB"/>
              </w:rPr>
              <w:t>9-month</w:t>
            </w:r>
          </w:p>
        </w:tc>
      </w:tr>
      <w:tr w:rsidR="004D50A6" w:rsidRPr="004D50A6" w:rsidTr="00D038A7">
        <w:trPr>
          <w:trHeight w:val="342"/>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VND</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4.33</w:t>
            </w:r>
          </w:p>
        </w:tc>
        <w:tc>
          <w:tcPr>
            <w:tcW w:w="1050" w:type="dxa"/>
            <w:tcBorders>
              <w:top w:val="single" w:sz="4" w:space="0" w:color="000000"/>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4.11</w:t>
            </w:r>
          </w:p>
        </w:tc>
        <w:tc>
          <w:tcPr>
            <w:tcW w:w="1134" w:type="dxa"/>
            <w:tcBorders>
              <w:top w:val="single" w:sz="4" w:space="0" w:color="000000"/>
              <w:left w:val="nil"/>
              <w:bottom w:val="single" w:sz="4" w:space="0" w:color="000000"/>
              <w:right w:val="single" w:sz="4" w:space="0" w:color="auto"/>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w:t>
            </w:r>
            <w:r w:rsidR="00B170BB" w:rsidRPr="004D50A6">
              <w:rPr>
                <w:rFonts w:ascii="Arial" w:eastAsia="Arial" w:hAnsi="Arial" w:cs="Arial"/>
                <w:color w:val="000000" w:themeColor="text1"/>
                <w:sz w:val="20"/>
                <w:szCs w:val="20"/>
                <w:lang w:eastAsia="en-GB"/>
              </w:rPr>
              <w:t>44</w:t>
            </w:r>
          </w:p>
        </w:tc>
        <w:tc>
          <w:tcPr>
            <w:tcW w:w="1134" w:type="dxa"/>
            <w:tcBorders>
              <w:top w:val="single" w:sz="4" w:space="0" w:color="000000"/>
              <w:left w:val="nil"/>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w:t>
            </w:r>
            <w:r w:rsidR="00B170BB" w:rsidRPr="004D50A6">
              <w:rPr>
                <w:rFonts w:ascii="Arial" w:eastAsia="Arial" w:hAnsi="Arial" w:cs="Arial"/>
                <w:color w:val="000000" w:themeColor="text1"/>
                <w:sz w:val="20"/>
                <w:szCs w:val="20"/>
                <w:lang w:eastAsia="en-GB"/>
              </w:rPr>
              <w:t>16</w:t>
            </w:r>
          </w:p>
        </w:tc>
        <w:tc>
          <w:tcPr>
            <w:tcW w:w="1134" w:type="dxa"/>
            <w:tcBorders>
              <w:top w:val="single" w:sz="4" w:space="0" w:color="000000"/>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5.14</w:t>
            </w:r>
          </w:p>
        </w:tc>
        <w:tc>
          <w:tcPr>
            <w:tcW w:w="1080" w:type="dxa"/>
            <w:tcBorders>
              <w:top w:val="single" w:sz="4" w:space="0" w:color="000000"/>
              <w:left w:val="nil"/>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5.</w:t>
            </w:r>
            <w:r w:rsidR="00B170BB" w:rsidRPr="004D50A6">
              <w:rPr>
                <w:rFonts w:ascii="Arial" w:eastAsia="Arial" w:hAnsi="Arial" w:cs="Arial"/>
                <w:color w:val="000000" w:themeColor="text1"/>
                <w:sz w:val="20"/>
                <w:szCs w:val="20"/>
                <w:lang w:eastAsia="en-GB"/>
              </w:rPr>
              <w:t>49</w:t>
            </w:r>
          </w:p>
        </w:tc>
        <w:tc>
          <w:tcPr>
            <w:tcW w:w="1180" w:type="dxa"/>
            <w:tcBorders>
              <w:top w:val="single" w:sz="4" w:space="0" w:color="000000"/>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w:t>
            </w:r>
          </w:p>
        </w:tc>
      </w:tr>
      <w:tr w:rsidR="004D50A6" w:rsidRPr="004D50A6" w:rsidTr="00D038A7">
        <w:trPr>
          <w:trHeight w:val="342"/>
          <w:jc w:val="center"/>
        </w:trPr>
        <w:tc>
          <w:tcPr>
            <w:tcW w:w="851" w:type="dxa"/>
            <w:tcBorders>
              <w:top w:val="single" w:sz="4" w:space="0" w:color="000000"/>
              <w:left w:val="single" w:sz="4" w:space="0" w:color="000000"/>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USD</w:t>
            </w:r>
          </w:p>
        </w:tc>
        <w:tc>
          <w:tcPr>
            <w:tcW w:w="1360" w:type="dxa"/>
            <w:tcBorders>
              <w:top w:val="nil"/>
              <w:left w:val="single" w:sz="4" w:space="0" w:color="000000"/>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4.30</w:t>
            </w:r>
          </w:p>
        </w:tc>
        <w:tc>
          <w:tcPr>
            <w:tcW w:w="1050" w:type="dxa"/>
            <w:tcBorders>
              <w:top w:val="nil"/>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4.31</w:t>
            </w:r>
          </w:p>
        </w:tc>
        <w:tc>
          <w:tcPr>
            <w:tcW w:w="1134" w:type="dxa"/>
            <w:tcBorders>
              <w:top w:val="single" w:sz="4" w:space="0" w:color="000000"/>
              <w:left w:val="nil"/>
              <w:bottom w:val="single" w:sz="4" w:space="0" w:color="000000"/>
              <w:right w:val="single" w:sz="4" w:space="0" w:color="auto"/>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4.38</w:t>
            </w:r>
          </w:p>
        </w:tc>
        <w:tc>
          <w:tcPr>
            <w:tcW w:w="1134" w:type="dxa"/>
            <w:tcBorders>
              <w:top w:val="nil"/>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4.15</w:t>
            </w:r>
          </w:p>
        </w:tc>
        <w:tc>
          <w:tcPr>
            <w:tcW w:w="1134" w:type="dxa"/>
            <w:tcBorders>
              <w:top w:val="nil"/>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4.58</w:t>
            </w:r>
          </w:p>
        </w:tc>
        <w:tc>
          <w:tcPr>
            <w:tcW w:w="1080" w:type="dxa"/>
            <w:tcBorders>
              <w:top w:val="nil"/>
              <w:left w:val="nil"/>
              <w:bottom w:val="single" w:sz="4" w:space="0" w:color="000000"/>
              <w:right w:val="single" w:sz="4" w:space="0" w:color="000000"/>
            </w:tcBorders>
            <w:vAlign w:val="center"/>
            <w:hideMark/>
          </w:tcPr>
          <w:p w:rsidR="005F2AAD" w:rsidRPr="004D50A6" w:rsidRDefault="00B170BB"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w:t>
            </w:r>
          </w:p>
        </w:tc>
        <w:tc>
          <w:tcPr>
            <w:tcW w:w="1180" w:type="dxa"/>
            <w:tcBorders>
              <w:top w:val="nil"/>
              <w:left w:val="nil"/>
              <w:bottom w:val="single" w:sz="4" w:space="0" w:color="000000"/>
              <w:right w:val="single" w:sz="4" w:space="0" w:color="000000"/>
            </w:tcBorders>
            <w:vAlign w:val="center"/>
            <w:hideMark/>
          </w:tcPr>
          <w:p w:rsidR="005F2AAD" w:rsidRPr="004D50A6" w:rsidRDefault="005F2AAD" w:rsidP="00D038A7">
            <w:pPr>
              <w:spacing w:before="12" w:after="120" w:line="240" w:lineRule="auto"/>
              <w:jc w:val="center"/>
              <w:rPr>
                <w:rFonts w:ascii="Arial" w:eastAsia="Arial" w:hAnsi="Arial" w:cs="Arial"/>
                <w:color w:val="000000" w:themeColor="text1"/>
                <w:sz w:val="20"/>
                <w:szCs w:val="20"/>
                <w:lang w:eastAsia="en-GB"/>
              </w:rPr>
            </w:pPr>
            <w:r w:rsidRPr="004D50A6">
              <w:rPr>
                <w:rFonts w:ascii="Arial" w:eastAsia="Arial" w:hAnsi="Arial" w:cs="Arial"/>
                <w:color w:val="000000" w:themeColor="text1"/>
                <w:sz w:val="20"/>
                <w:szCs w:val="20"/>
                <w:lang w:eastAsia="en-GB"/>
              </w:rPr>
              <w:t>-</w:t>
            </w:r>
          </w:p>
        </w:tc>
      </w:tr>
    </w:tbl>
    <w:p w:rsidR="004D50A6" w:rsidRPr="004D50A6" w:rsidRDefault="005F2AAD" w:rsidP="004D50A6">
      <w:pPr>
        <w:spacing w:before="120" w:after="120" w:line="240" w:lineRule="auto"/>
        <w:rPr>
          <w:color w:val="000000" w:themeColor="text1"/>
        </w:rPr>
      </w:pPr>
      <w:r w:rsidRPr="004D50A6">
        <w:rPr>
          <w:rFonts w:ascii="Arial" w:hAnsi="Arial" w:cs="Arial"/>
          <w:b/>
          <w:i/>
          <w:color w:val="000000" w:themeColor="text1"/>
          <w:sz w:val="18"/>
          <w:szCs w:val="20"/>
        </w:rPr>
        <w:t>Translated by HY</w:t>
      </w:r>
      <w:bookmarkStart w:id="0" w:name="_GoBack"/>
      <w:bookmarkEnd w:id="0"/>
    </w:p>
    <w:sectPr w:rsidR="004D50A6" w:rsidRPr="004D50A6" w:rsidSect="00920CCC">
      <w:pgSz w:w="11907" w:h="16839" w:code="9"/>
      <w:pgMar w:top="1152" w:right="1138" w:bottom="1152"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AD"/>
    <w:rsid w:val="00112A9F"/>
    <w:rsid w:val="002C21F2"/>
    <w:rsid w:val="004D50A6"/>
    <w:rsid w:val="005F2AAD"/>
    <w:rsid w:val="00A15EC9"/>
    <w:rsid w:val="00A46D90"/>
    <w:rsid w:val="00B170BB"/>
    <w:rsid w:val="00B7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0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0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Hai Yen (VTTh)</dc:creator>
  <cp:lastModifiedBy>Nguyen Thi Hai Yen (VTTh)</cp:lastModifiedBy>
  <cp:revision>3</cp:revision>
  <dcterms:created xsi:type="dcterms:W3CDTF">2025-04-15T03:44:00Z</dcterms:created>
  <dcterms:modified xsi:type="dcterms:W3CDTF">2025-04-16T08:00:00Z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SBV624969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597914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http://webcenter-app01:16200/cs/idcplg?IdcService=DESKTOP_DOC_INFO&amp;dDocName=SBV624969&amp;dID=597914&amp;ClientControlled=DocMan,taskpane&amp;coreContentOnly=1</vt:lpwstr>
  </property>
</Properties>
</file>