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478" w:rsidRPr="00D10478" w:rsidRDefault="00D10478" w:rsidP="00D10478">
      <w:pPr>
        <w:tabs>
          <w:tab w:val="left" w:pos="930"/>
          <w:tab w:val="center" w:pos="4520"/>
        </w:tabs>
        <w:spacing w:after="120" w:line="240" w:lineRule="auto"/>
        <w:jc w:val="center"/>
        <w:rPr>
          <w:rFonts w:ascii="Arial" w:eastAsia="Arial" w:hAnsi="Arial" w:cs="Arial"/>
          <w:color w:val="000000" w:themeColor="text1"/>
          <w:sz w:val="20"/>
          <w:szCs w:val="20"/>
          <w:lang w:eastAsia="en-GB"/>
        </w:rPr>
      </w:pPr>
      <w:bookmarkStart w:id="0" w:name="_GoBack"/>
      <w:r w:rsidRPr="00D10478">
        <w:rPr>
          <w:rFonts w:ascii="Arial" w:eastAsia="Arial" w:hAnsi="Arial" w:cs="Arial"/>
          <w:b/>
          <w:color w:val="000000" w:themeColor="text1"/>
          <w:sz w:val="20"/>
          <w:szCs w:val="20"/>
          <w:lang w:eastAsia="en-GB"/>
        </w:rPr>
        <w:t>Developments in Money Market and Inter-bank Market (April 14-18, 2025)</w:t>
      </w:r>
    </w:p>
    <w:bookmarkEnd w:id="0"/>
    <w:p w:rsidR="00D10478" w:rsidRPr="00D10478" w:rsidRDefault="00D10478" w:rsidP="00D10478">
      <w:pPr>
        <w:spacing w:after="120" w:line="240" w:lineRule="auto"/>
        <w:rPr>
          <w:rFonts w:ascii="Arial" w:eastAsia="Arial" w:hAnsi="Arial" w:cs="Arial"/>
          <w:color w:val="000000" w:themeColor="text1"/>
          <w:sz w:val="20"/>
          <w:szCs w:val="20"/>
          <w:lang w:eastAsia="en-GB"/>
        </w:rPr>
      </w:pPr>
      <w:r w:rsidRPr="00D10478">
        <w:rPr>
          <w:rFonts w:ascii="Arial" w:eastAsia="Arial" w:hAnsi="Arial" w:cs="Arial"/>
          <w:b/>
          <w:color w:val="000000" w:themeColor="text1"/>
          <w:sz w:val="20"/>
          <w:szCs w:val="20"/>
          <w:lang w:eastAsia="en-GB"/>
        </w:rPr>
        <w:t xml:space="preserve">1. </w:t>
      </w:r>
      <w:proofErr w:type="spellStart"/>
      <w:r w:rsidRPr="00D10478">
        <w:rPr>
          <w:rFonts w:ascii="Arial" w:eastAsia="Arial" w:hAnsi="Arial" w:cs="Arial"/>
          <w:b/>
          <w:color w:val="000000" w:themeColor="text1"/>
          <w:sz w:val="20"/>
          <w:szCs w:val="20"/>
          <w:lang w:eastAsia="en-GB"/>
        </w:rPr>
        <w:t>Forex</w:t>
      </w:r>
      <w:proofErr w:type="spellEnd"/>
      <w:r w:rsidRPr="00D10478">
        <w:rPr>
          <w:rFonts w:ascii="Arial" w:eastAsia="Arial" w:hAnsi="Arial" w:cs="Arial"/>
          <w:b/>
          <w:color w:val="000000" w:themeColor="text1"/>
          <w:sz w:val="20"/>
          <w:szCs w:val="20"/>
          <w:lang w:eastAsia="en-GB"/>
        </w:rPr>
        <w:t xml:space="preserve"> market and exchange rates</w:t>
      </w:r>
    </w:p>
    <w:p w:rsidR="00D10478" w:rsidRPr="00D10478" w:rsidRDefault="00D10478" w:rsidP="00D10478">
      <w:pPr>
        <w:tabs>
          <w:tab w:val="left" w:pos="8205"/>
        </w:tabs>
        <w:spacing w:after="120" w:line="240" w:lineRule="auto"/>
        <w:jc w:val="both"/>
        <w:rPr>
          <w:rFonts w:ascii="Arial" w:eastAsia="Arial" w:hAnsi="Arial" w:cs="Arial"/>
          <w:color w:val="000000" w:themeColor="text1"/>
          <w:sz w:val="20"/>
          <w:szCs w:val="20"/>
          <w:lang w:eastAsia="en-GB"/>
        </w:rPr>
      </w:pPr>
      <w:r w:rsidRPr="00D10478">
        <w:rPr>
          <w:rFonts w:ascii="Arial" w:eastAsia="Arial" w:hAnsi="Arial" w:cs="Arial"/>
          <w:color w:val="000000" w:themeColor="text1"/>
          <w:sz w:val="20"/>
          <w:szCs w:val="20"/>
          <w:lang w:eastAsia="en-GB"/>
        </w:rPr>
        <w:t>On April 8, 2025, the buying and selling exchange rates quoted on the website of the Joint Stock Commercial Bank for Foreign Trade of Vietnam (</w:t>
      </w:r>
      <w:proofErr w:type="spellStart"/>
      <w:r w:rsidRPr="00D10478">
        <w:rPr>
          <w:rFonts w:ascii="Arial" w:eastAsia="Arial" w:hAnsi="Arial" w:cs="Arial"/>
          <w:color w:val="000000" w:themeColor="text1"/>
          <w:sz w:val="20"/>
          <w:szCs w:val="20"/>
          <w:lang w:eastAsia="en-GB"/>
        </w:rPr>
        <w:t>Vietcombank</w:t>
      </w:r>
      <w:proofErr w:type="spellEnd"/>
      <w:r w:rsidRPr="00D10478">
        <w:rPr>
          <w:rFonts w:ascii="Arial" w:eastAsia="Arial" w:hAnsi="Arial" w:cs="Arial"/>
          <w:color w:val="000000" w:themeColor="text1"/>
          <w:sz w:val="20"/>
          <w:szCs w:val="20"/>
          <w:lang w:eastAsia="en-GB"/>
        </w:rPr>
        <w:t>) were at VND 25,640/26,000 per USD, an increase of VND 80 USD as compared with the rates of the last working day of the previous week (April 11, 2025). By the end of April 18, 2025, the exchange rates were quoted at VND 25,760/26,120 per USD, an increase of 120 VND per USD as compared with the rates of April 14, 2025.</w:t>
      </w:r>
    </w:p>
    <w:p w:rsidR="00D10478" w:rsidRPr="00D10478" w:rsidRDefault="00D10478" w:rsidP="00D10478">
      <w:pPr>
        <w:tabs>
          <w:tab w:val="left" w:pos="8205"/>
        </w:tabs>
        <w:spacing w:after="120" w:line="240" w:lineRule="auto"/>
        <w:jc w:val="both"/>
        <w:rPr>
          <w:rFonts w:ascii="Arial" w:eastAsia="Arial" w:hAnsi="Arial" w:cs="Arial"/>
          <w:color w:val="000000" w:themeColor="text1"/>
          <w:sz w:val="20"/>
          <w:szCs w:val="20"/>
          <w:lang w:eastAsia="en-GB"/>
        </w:rPr>
      </w:pPr>
      <w:r w:rsidRPr="00D10478">
        <w:rPr>
          <w:rFonts w:ascii="Arial" w:eastAsia="Arial" w:hAnsi="Arial" w:cs="Arial"/>
          <w:b/>
          <w:color w:val="000000" w:themeColor="text1"/>
          <w:sz w:val="20"/>
          <w:szCs w:val="20"/>
          <w:lang w:eastAsia="en-GB"/>
        </w:rPr>
        <w:t>2. Inter-bank transaction operations</w:t>
      </w:r>
    </w:p>
    <w:p w:rsidR="00D10478" w:rsidRPr="00D10478" w:rsidRDefault="00D10478" w:rsidP="00D10478">
      <w:pPr>
        <w:tabs>
          <w:tab w:val="left" w:pos="8205"/>
        </w:tabs>
        <w:spacing w:after="120" w:line="240" w:lineRule="auto"/>
        <w:jc w:val="both"/>
        <w:rPr>
          <w:rFonts w:ascii="Arial" w:eastAsia="Arial" w:hAnsi="Arial" w:cs="Arial"/>
          <w:b/>
          <w:color w:val="000000" w:themeColor="text1"/>
          <w:sz w:val="20"/>
          <w:szCs w:val="20"/>
          <w:lang w:eastAsia="en-GB"/>
        </w:rPr>
      </w:pPr>
      <w:r w:rsidRPr="00D10478">
        <w:rPr>
          <w:rFonts w:ascii="Arial" w:eastAsia="Arial" w:hAnsi="Arial" w:cs="Arial"/>
          <w:b/>
          <w:color w:val="000000" w:themeColor="text1"/>
          <w:sz w:val="20"/>
          <w:szCs w:val="20"/>
          <w:lang w:eastAsia="en-GB"/>
        </w:rPr>
        <w:t>2.1. Transactions</w:t>
      </w:r>
    </w:p>
    <w:p w:rsidR="00D10478" w:rsidRPr="00D10478" w:rsidRDefault="00D10478" w:rsidP="00D10478">
      <w:pPr>
        <w:tabs>
          <w:tab w:val="left" w:pos="8205"/>
        </w:tabs>
        <w:spacing w:after="120" w:line="240" w:lineRule="auto"/>
        <w:jc w:val="both"/>
        <w:rPr>
          <w:rFonts w:ascii="Arial" w:eastAsia="Arial" w:hAnsi="Arial" w:cs="Arial"/>
          <w:color w:val="000000" w:themeColor="text1"/>
          <w:sz w:val="20"/>
          <w:szCs w:val="20"/>
          <w:lang w:eastAsia="en-GB"/>
        </w:rPr>
      </w:pPr>
      <w:r w:rsidRPr="00D10478">
        <w:rPr>
          <w:rFonts w:ascii="Arial" w:eastAsia="Arial" w:hAnsi="Arial" w:cs="Arial"/>
          <w:color w:val="000000" w:themeColor="text1"/>
          <w:sz w:val="20"/>
          <w:szCs w:val="20"/>
          <w:lang w:eastAsia="en-GB"/>
        </w:rPr>
        <w:t>According to the reports submitted by the credit institutions and the foreign bank branches, the total amount of transactions in VND in the inter-bank market during the week reached approximately VND  2,464,399 billion, an average of VND 492,880 billion per day, an increase of VND 4,489 billion per day as compared to the previous week. Meanwhile, the transaction amount in USD was equivalent to VND 544,614 billion, an average of VND 108,923 billion per day, a decrease of VND 3,590 billion per day as compared to the previous week.</w:t>
      </w:r>
    </w:p>
    <w:p w:rsidR="00D10478" w:rsidRPr="00D10478" w:rsidRDefault="00D10478" w:rsidP="00D10478">
      <w:pPr>
        <w:tabs>
          <w:tab w:val="left" w:pos="8205"/>
        </w:tabs>
        <w:spacing w:after="120" w:line="240" w:lineRule="auto"/>
        <w:jc w:val="both"/>
        <w:rPr>
          <w:rFonts w:ascii="Arial" w:eastAsia="Arial" w:hAnsi="Arial" w:cs="Arial"/>
          <w:color w:val="000000" w:themeColor="text1"/>
          <w:sz w:val="20"/>
          <w:szCs w:val="20"/>
          <w:lang w:eastAsia="en-GB"/>
        </w:rPr>
      </w:pPr>
      <w:r w:rsidRPr="00D10478">
        <w:rPr>
          <w:rFonts w:ascii="Arial" w:eastAsia="Arial" w:hAnsi="Arial" w:cs="Arial"/>
          <w:color w:val="000000" w:themeColor="text1"/>
          <w:sz w:val="20"/>
          <w:szCs w:val="20"/>
          <w:lang w:eastAsia="en-GB"/>
        </w:rPr>
        <w:t xml:space="preserve">Regarding the maturities, most VND transactions were for overnight and 1-week terms, accounting for </w:t>
      </w:r>
      <w:r w:rsidRPr="00D10478">
        <w:rPr>
          <w:rFonts w:ascii="Arial" w:eastAsia="Times New Roman" w:hAnsi="Arial" w:cs="Arial"/>
          <w:color w:val="000000" w:themeColor="text1"/>
          <w:sz w:val="20"/>
          <w:szCs w:val="20"/>
          <w:lang w:eastAsia="en-GB"/>
        </w:rPr>
        <w:t>93</w:t>
      </w:r>
      <w:r w:rsidRPr="00D10478">
        <w:rPr>
          <w:rFonts w:ascii="Arial" w:eastAsia="Arial" w:hAnsi="Arial" w:cs="Arial"/>
          <w:color w:val="000000" w:themeColor="text1"/>
          <w:sz w:val="20"/>
          <w:szCs w:val="20"/>
          <w:lang w:eastAsia="en-GB"/>
        </w:rPr>
        <w:t>% and 2% of the total amount of transactions respectively. For USD transactions, overnight and 1-week terms accounted for 86% and 9% of the total amount of transactions respectively.</w:t>
      </w:r>
    </w:p>
    <w:p w:rsidR="00D10478" w:rsidRPr="00D10478" w:rsidRDefault="00D10478" w:rsidP="00D10478">
      <w:pPr>
        <w:tabs>
          <w:tab w:val="left" w:pos="8205"/>
        </w:tabs>
        <w:spacing w:after="120" w:line="240" w:lineRule="auto"/>
        <w:jc w:val="both"/>
        <w:rPr>
          <w:rFonts w:ascii="Arial" w:eastAsia="Arial" w:hAnsi="Arial" w:cs="Arial"/>
          <w:b/>
          <w:color w:val="000000" w:themeColor="text1"/>
          <w:sz w:val="20"/>
          <w:szCs w:val="20"/>
          <w:lang w:eastAsia="en-GB"/>
        </w:rPr>
      </w:pPr>
      <w:r w:rsidRPr="00D10478">
        <w:rPr>
          <w:rFonts w:ascii="Arial" w:eastAsia="Arial" w:hAnsi="Arial" w:cs="Arial"/>
          <w:b/>
          <w:color w:val="000000" w:themeColor="text1"/>
          <w:sz w:val="20"/>
          <w:szCs w:val="20"/>
          <w:lang w:eastAsia="en-GB"/>
        </w:rPr>
        <w:t>2.2. Inter-bank interest rates</w:t>
      </w:r>
    </w:p>
    <w:p w:rsidR="00D10478" w:rsidRPr="00D10478" w:rsidRDefault="00D10478" w:rsidP="00D10478">
      <w:pPr>
        <w:spacing w:after="120" w:line="240" w:lineRule="auto"/>
        <w:jc w:val="both"/>
        <w:rPr>
          <w:rFonts w:ascii="Arial" w:eastAsia="Times New Roman" w:hAnsi="Arial" w:cs="Arial"/>
          <w:color w:val="000000" w:themeColor="text1"/>
          <w:sz w:val="20"/>
          <w:szCs w:val="20"/>
          <w:lang w:eastAsia="en-GB"/>
        </w:rPr>
      </w:pPr>
      <w:r w:rsidRPr="00D10478">
        <w:rPr>
          <w:rFonts w:ascii="Arial" w:eastAsia="Arial" w:hAnsi="Arial" w:cs="Arial"/>
          <w:color w:val="000000" w:themeColor="text1"/>
          <w:sz w:val="20"/>
          <w:szCs w:val="20"/>
          <w:lang w:eastAsia="en-GB"/>
        </w:rPr>
        <w:t>For transactions in VND: As compared to the previous week, the average inter-bank interest rates for some key terms experienced a downward trend as compared to the previous week</w:t>
      </w:r>
      <w:r w:rsidRPr="00D10478">
        <w:rPr>
          <w:rFonts w:ascii="Arial" w:eastAsia="Times New Roman" w:hAnsi="Arial" w:cs="Arial"/>
          <w:color w:val="000000" w:themeColor="text1"/>
          <w:sz w:val="20"/>
          <w:szCs w:val="20"/>
          <w:lang w:eastAsia="en-GB"/>
        </w:rPr>
        <w:t>. Specifically, the average inter-bank interest rates for overnight, 1-week, and 1-month terms decreased by 0.07 percentage points, 0.08 percentage points, and 0.19 percentage points respectively, to 4.06% p.a., 4.25% p.a., and 4.33% p.a. respectively.</w:t>
      </w:r>
    </w:p>
    <w:p w:rsidR="00D10478" w:rsidRPr="00D10478" w:rsidRDefault="00D10478" w:rsidP="00D10478">
      <w:pPr>
        <w:spacing w:after="120" w:line="240" w:lineRule="auto"/>
        <w:jc w:val="both"/>
        <w:rPr>
          <w:rFonts w:ascii="Arial" w:eastAsia="Times New Roman" w:hAnsi="Arial" w:cs="Arial"/>
          <w:color w:val="000000" w:themeColor="text1"/>
          <w:sz w:val="20"/>
          <w:szCs w:val="20"/>
          <w:lang w:eastAsia="en-GB"/>
        </w:rPr>
      </w:pPr>
      <w:r w:rsidRPr="00D10478">
        <w:rPr>
          <w:rFonts w:ascii="Arial" w:eastAsia="Arial" w:hAnsi="Arial" w:cs="Arial"/>
          <w:color w:val="000000" w:themeColor="text1"/>
          <w:sz w:val="20"/>
          <w:szCs w:val="20"/>
          <w:lang w:eastAsia="en-GB"/>
        </w:rPr>
        <w:t xml:space="preserve">For transactions in USD: As compared to the previous week, the average inter-bank interest rates for below 1-month terms experienced minor changes as compared to the previous week. Specifically, </w:t>
      </w:r>
      <w:r w:rsidRPr="00D10478">
        <w:rPr>
          <w:rFonts w:ascii="Arial" w:eastAsia="Times New Roman" w:hAnsi="Arial" w:cs="Arial"/>
          <w:color w:val="000000" w:themeColor="text1"/>
          <w:sz w:val="20"/>
          <w:szCs w:val="20"/>
          <w:lang w:eastAsia="en-GB"/>
        </w:rPr>
        <w:t xml:space="preserve">the average inter-bank interest rates for overnight and 1-week terms remained unchanged at 4.29% p.a. and 4.32% p.a. respectively. </w:t>
      </w:r>
      <w:proofErr w:type="gramStart"/>
      <w:r w:rsidRPr="00D10478">
        <w:rPr>
          <w:rFonts w:ascii="Arial" w:eastAsia="Times New Roman" w:hAnsi="Arial" w:cs="Arial"/>
          <w:color w:val="000000" w:themeColor="text1"/>
          <w:sz w:val="20"/>
          <w:szCs w:val="20"/>
          <w:lang w:eastAsia="en-GB"/>
        </w:rPr>
        <w:t>Meanwhile, the average inter-bank interest rate for 1-month term decreased by 0.02 percentage points, to 4.39% p.a.</w:t>
      </w:r>
      <w:proofErr w:type="gramEnd"/>
    </w:p>
    <w:p w:rsidR="00D10478" w:rsidRPr="00D10478" w:rsidRDefault="00D10478" w:rsidP="00D10478">
      <w:pPr>
        <w:spacing w:after="120" w:line="240" w:lineRule="auto"/>
        <w:jc w:val="both"/>
        <w:rPr>
          <w:rFonts w:ascii="Arial" w:eastAsia="Times New Roman" w:hAnsi="Arial" w:cs="Arial"/>
          <w:color w:val="000000" w:themeColor="text1"/>
          <w:sz w:val="20"/>
          <w:szCs w:val="20"/>
          <w:lang w:eastAsia="en-GB"/>
        </w:rPr>
      </w:pPr>
      <w:r w:rsidRPr="00D10478">
        <w:rPr>
          <w:rFonts w:ascii="Arial" w:eastAsia="Arial" w:hAnsi="Arial" w:cs="Arial"/>
          <w:color w:val="000000" w:themeColor="text1"/>
          <w:sz w:val="20"/>
          <w:szCs w:val="20"/>
          <w:lang w:eastAsia="en-GB"/>
        </w:rPr>
        <w:t>The specific average inter-bank interest rates were as follows:</w:t>
      </w:r>
    </w:p>
    <w:tbl>
      <w:tblPr>
        <w:tblW w:w="8925" w:type="dxa"/>
        <w:jc w:val="center"/>
        <w:tblLayout w:type="fixed"/>
        <w:tblLook w:val="04A0" w:firstRow="1" w:lastRow="0" w:firstColumn="1" w:lastColumn="0" w:noHBand="0" w:noVBand="1"/>
      </w:tblPr>
      <w:tblGrid>
        <w:gridCol w:w="852"/>
        <w:gridCol w:w="1361"/>
        <w:gridCol w:w="1050"/>
        <w:gridCol w:w="1134"/>
        <w:gridCol w:w="1134"/>
        <w:gridCol w:w="1134"/>
        <w:gridCol w:w="1080"/>
        <w:gridCol w:w="1180"/>
      </w:tblGrid>
      <w:tr w:rsidR="00D10478" w:rsidRPr="00D10478" w:rsidTr="0032525A">
        <w:trPr>
          <w:trHeight w:val="34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D10478" w:rsidRPr="00D10478" w:rsidRDefault="00D10478" w:rsidP="00D10478">
            <w:pPr>
              <w:spacing w:after="120" w:line="240" w:lineRule="auto"/>
              <w:jc w:val="center"/>
              <w:rPr>
                <w:rFonts w:ascii="Arial" w:eastAsia="Arial" w:hAnsi="Arial" w:cs="Arial"/>
                <w:color w:val="000000" w:themeColor="text1"/>
                <w:sz w:val="20"/>
                <w:szCs w:val="20"/>
                <w:lang w:eastAsia="en-GB"/>
              </w:rPr>
            </w:pPr>
          </w:p>
        </w:tc>
        <w:tc>
          <w:tcPr>
            <w:tcW w:w="1360" w:type="dxa"/>
            <w:tcBorders>
              <w:top w:val="single" w:sz="4" w:space="0" w:color="000000"/>
              <w:left w:val="nil"/>
              <w:bottom w:val="nil"/>
              <w:right w:val="single" w:sz="4" w:space="0" w:color="000000"/>
            </w:tcBorders>
            <w:vAlign w:val="center"/>
            <w:hideMark/>
          </w:tcPr>
          <w:p w:rsidR="00D10478" w:rsidRPr="00D10478" w:rsidRDefault="00D10478" w:rsidP="00D10478">
            <w:pPr>
              <w:spacing w:after="120" w:line="240" w:lineRule="auto"/>
              <w:jc w:val="center"/>
              <w:rPr>
                <w:rFonts w:ascii="Arial" w:eastAsia="Arial" w:hAnsi="Arial" w:cs="Arial"/>
                <w:b/>
                <w:color w:val="000000" w:themeColor="text1"/>
                <w:sz w:val="20"/>
                <w:szCs w:val="20"/>
                <w:lang w:eastAsia="en-GB"/>
              </w:rPr>
            </w:pPr>
            <w:r w:rsidRPr="00D10478">
              <w:rPr>
                <w:rFonts w:ascii="Arial" w:eastAsia="Arial" w:hAnsi="Arial" w:cs="Arial"/>
                <w:b/>
                <w:color w:val="000000" w:themeColor="text1"/>
                <w:sz w:val="20"/>
                <w:szCs w:val="20"/>
                <w:lang w:eastAsia="en-GB"/>
              </w:rPr>
              <w:t>Overnight</w:t>
            </w:r>
          </w:p>
        </w:tc>
        <w:tc>
          <w:tcPr>
            <w:tcW w:w="1050" w:type="dxa"/>
            <w:tcBorders>
              <w:top w:val="single" w:sz="4" w:space="0" w:color="000000"/>
              <w:left w:val="nil"/>
              <w:bottom w:val="nil"/>
              <w:right w:val="single" w:sz="4" w:space="0" w:color="000000"/>
            </w:tcBorders>
            <w:vAlign w:val="center"/>
            <w:hideMark/>
          </w:tcPr>
          <w:p w:rsidR="00D10478" w:rsidRPr="00D10478" w:rsidRDefault="00D10478" w:rsidP="00D10478">
            <w:pPr>
              <w:spacing w:after="120" w:line="240" w:lineRule="auto"/>
              <w:jc w:val="center"/>
              <w:rPr>
                <w:rFonts w:ascii="Arial" w:eastAsia="Arial" w:hAnsi="Arial" w:cs="Arial"/>
                <w:b/>
                <w:color w:val="000000" w:themeColor="text1"/>
                <w:sz w:val="20"/>
                <w:szCs w:val="20"/>
                <w:lang w:eastAsia="en-GB"/>
              </w:rPr>
            </w:pPr>
            <w:r w:rsidRPr="00D10478">
              <w:rPr>
                <w:rFonts w:ascii="Arial" w:eastAsia="Arial" w:hAnsi="Arial" w:cs="Arial"/>
                <w:b/>
                <w:color w:val="000000" w:themeColor="text1"/>
                <w:sz w:val="20"/>
                <w:szCs w:val="20"/>
                <w:lang w:eastAsia="en-GB"/>
              </w:rPr>
              <w:t>1-week</w:t>
            </w:r>
          </w:p>
        </w:tc>
        <w:tc>
          <w:tcPr>
            <w:tcW w:w="1134" w:type="dxa"/>
            <w:tcBorders>
              <w:top w:val="single" w:sz="4" w:space="0" w:color="000000"/>
              <w:left w:val="nil"/>
              <w:bottom w:val="single" w:sz="4" w:space="0" w:color="000000"/>
              <w:right w:val="single" w:sz="4" w:space="0" w:color="auto"/>
            </w:tcBorders>
            <w:vAlign w:val="center"/>
            <w:hideMark/>
          </w:tcPr>
          <w:p w:rsidR="00D10478" w:rsidRPr="00D10478" w:rsidRDefault="00D10478" w:rsidP="00D10478">
            <w:pPr>
              <w:spacing w:after="120" w:line="240" w:lineRule="auto"/>
              <w:jc w:val="center"/>
              <w:rPr>
                <w:rFonts w:ascii="Arial" w:eastAsia="Arial" w:hAnsi="Arial" w:cs="Arial"/>
                <w:b/>
                <w:color w:val="000000" w:themeColor="text1"/>
                <w:sz w:val="20"/>
                <w:szCs w:val="20"/>
                <w:lang w:eastAsia="en-GB"/>
              </w:rPr>
            </w:pPr>
            <w:r w:rsidRPr="00D10478">
              <w:rPr>
                <w:rFonts w:ascii="Arial" w:eastAsia="Arial" w:hAnsi="Arial" w:cs="Arial"/>
                <w:b/>
                <w:color w:val="000000" w:themeColor="text1"/>
                <w:sz w:val="20"/>
                <w:szCs w:val="20"/>
                <w:lang w:eastAsia="en-GB"/>
              </w:rPr>
              <w:t>2-week</w:t>
            </w:r>
          </w:p>
        </w:tc>
        <w:tc>
          <w:tcPr>
            <w:tcW w:w="1134" w:type="dxa"/>
            <w:tcBorders>
              <w:top w:val="single" w:sz="4" w:space="0" w:color="000000"/>
              <w:left w:val="nil"/>
              <w:bottom w:val="nil"/>
              <w:right w:val="single" w:sz="4" w:space="0" w:color="000000"/>
            </w:tcBorders>
            <w:vAlign w:val="center"/>
            <w:hideMark/>
          </w:tcPr>
          <w:p w:rsidR="00D10478" w:rsidRPr="00D10478" w:rsidRDefault="00D10478" w:rsidP="00D10478">
            <w:pPr>
              <w:spacing w:after="120" w:line="240" w:lineRule="auto"/>
              <w:jc w:val="center"/>
              <w:rPr>
                <w:rFonts w:ascii="Arial" w:eastAsia="Arial" w:hAnsi="Arial" w:cs="Arial"/>
                <w:b/>
                <w:color w:val="000000" w:themeColor="text1"/>
                <w:sz w:val="20"/>
                <w:szCs w:val="20"/>
                <w:lang w:eastAsia="en-GB"/>
              </w:rPr>
            </w:pPr>
            <w:r w:rsidRPr="00D10478">
              <w:rPr>
                <w:rFonts w:ascii="Arial" w:eastAsia="Arial" w:hAnsi="Arial" w:cs="Arial"/>
                <w:b/>
                <w:color w:val="000000" w:themeColor="text1"/>
                <w:sz w:val="20"/>
                <w:szCs w:val="20"/>
                <w:lang w:eastAsia="en-GB"/>
              </w:rPr>
              <w:t>1-month</w:t>
            </w:r>
          </w:p>
        </w:tc>
        <w:tc>
          <w:tcPr>
            <w:tcW w:w="1134" w:type="dxa"/>
            <w:tcBorders>
              <w:top w:val="single" w:sz="4" w:space="0" w:color="000000"/>
              <w:left w:val="nil"/>
              <w:bottom w:val="nil"/>
              <w:right w:val="single" w:sz="4" w:space="0" w:color="000000"/>
            </w:tcBorders>
            <w:vAlign w:val="center"/>
            <w:hideMark/>
          </w:tcPr>
          <w:p w:rsidR="00D10478" w:rsidRPr="00D10478" w:rsidRDefault="00D10478" w:rsidP="00D10478">
            <w:pPr>
              <w:spacing w:after="120" w:line="240" w:lineRule="auto"/>
              <w:jc w:val="center"/>
              <w:rPr>
                <w:rFonts w:ascii="Arial" w:eastAsia="Arial" w:hAnsi="Arial" w:cs="Arial"/>
                <w:b/>
                <w:color w:val="000000" w:themeColor="text1"/>
                <w:sz w:val="20"/>
                <w:szCs w:val="20"/>
                <w:lang w:eastAsia="en-GB"/>
              </w:rPr>
            </w:pPr>
            <w:r w:rsidRPr="00D10478">
              <w:rPr>
                <w:rFonts w:ascii="Arial" w:eastAsia="Arial" w:hAnsi="Arial" w:cs="Arial"/>
                <w:b/>
                <w:color w:val="000000" w:themeColor="text1"/>
                <w:sz w:val="20"/>
                <w:szCs w:val="20"/>
                <w:lang w:eastAsia="en-GB"/>
              </w:rPr>
              <w:t>3-month</w:t>
            </w:r>
          </w:p>
        </w:tc>
        <w:tc>
          <w:tcPr>
            <w:tcW w:w="1080" w:type="dxa"/>
            <w:tcBorders>
              <w:top w:val="single" w:sz="4" w:space="0" w:color="000000"/>
              <w:left w:val="nil"/>
              <w:bottom w:val="single" w:sz="4" w:space="0" w:color="000000"/>
              <w:right w:val="single" w:sz="4" w:space="0" w:color="000000"/>
            </w:tcBorders>
            <w:vAlign w:val="center"/>
            <w:hideMark/>
          </w:tcPr>
          <w:p w:rsidR="00D10478" w:rsidRPr="00D10478" w:rsidRDefault="00D10478" w:rsidP="00D10478">
            <w:pPr>
              <w:spacing w:after="120" w:line="240" w:lineRule="auto"/>
              <w:jc w:val="center"/>
              <w:rPr>
                <w:rFonts w:ascii="Arial" w:eastAsia="Arial" w:hAnsi="Arial" w:cs="Arial"/>
                <w:b/>
                <w:color w:val="000000" w:themeColor="text1"/>
                <w:sz w:val="20"/>
                <w:szCs w:val="20"/>
                <w:lang w:eastAsia="en-GB"/>
              </w:rPr>
            </w:pPr>
            <w:r w:rsidRPr="00D10478">
              <w:rPr>
                <w:rFonts w:ascii="Arial" w:eastAsia="Arial" w:hAnsi="Arial" w:cs="Arial"/>
                <w:b/>
                <w:color w:val="000000" w:themeColor="text1"/>
                <w:sz w:val="20"/>
                <w:szCs w:val="20"/>
                <w:lang w:eastAsia="en-GB"/>
              </w:rPr>
              <w:t>6-month</w:t>
            </w:r>
          </w:p>
        </w:tc>
        <w:tc>
          <w:tcPr>
            <w:tcW w:w="1180" w:type="dxa"/>
            <w:tcBorders>
              <w:top w:val="single" w:sz="4" w:space="0" w:color="000000"/>
              <w:left w:val="nil"/>
              <w:bottom w:val="single" w:sz="4" w:space="0" w:color="000000"/>
              <w:right w:val="single" w:sz="4" w:space="0" w:color="000000"/>
            </w:tcBorders>
            <w:vAlign w:val="center"/>
            <w:hideMark/>
          </w:tcPr>
          <w:p w:rsidR="00D10478" w:rsidRPr="00D10478" w:rsidRDefault="00D10478" w:rsidP="00D10478">
            <w:pPr>
              <w:spacing w:after="120" w:line="240" w:lineRule="auto"/>
              <w:jc w:val="center"/>
              <w:rPr>
                <w:rFonts w:ascii="Arial" w:eastAsia="Arial" w:hAnsi="Arial" w:cs="Arial"/>
                <w:b/>
                <w:color w:val="000000" w:themeColor="text1"/>
                <w:sz w:val="20"/>
                <w:szCs w:val="20"/>
                <w:lang w:eastAsia="en-GB"/>
              </w:rPr>
            </w:pPr>
            <w:r w:rsidRPr="00D10478">
              <w:rPr>
                <w:rFonts w:ascii="Arial" w:eastAsia="Arial" w:hAnsi="Arial" w:cs="Arial"/>
                <w:b/>
                <w:color w:val="000000" w:themeColor="text1"/>
                <w:sz w:val="20"/>
                <w:szCs w:val="20"/>
                <w:lang w:eastAsia="en-GB"/>
              </w:rPr>
              <w:t>9-month</w:t>
            </w:r>
          </w:p>
        </w:tc>
      </w:tr>
      <w:tr w:rsidR="00D10478" w:rsidRPr="00D10478" w:rsidTr="0032525A">
        <w:trPr>
          <w:trHeight w:val="342"/>
          <w:jc w:val="center"/>
        </w:trPr>
        <w:tc>
          <w:tcPr>
            <w:tcW w:w="851" w:type="dxa"/>
            <w:tcBorders>
              <w:top w:val="single" w:sz="4" w:space="0" w:color="000000"/>
              <w:left w:val="single" w:sz="4" w:space="0" w:color="000000"/>
              <w:bottom w:val="single" w:sz="4" w:space="0" w:color="000000"/>
              <w:right w:val="single" w:sz="4" w:space="0" w:color="000000"/>
            </w:tcBorders>
            <w:vAlign w:val="center"/>
            <w:hideMark/>
          </w:tcPr>
          <w:p w:rsidR="00D10478" w:rsidRPr="00D10478" w:rsidRDefault="00D10478" w:rsidP="00D10478">
            <w:pPr>
              <w:spacing w:after="120" w:line="240" w:lineRule="auto"/>
              <w:jc w:val="center"/>
              <w:rPr>
                <w:rFonts w:ascii="Arial" w:eastAsia="Arial" w:hAnsi="Arial" w:cs="Arial"/>
                <w:color w:val="000000" w:themeColor="text1"/>
                <w:sz w:val="20"/>
                <w:szCs w:val="20"/>
                <w:lang w:eastAsia="en-GB"/>
              </w:rPr>
            </w:pPr>
            <w:r w:rsidRPr="00D10478">
              <w:rPr>
                <w:rFonts w:ascii="Arial" w:eastAsia="Arial" w:hAnsi="Arial" w:cs="Arial"/>
                <w:color w:val="000000" w:themeColor="text1"/>
                <w:sz w:val="20"/>
                <w:szCs w:val="20"/>
                <w:lang w:eastAsia="en-GB"/>
              </w:rPr>
              <w:t>VND</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D10478" w:rsidRPr="00D10478" w:rsidRDefault="00D10478" w:rsidP="00D10478">
            <w:pPr>
              <w:spacing w:after="120" w:line="240" w:lineRule="auto"/>
              <w:jc w:val="center"/>
              <w:rPr>
                <w:rFonts w:ascii="Arial" w:eastAsia="Arial" w:hAnsi="Arial" w:cs="Arial"/>
                <w:color w:val="000000" w:themeColor="text1"/>
                <w:sz w:val="20"/>
                <w:szCs w:val="20"/>
                <w:lang w:eastAsia="en-GB"/>
              </w:rPr>
            </w:pPr>
            <w:r w:rsidRPr="00D10478">
              <w:rPr>
                <w:rFonts w:ascii="Arial" w:eastAsia="Arial" w:hAnsi="Arial" w:cs="Arial"/>
                <w:color w:val="000000" w:themeColor="text1"/>
                <w:sz w:val="20"/>
                <w:szCs w:val="20"/>
                <w:lang w:eastAsia="en-GB"/>
              </w:rPr>
              <w:t>4.06</w:t>
            </w:r>
          </w:p>
        </w:tc>
        <w:tc>
          <w:tcPr>
            <w:tcW w:w="1050" w:type="dxa"/>
            <w:tcBorders>
              <w:top w:val="single" w:sz="4" w:space="0" w:color="000000"/>
              <w:left w:val="nil"/>
              <w:bottom w:val="single" w:sz="4" w:space="0" w:color="000000"/>
              <w:right w:val="single" w:sz="4" w:space="0" w:color="000000"/>
            </w:tcBorders>
            <w:vAlign w:val="center"/>
            <w:hideMark/>
          </w:tcPr>
          <w:p w:rsidR="00D10478" w:rsidRPr="00D10478" w:rsidRDefault="00D10478" w:rsidP="00D10478">
            <w:pPr>
              <w:spacing w:after="120" w:line="240" w:lineRule="auto"/>
              <w:jc w:val="center"/>
              <w:rPr>
                <w:rFonts w:ascii="Arial" w:eastAsia="Arial" w:hAnsi="Arial" w:cs="Arial"/>
                <w:color w:val="000000" w:themeColor="text1"/>
                <w:sz w:val="20"/>
                <w:szCs w:val="20"/>
                <w:lang w:eastAsia="en-GB"/>
              </w:rPr>
            </w:pPr>
            <w:r w:rsidRPr="00D10478">
              <w:rPr>
                <w:rFonts w:ascii="Arial" w:eastAsia="Arial" w:hAnsi="Arial" w:cs="Arial"/>
                <w:color w:val="000000" w:themeColor="text1"/>
                <w:sz w:val="20"/>
                <w:szCs w:val="20"/>
                <w:lang w:eastAsia="en-GB"/>
              </w:rPr>
              <w:t>4.25</w:t>
            </w:r>
          </w:p>
        </w:tc>
        <w:tc>
          <w:tcPr>
            <w:tcW w:w="1134" w:type="dxa"/>
            <w:tcBorders>
              <w:top w:val="single" w:sz="4" w:space="0" w:color="000000"/>
              <w:left w:val="nil"/>
              <w:bottom w:val="single" w:sz="4" w:space="0" w:color="000000"/>
              <w:right w:val="single" w:sz="4" w:space="0" w:color="auto"/>
            </w:tcBorders>
            <w:vAlign w:val="center"/>
            <w:hideMark/>
          </w:tcPr>
          <w:p w:rsidR="00D10478" w:rsidRPr="00D10478" w:rsidRDefault="00D10478" w:rsidP="00D10478">
            <w:pPr>
              <w:spacing w:after="120" w:line="240" w:lineRule="auto"/>
              <w:jc w:val="center"/>
              <w:rPr>
                <w:rFonts w:ascii="Arial" w:eastAsia="Arial" w:hAnsi="Arial" w:cs="Arial"/>
                <w:color w:val="000000" w:themeColor="text1"/>
                <w:sz w:val="20"/>
                <w:szCs w:val="20"/>
                <w:lang w:eastAsia="en-GB"/>
              </w:rPr>
            </w:pPr>
            <w:r w:rsidRPr="00D10478">
              <w:rPr>
                <w:rFonts w:ascii="Arial" w:eastAsia="Arial" w:hAnsi="Arial" w:cs="Arial"/>
                <w:color w:val="000000" w:themeColor="text1"/>
                <w:sz w:val="20"/>
                <w:szCs w:val="20"/>
                <w:lang w:eastAsia="en-GB"/>
              </w:rPr>
              <w:t>4.45</w:t>
            </w:r>
          </w:p>
        </w:tc>
        <w:tc>
          <w:tcPr>
            <w:tcW w:w="1134" w:type="dxa"/>
            <w:tcBorders>
              <w:top w:val="single" w:sz="4" w:space="0" w:color="000000"/>
              <w:left w:val="nil"/>
              <w:bottom w:val="single" w:sz="4" w:space="0" w:color="000000"/>
              <w:right w:val="single" w:sz="4" w:space="0" w:color="000000"/>
            </w:tcBorders>
            <w:vAlign w:val="center"/>
            <w:hideMark/>
          </w:tcPr>
          <w:p w:rsidR="00D10478" w:rsidRPr="00D10478" w:rsidRDefault="00D10478" w:rsidP="00D10478">
            <w:pPr>
              <w:spacing w:after="120" w:line="240" w:lineRule="auto"/>
              <w:jc w:val="center"/>
              <w:rPr>
                <w:rFonts w:ascii="Arial" w:eastAsia="Arial" w:hAnsi="Arial" w:cs="Arial"/>
                <w:color w:val="000000" w:themeColor="text1"/>
                <w:sz w:val="20"/>
                <w:szCs w:val="20"/>
                <w:lang w:eastAsia="en-GB"/>
              </w:rPr>
            </w:pPr>
            <w:r w:rsidRPr="00D10478">
              <w:rPr>
                <w:rFonts w:ascii="Arial" w:eastAsia="Arial" w:hAnsi="Arial" w:cs="Arial"/>
                <w:color w:val="000000" w:themeColor="text1"/>
                <w:sz w:val="20"/>
                <w:szCs w:val="20"/>
                <w:lang w:eastAsia="en-GB"/>
              </w:rPr>
              <w:t>4.33</w:t>
            </w:r>
          </w:p>
        </w:tc>
        <w:tc>
          <w:tcPr>
            <w:tcW w:w="1134" w:type="dxa"/>
            <w:tcBorders>
              <w:top w:val="single" w:sz="4" w:space="0" w:color="000000"/>
              <w:left w:val="nil"/>
              <w:bottom w:val="single" w:sz="4" w:space="0" w:color="000000"/>
              <w:right w:val="single" w:sz="4" w:space="0" w:color="000000"/>
            </w:tcBorders>
            <w:vAlign w:val="center"/>
            <w:hideMark/>
          </w:tcPr>
          <w:p w:rsidR="00D10478" w:rsidRPr="00D10478" w:rsidRDefault="00D10478" w:rsidP="00D10478">
            <w:pPr>
              <w:spacing w:after="120" w:line="240" w:lineRule="auto"/>
              <w:jc w:val="center"/>
              <w:rPr>
                <w:rFonts w:ascii="Arial" w:eastAsia="Arial" w:hAnsi="Arial" w:cs="Arial"/>
                <w:color w:val="000000" w:themeColor="text1"/>
                <w:sz w:val="20"/>
                <w:szCs w:val="20"/>
                <w:lang w:eastAsia="en-GB"/>
              </w:rPr>
            </w:pPr>
            <w:r w:rsidRPr="00D10478">
              <w:rPr>
                <w:rFonts w:ascii="Arial" w:eastAsia="Arial" w:hAnsi="Arial" w:cs="Arial"/>
                <w:color w:val="000000" w:themeColor="text1"/>
                <w:sz w:val="20"/>
                <w:szCs w:val="20"/>
                <w:lang w:eastAsia="en-GB"/>
              </w:rPr>
              <w:t>4.82</w:t>
            </w:r>
          </w:p>
        </w:tc>
        <w:tc>
          <w:tcPr>
            <w:tcW w:w="1080" w:type="dxa"/>
            <w:tcBorders>
              <w:top w:val="single" w:sz="4" w:space="0" w:color="000000"/>
              <w:left w:val="nil"/>
              <w:bottom w:val="single" w:sz="4" w:space="0" w:color="000000"/>
              <w:right w:val="single" w:sz="4" w:space="0" w:color="000000"/>
            </w:tcBorders>
            <w:vAlign w:val="center"/>
            <w:hideMark/>
          </w:tcPr>
          <w:p w:rsidR="00D10478" w:rsidRPr="00D10478" w:rsidRDefault="00D10478" w:rsidP="00D10478">
            <w:pPr>
              <w:spacing w:after="120" w:line="240" w:lineRule="auto"/>
              <w:jc w:val="center"/>
              <w:rPr>
                <w:rFonts w:ascii="Arial" w:eastAsia="Arial" w:hAnsi="Arial" w:cs="Arial"/>
                <w:color w:val="000000" w:themeColor="text1"/>
                <w:sz w:val="20"/>
                <w:szCs w:val="20"/>
                <w:lang w:eastAsia="en-GB"/>
              </w:rPr>
            </w:pPr>
            <w:r w:rsidRPr="00D10478">
              <w:rPr>
                <w:rFonts w:ascii="Arial" w:eastAsia="Arial" w:hAnsi="Arial" w:cs="Arial"/>
                <w:color w:val="000000" w:themeColor="text1"/>
                <w:sz w:val="20"/>
                <w:szCs w:val="20"/>
                <w:lang w:eastAsia="en-GB"/>
              </w:rPr>
              <w:t>5.16</w:t>
            </w:r>
          </w:p>
        </w:tc>
        <w:tc>
          <w:tcPr>
            <w:tcW w:w="1180" w:type="dxa"/>
            <w:tcBorders>
              <w:top w:val="single" w:sz="4" w:space="0" w:color="000000"/>
              <w:left w:val="nil"/>
              <w:bottom w:val="single" w:sz="4" w:space="0" w:color="000000"/>
              <w:right w:val="single" w:sz="4" w:space="0" w:color="000000"/>
            </w:tcBorders>
            <w:vAlign w:val="center"/>
            <w:hideMark/>
          </w:tcPr>
          <w:p w:rsidR="00D10478" w:rsidRPr="00D10478" w:rsidRDefault="00D10478" w:rsidP="00D10478">
            <w:pPr>
              <w:spacing w:after="120" w:line="240" w:lineRule="auto"/>
              <w:jc w:val="center"/>
              <w:rPr>
                <w:rFonts w:ascii="Arial" w:eastAsia="Arial" w:hAnsi="Arial" w:cs="Arial"/>
                <w:color w:val="000000" w:themeColor="text1"/>
                <w:sz w:val="20"/>
                <w:szCs w:val="20"/>
                <w:lang w:eastAsia="en-GB"/>
              </w:rPr>
            </w:pPr>
            <w:r w:rsidRPr="00D10478">
              <w:rPr>
                <w:rFonts w:ascii="Arial" w:eastAsia="Arial" w:hAnsi="Arial" w:cs="Arial"/>
                <w:color w:val="000000" w:themeColor="text1"/>
                <w:sz w:val="20"/>
                <w:szCs w:val="20"/>
                <w:lang w:eastAsia="en-GB"/>
              </w:rPr>
              <w:t>4.46</w:t>
            </w:r>
          </w:p>
        </w:tc>
      </w:tr>
      <w:tr w:rsidR="00D10478" w:rsidRPr="00D10478" w:rsidTr="0032525A">
        <w:trPr>
          <w:trHeight w:val="342"/>
          <w:jc w:val="center"/>
        </w:trPr>
        <w:tc>
          <w:tcPr>
            <w:tcW w:w="851" w:type="dxa"/>
            <w:tcBorders>
              <w:top w:val="single" w:sz="4" w:space="0" w:color="000000"/>
              <w:left w:val="single" w:sz="4" w:space="0" w:color="000000"/>
              <w:bottom w:val="single" w:sz="4" w:space="0" w:color="000000"/>
              <w:right w:val="single" w:sz="4" w:space="0" w:color="000000"/>
            </w:tcBorders>
            <w:vAlign w:val="center"/>
            <w:hideMark/>
          </w:tcPr>
          <w:p w:rsidR="00D10478" w:rsidRPr="00D10478" w:rsidRDefault="00D10478" w:rsidP="00D10478">
            <w:pPr>
              <w:spacing w:after="120" w:line="240" w:lineRule="auto"/>
              <w:jc w:val="center"/>
              <w:rPr>
                <w:rFonts w:ascii="Arial" w:eastAsia="Arial" w:hAnsi="Arial" w:cs="Arial"/>
                <w:color w:val="000000" w:themeColor="text1"/>
                <w:sz w:val="20"/>
                <w:szCs w:val="20"/>
                <w:lang w:eastAsia="en-GB"/>
              </w:rPr>
            </w:pPr>
            <w:r w:rsidRPr="00D10478">
              <w:rPr>
                <w:rFonts w:ascii="Arial" w:eastAsia="Arial" w:hAnsi="Arial" w:cs="Arial"/>
                <w:color w:val="000000" w:themeColor="text1"/>
                <w:sz w:val="20"/>
                <w:szCs w:val="20"/>
                <w:lang w:eastAsia="en-GB"/>
              </w:rPr>
              <w:t>USD</w:t>
            </w:r>
          </w:p>
        </w:tc>
        <w:tc>
          <w:tcPr>
            <w:tcW w:w="1360" w:type="dxa"/>
            <w:tcBorders>
              <w:top w:val="nil"/>
              <w:left w:val="single" w:sz="4" w:space="0" w:color="000000"/>
              <w:bottom w:val="single" w:sz="4" w:space="0" w:color="000000"/>
              <w:right w:val="single" w:sz="4" w:space="0" w:color="000000"/>
            </w:tcBorders>
            <w:vAlign w:val="center"/>
            <w:hideMark/>
          </w:tcPr>
          <w:p w:rsidR="00D10478" w:rsidRPr="00D10478" w:rsidRDefault="00D10478" w:rsidP="00D10478">
            <w:pPr>
              <w:spacing w:after="120" w:line="240" w:lineRule="auto"/>
              <w:jc w:val="center"/>
              <w:rPr>
                <w:rFonts w:ascii="Arial" w:eastAsia="Arial" w:hAnsi="Arial" w:cs="Arial"/>
                <w:color w:val="000000" w:themeColor="text1"/>
                <w:sz w:val="20"/>
                <w:szCs w:val="20"/>
                <w:lang w:eastAsia="en-GB"/>
              </w:rPr>
            </w:pPr>
            <w:r w:rsidRPr="00D10478">
              <w:rPr>
                <w:rFonts w:ascii="Arial" w:eastAsia="Arial" w:hAnsi="Arial" w:cs="Arial"/>
                <w:color w:val="000000" w:themeColor="text1"/>
                <w:sz w:val="20"/>
                <w:szCs w:val="20"/>
                <w:lang w:eastAsia="en-GB"/>
              </w:rPr>
              <w:t>4.29</w:t>
            </w:r>
          </w:p>
        </w:tc>
        <w:tc>
          <w:tcPr>
            <w:tcW w:w="1050" w:type="dxa"/>
            <w:tcBorders>
              <w:top w:val="nil"/>
              <w:left w:val="nil"/>
              <w:bottom w:val="single" w:sz="4" w:space="0" w:color="000000"/>
              <w:right w:val="single" w:sz="4" w:space="0" w:color="000000"/>
            </w:tcBorders>
            <w:vAlign w:val="center"/>
            <w:hideMark/>
          </w:tcPr>
          <w:p w:rsidR="00D10478" w:rsidRPr="00D10478" w:rsidRDefault="00D10478" w:rsidP="00D10478">
            <w:pPr>
              <w:spacing w:after="120" w:line="240" w:lineRule="auto"/>
              <w:jc w:val="center"/>
              <w:rPr>
                <w:rFonts w:ascii="Arial" w:eastAsia="Arial" w:hAnsi="Arial" w:cs="Arial"/>
                <w:color w:val="000000" w:themeColor="text1"/>
                <w:sz w:val="20"/>
                <w:szCs w:val="20"/>
                <w:lang w:eastAsia="en-GB"/>
              </w:rPr>
            </w:pPr>
            <w:r w:rsidRPr="00D10478">
              <w:rPr>
                <w:rFonts w:ascii="Arial" w:eastAsia="Arial" w:hAnsi="Arial" w:cs="Arial"/>
                <w:color w:val="000000" w:themeColor="text1"/>
                <w:sz w:val="20"/>
                <w:szCs w:val="20"/>
                <w:lang w:eastAsia="en-GB"/>
              </w:rPr>
              <w:t>4.32</w:t>
            </w:r>
          </w:p>
        </w:tc>
        <w:tc>
          <w:tcPr>
            <w:tcW w:w="1134" w:type="dxa"/>
            <w:tcBorders>
              <w:top w:val="single" w:sz="4" w:space="0" w:color="000000"/>
              <w:left w:val="nil"/>
              <w:bottom w:val="single" w:sz="4" w:space="0" w:color="000000"/>
              <w:right w:val="single" w:sz="4" w:space="0" w:color="auto"/>
            </w:tcBorders>
            <w:vAlign w:val="center"/>
            <w:hideMark/>
          </w:tcPr>
          <w:p w:rsidR="00D10478" w:rsidRPr="00D10478" w:rsidRDefault="00D10478" w:rsidP="00D10478">
            <w:pPr>
              <w:spacing w:after="120" w:line="240" w:lineRule="auto"/>
              <w:jc w:val="center"/>
              <w:rPr>
                <w:rFonts w:ascii="Arial" w:eastAsia="Arial" w:hAnsi="Arial" w:cs="Arial"/>
                <w:color w:val="000000" w:themeColor="text1"/>
                <w:sz w:val="20"/>
                <w:szCs w:val="20"/>
                <w:lang w:eastAsia="en-GB"/>
              </w:rPr>
            </w:pPr>
            <w:r w:rsidRPr="00D10478">
              <w:rPr>
                <w:rFonts w:ascii="Arial" w:eastAsia="Arial" w:hAnsi="Arial" w:cs="Arial"/>
                <w:color w:val="000000" w:themeColor="text1"/>
                <w:sz w:val="20"/>
                <w:szCs w:val="20"/>
                <w:lang w:eastAsia="en-GB"/>
              </w:rPr>
              <w:t>4.36</w:t>
            </w:r>
          </w:p>
        </w:tc>
        <w:tc>
          <w:tcPr>
            <w:tcW w:w="1134" w:type="dxa"/>
            <w:tcBorders>
              <w:top w:val="nil"/>
              <w:left w:val="nil"/>
              <w:bottom w:val="single" w:sz="4" w:space="0" w:color="000000"/>
              <w:right w:val="single" w:sz="4" w:space="0" w:color="000000"/>
            </w:tcBorders>
            <w:vAlign w:val="center"/>
            <w:hideMark/>
          </w:tcPr>
          <w:p w:rsidR="00D10478" w:rsidRPr="00D10478" w:rsidRDefault="00D10478" w:rsidP="00D10478">
            <w:pPr>
              <w:spacing w:after="120" w:line="240" w:lineRule="auto"/>
              <w:jc w:val="center"/>
              <w:rPr>
                <w:rFonts w:ascii="Arial" w:eastAsia="Arial" w:hAnsi="Arial" w:cs="Arial"/>
                <w:color w:val="000000" w:themeColor="text1"/>
                <w:sz w:val="20"/>
                <w:szCs w:val="20"/>
                <w:lang w:eastAsia="en-GB"/>
              </w:rPr>
            </w:pPr>
            <w:r w:rsidRPr="00D10478">
              <w:rPr>
                <w:rFonts w:ascii="Arial" w:eastAsia="Arial" w:hAnsi="Arial" w:cs="Arial"/>
                <w:color w:val="000000" w:themeColor="text1"/>
                <w:sz w:val="20"/>
                <w:szCs w:val="20"/>
                <w:lang w:eastAsia="en-GB"/>
              </w:rPr>
              <w:t>4.39</w:t>
            </w:r>
          </w:p>
        </w:tc>
        <w:tc>
          <w:tcPr>
            <w:tcW w:w="1134" w:type="dxa"/>
            <w:tcBorders>
              <w:top w:val="nil"/>
              <w:left w:val="nil"/>
              <w:bottom w:val="single" w:sz="4" w:space="0" w:color="000000"/>
              <w:right w:val="single" w:sz="4" w:space="0" w:color="000000"/>
            </w:tcBorders>
            <w:vAlign w:val="center"/>
            <w:hideMark/>
          </w:tcPr>
          <w:p w:rsidR="00D10478" w:rsidRPr="00D10478" w:rsidRDefault="00D10478" w:rsidP="00D10478">
            <w:pPr>
              <w:spacing w:after="120" w:line="240" w:lineRule="auto"/>
              <w:jc w:val="center"/>
              <w:rPr>
                <w:rFonts w:ascii="Arial" w:eastAsia="Arial" w:hAnsi="Arial" w:cs="Arial"/>
                <w:color w:val="000000" w:themeColor="text1"/>
                <w:sz w:val="20"/>
                <w:szCs w:val="20"/>
                <w:lang w:eastAsia="en-GB"/>
              </w:rPr>
            </w:pPr>
            <w:r w:rsidRPr="00D10478">
              <w:rPr>
                <w:rFonts w:ascii="Arial" w:eastAsia="Arial" w:hAnsi="Arial" w:cs="Arial"/>
                <w:color w:val="000000" w:themeColor="text1"/>
                <w:sz w:val="20"/>
                <w:szCs w:val="20"/>
                <w:lang w:eastAsia="en-GB"/>
              </w:rPr>
              <w:t>4.47</w:t>
            </w:r>
          </w:p>
        </w:tc>
        <w:tc>
          <w:tcPr>
            <w:tcW w:w="1080" w:type="dxa"/>
            <w:tcBorders>
              <w:top w:val="nil"/>
              <w:left w:val="nil"/>
              <w:bottom w:val="single" w:sz="4" w:space="0" w:color="000000"/>
              <w:right w:val="single" w:sz="4" w:space="0" w:color="000000"/>
            </w:tcBorders>
            <w:vAlign w:val="center"/>
            <w:hideMark/>
          </w:tcPr>
          <w:p w:rsidR="00D10478" w:rsidRPr="00D10478" w:rsidRDefault="00D10478" w:rsidP="00D10478">
            <w:pPr>
              <w:spacing w:after="120" w:line="240" w:lineRule="auto"/>
              <w:jc w:val="center"/>
              <w:rPr>
                <w:rFonts w:ascii="Arial" w:eastAsia="Arial" w:hAnsi="Arial" w:cs="Arial"/>
                <w:color w:val="000000" w:themeColor="text1"/>
                <w:sz w:val="20"/>
                <w:szCs w:val="20"/>
                <w:lang w:eastAsia="en-GB"/>
              </w:rPr>
            </w:pPr>
            <w:r w:rsidRPr="00D10478">
              <w:rPr>
                <w:rFonts w:ascii="Arial" w:eastAsia="Arial" w:hAnsi="Arial" w:cs="Arial"/>
                <w:color w:val="000000" w:themeColor="text1"/>
                <w:sz w:val="20"/>
                <w:szCs w:val="20"/>
                <w:lang w:eastAsia="en-GB"/>
              </w:rPr>
              <w:t>-</w:t>
            </w:r>
          </w:p>
        </w:tc>
        <w:tc>
          <w:tcPr>
            <w:tcW w:w="1180" w:type="dxa"/>
            <w:tcBorders>
              <w:top w:val="nil"/>
              <w:left w:val="nil"/>
              <w:bottom w:val="single" w:sz="4" w:space="0" w:color="000000"/>
              <w:right w:val="single" w:sz="4" w:space="0" w:color="000000"/>
            </w:tcBorders>
            <w:vAlign w:val="center"/>
            <w:hideMark/>
          </w:tcPr>
          <w:p w:rsidR="00D10478" w:rsidRPr="00D10478" w:rsidRDefault="00D10478" w:rsidP="00D10478">
            <w:pPr>
              <w:spacing w:after="120" w:line="240" w:lineRule="auto"/>
              <w:jc w:val="center"/>
              <w:rPr>
                <w:rFonts w:ascii="Arial" w:eastAsia="Arial" w:hAnsi="Arial" w:cs="Arial"/>
                <w:color w:val="000000" w:themeColor="text1"/>
                <w:sz w:val="20"/>
                <w:szCs w:val="20"/>
                <w:lang w:eastAsia="en-GB"/>
              </w:rPr>
            </w:pPr>
            <w:r w:rsidRPr="00D10478">
              <w:rPr>
                <w:rFonts w:ascii="Arial" w:eastAsia="Arial" w:hAnsi="Arial" w:cs="Arial"/>
                <w:color w:val="000000" w:themeColor="text1"/>
                <w:sz w:val="20"/>
                <w:szCs w:val="20"/>
                <w:lang w:eastAsia="en-GB"/>
              </w:rPr>
              <w:t>-</w:t>
            </w:r>
          </w:p>
        </w:tc>
      </w:tr>
    </w:tbl>
    <w:p w:rsidR="00665027" w:rsidRPr="00D10478" w:rsidRDefault="00D10478" w:rsidP="00D10478">
      <w:pPr>
        <w:spacing w:after="120" w:line="240" w:lineRule="auto"/>
        <w:rPr>
          <w:color w:val="000000" w:themeColor="text1"/>
          <w:sz w:val="18"/>
          <w:szCs w:val="18"/>
        </w:rPr>
      </w:pPr>
      <w:r w:rsidRPr="00D10478">
        <w:rPr>
          <w:rFonts w:ascii="Arial" w:hAnsi="Arial" w:cs="Arial"/>
          <w:b/>
          <w:i/>
          <w:color w:val="000000" w:themeColor="text1"/>
          <w:sz w:val="18"/>
          <w:szCs w:val="18"/>
        </w:rPr>
        <w:t>Translated by HY</w:t>
      </w:r>
    </w:p>
    <w:sectPr w:rsidR="00665027" w:rsidRPr="00D10478" w:rsidSect="004678AB">
      <w:pgSz w:w="11907" w:h="16839" w:code="9"/>
      <w:pgMar w:top="1134" w:right="1134" w:bottom="1304" w:left="1701"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478"/>
    <w:rsid w:val="00112A9F"/>
    <w:rsid w:val="00A15EC9"/>
    <w:rsid w:val="00A46D90"/>
    <w:rsid w:val="00B73C07"/>
    <w:rsid w:val="00D1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7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7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Relationship Target="settings.xml" Type="http://schemas.openxmlformats.org/officeDocument/2006/relationships/settings" Id="rId3"></Relationship><Relationship Target="stylesWithEffects.xml" Type="http://schemas.microsoft.com/office/2007/relationships/stylesWithEffects" Id="rId2"></Relationship><Relationship Target="styles.xml" Type="http://schemas.openxmlformats.org/officeDocument/2006/relationships/styles" Id="rId1"></Relationship><Relationship Target="theme/theme1.xml" Type="http://schemas.openxmlformats.org/officeDocument/2006/relationships/theme" Id="rId6"></Relationship><Relationship Target="fontTable.xml" Type="http://schemas.openxmlformats.org/officeDocument/2006/relationships/fontTable"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Hai Yen (VTTh)</dc:creator>
  <cp:lastModifiedBy>Nguyen Thi Hai Yen (VTTh)</cp:lastModifiedBy>
  <cp:revision>1</cp:revision>
  <dcterms:created xsi:type="dcterms:W3CDTF">2025-04-26T03:14:00Z</dcterms:created>
  <dcterms:modified xsi:type="dcterms:W3CDTF">2025-04-26T03:15:00Z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SBV625676</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599317</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http://webcenter-app01:16200/cs/idcplg?IdcService=DESKTOP_DOC_INFO&amp;dDocName=SBV625676&amp;dID=599317&amp;ClientControlled=DocMan,taskpane&amp;coreContentOnly=1</vt:lpwstr>
  </property>
</Properties>
</file>