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367" w:rsidRPr="00561367" w:rsidRDefault="00561367" w:rsidP="00561367">
      <w:pPr>
        <w:spacing w:after="0" w:line="240" w:lineRule="auto"/>
        <w:jc w:val="center"/>
        <w:rPr>
          <w:rFonts w:eastAsia="Times New Roman" w:cs="Times New Roman"/>
          <w:b/>
          <w:szCs w:val="28"/>
        </w:rPr>
      </w:pPr>
      <w:r w:rsidRPr="00561367">
        <w:rPr>
          <w:rFonts w:eastAsia="Times New Roman" w:cs="Times New Roman"/>
          <w:b/>
          <w:szCs w:val="28"/>
        </w:rPr>
        <w:t>THÔNG BÁO</w:t>
      </w:r>
    </w:p>
    <w:p w:rsidR="00561367" w:rsidRDefault="00561367" w:rsidP="00561367">
      <w:pPr>
        <w:spacing w:after="0" w:line="240" w:lineRule="auto"/>
        <w:jc w:val="center"/>
        <w:rPr>
          <w:rFonts w:eastAsia="Times New Roman" w:cs="Times New Roman"/>
          <w:b/>
          <w:szCs w:val="28"/>
        </w:rPr>
      </w:pPr>
      <w:r w:rsidRPr="00561367">
        <w:rPr>
          <w:rFonts w:eastAsia="Times New Roman" w:cs="Times New Roman"/>
          <w:b/>
          <w:szCs w:val="28"/>
        </w:rPr>
        <w:t>V/v quy định mức lãi suất đối với tiền gửi bằng đô la Mỹ của tổ chức, cá nhân tại tổ chức tín dụng, chi nhánh ngân hàng nước ngoài</w:t>
      </w:r>
    </w:p>
    <w:p w:rsidR="00561367" w:rsidRPr="00561367" w:rsidRDefault="00561367" w:rsidP="00561367">
      <w:pPr>
        <w:spacing w:after="0" w:line="240" w:lineRule="auto"/>
        <w:jc w:val="center"/>
        <w:rPr>
          <w:rFonts w:eastAsia="Times New Roman" w:cs="Times New Roman"/>
          <w:b/>
          <w:szCs w:val="28"/>
        </w:rPr>
      </w:pPr>
    </w:p>
    <w:p w:rsidR="00561367" w:rsidRPr="00561367" w:rsidRDefault="00561367" w:rsidP="00561367">
      <w:pPr>
        <w:spacing w:before="120" w:after="120" w:line="240" w:lineRule="auto"/>
        <w:ind w:firstLine="680"/>
        <w:jc w:val="both"/>
        <w:rPr>
          <w:rFonts w:eastAsia="Times New Roman" w:cs="Times New Roman"/>
          <w:szCs w:val="28"/>
        </w:rPr>
      </w:pPr>
      <w:r w:rsidRPr="00561367">
        <w:rPr>
          <w:rFonts w:eastAsia="Times New Roman" w:cs="Times New Roman"/>
          <w:spacing w:val="4"/>
          <w:szCs w:val="28"/>
        </w:rPr>
        <w:t>Để tiếp tục thực hiện các giải pháp đồng bộ nhằm thực hiện chủ trương chống đô la hóa của Chính phủ, chuyển từ quan hệ huy động - cho vay bằng ngoại tệ sang quan hệ mua - bán bằng ngoại tệ, Ngân hàng Nhà nước Việt Nam ban hành Quyết định số 2589/QĐ-NHNN ngày 17/12/2015 về mức lãi suất tối đa đối với tiền gửi bằng Đô la Mỹ của tổ chức, cá nhân tại tổ chức tín dụng, chi nhánh ngân hàng nước ngoài theo quy định tại Thông tư số 06/2014/TT-NHNN ngày 17/ 3/2014. Theo đó:</w:t>
      </w:r>
    </w:p>
    <w:p w:rsidR="00561367" w:rsidRPr="00561367" w:rsidRDefault="00561367" w:rsidP="00561367">
      <w:pPr>
        <w:spacing w:before="120" w:after="120" w:line="240" w:lineRule="auto"/>
        <w:ind w:firstLine="680"/>
        <w:jc w:val="both"/>
        <w:rPr>
          <w:rFonts w:eastAsia="Times New Roman" w:cs="Times New Roman"/>
          <w:szCs w:val="28"/>
        </w:rPr>
      </w:pPr>
      <w:r w:rsidRPr="00561367">
        <w:rPr>
          <w:rFonts w:eastAsia="Times New Roman" w:cs="Times New Roman"/>
          <w:spacing w:val="4"/>
          <w:szCs w:val="28"/>
        </w:rPr>
        <w:t xml:space="preserve">- Mức lãi suất áp dụng đối với tiền gửi của tổ chức (trừ tổ chức tín dụng, chi nhánh ngân hàng nước ngoài) là 0%/năm; </w:t>
      </w:r>
    </w:p>
    <w:p w:rsidR="00561367" w:rsidRPr="00561367" w:rsidRDefault="00561367" w:rsidP="00561367">
      <w:pPr>
        <w:spacing w:before="120" w:after="120" w:line="240" w:lineRule="auto"/>
        <w:ind w:firstLine="680"/>
        <w:jc w:val="both"/>
        <w:rPr>
          <w:rFonts w:eastAsia="Times New Roman" w:cs="Times New Roman"/>
          <w:szCs w:val="28"/>
        </w:rPr>
      </w:pPr>
      <w:r w:rsidRPr="00561367">
        <w:rPr>
          <w:rFonts w:eastAsia="Times New Roman" w:cs="Times New Roman"/>
          <w:spacing w:val="4"/>
          <w:szCs w:val="28"/>
        </w:rPr>
        <w:t xml:space="preserve">- Mức lãi suất áp dụng đối với tiền gửi của cá nhân là 0%/năm. </w:t>
      </w:r>
    </w:p>
    <w:p w:rsidR="00561367" w:rsidRPr="00561367" w:rsidRDefault="00561367" w:rsidP="00561367">
      <w:pPr>
        <w:spacing w:before="120" w:after="120" w:line="240" w:lineRule="auto"/>
        <w:ind w:firstLine="680"/>
        <w:jc w:val="both"/>
        <w:rPr>
          <w:rFonts w:eastAsia="Times New Roman" w:cs="Times New Roman"/>
          <w:szCs w:val="28"/>
        </w:rPr>
      </w:pPr>
      <w:r w:rsidRPr="00561367">
        <w:rPr>
          <w:rFonts w:eastAsia="Times New Roman" w:cs="Times New Roman"/>
          <w:szCs w:val="28"/>
        </w:rPr>
        <w:t>Quyết định này có hiệu lực thi hành kể từ ngày 18</w:t>
      </w:r>
      <w:bookmarkStart w:id="0" w:name="_GoBack"/>
      <w:r w:rsidRPr="00561367">
        <w:rPr>
          <w:rFonts w:eastAsia="Times New Roman" w:cs="Times New Roman"/>
          <w:szCs w:val="28"/>
        </w:rPr>
        <w:t>/12/2015 và thay thế Quyết định số 1938/QĐ-NHNN ngày 25 tháng 9 năm 2015 của Thống đốc Ngân hàng Nhà nước Việt Nam về mức lãi suất tối đa đối với tiền gửi bằng Đô la Mỹ của tổ chức, cá nhân tại tổ chức tín dụng, chi nhánh ngân hàng nước ngoài theo quy định tại Thông</w:t>
      </w:r>
      <w:r>
        <w:rPr>
          <w:rFonts w:eastAsia="Times New Roman" w:cs="Times New Roman"/>
          <w:szCs w:val="28"/>
        </w:rPr>
        <w:t xml:space="preserve"> tư số 06/2014/TT-NHNN ngày 17/0</w:t>
      </w:r>
      <w:r w:rsidRPr="00561367">
        <w:rPr>
          <w:rFonts w:eastAsia="Times New Roman" w:cs="Times New Roman"/>
          <w:szCs w:val="28"/>
        </w:rPr>
        <w:t>3/2014./.</w:t>
      </w:r>
    </w:p>
    <w:p w:rsidR="00561367" w:rsidRPr="00561367" w:rsidRDefault="00561367" w:rsidP="00561367">
      <w:pPr>
        <w:spacing w:before="120" w:after="120" w:line="240" w:lineRule="auto"/>
        <w:ind w:firstLine="680"/>
        <w:jc w:val="both"/>
        <w:rPr>
          <w:rFonts w:eastAsia="Times New Roman" w:cs="Times New Roman"/>
          <w:szCs w:val="28"/>
        </w:rPr>
      </w:pPr>
      <w:proofErr w:type="gramStart"/>
      <w:r w:rsidRPr="00561367">
        <w:rPr>
          <w:rFonts w:eastAsia="Times New Roman" w:cs="Times New Roman"/>
          <w:spacing w:val="4"/>
          <w:szCs w:val="28"/>
        </w:rPr>
        <w:t>NHNN</w:t>
      </w:r>
      <w:r>
        <w:rPr>
          <w:rFonts w:eastAsia="Times New Roman" w:cs="Times New Roman"/>
          <w:spacing w:val="4"/>
          <w:szCs w:val="28"/>
        </w:rPr>
        <w:t>.</w:t>
      </w:r>
      <w:proofErr w:type="gramEnd"/>
    </w:p>
    <w:bookmarkEnd w:id="0"/>
    <w:p w:rsidR="00A54D48" w:rsidRDefault="00A54D48"/>
    <w:sectPr w:rsidR="00A54D48" w:rsidSect="005C28C1">
      <w:pgSz w:w="11907" w:h="16840" w:code="9"/>
      <w:pgMar w:top="1440" w:right="1440" w:bottom="1440" w:left="1440" w:header="720" w:footer="720" w:gutter="0"/>
      <w:paperSrc w:first="15" w:other="15"/>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561367"/>
    <w:rsid w:val="00561367"/>
    <w:rsid w:val="005C28C1"/>
    <w:rsid w:val="00877C92"/>
    <w:rsid w:val="009E2EE4"/>
    <w:rsid w:val="00A54D48"/>
    <w:rsid w:val="00F65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D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136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3015212">
      <w:bodyDiv w:val="1"/>
      <w:marLeft w:val="0"/>
      <w:marRight w:val="0"/>
      <w:marTop w:val="0"/>
      <w:marBottom w:val="0"/>
      <w:divBdr>
        <w:top w:val="none" w:sz="0" w:space="0" w:color="auto"/>
        <w:left w:val="none" w:sz="0" w:space="0" w:color="auto"/>
        <w:bottom w:val="none" w:sz="0" w:space="0" w:color="auto"/>
        <w:right w:val="none" w:sz="0" w:space="0" w:color="auto"/>
      </w:divBdr>
      <w:divsChild>
        <w:div w:id="1352687388">
          <w:marLeft w:val="0"/>
          <w:marRight w:val="0"/>
          <w:marTop w:val="0"/>
          <w:marBottom w:val="0"/>
          <w:divBdr>
            <w:top w:val="none" w:sz="0" w:space="0" w:color="auto"/>
            <w:left w:val="none" w:sz="0" w:space="0" w:color="auto"/>
            <w:bottom w:val="none" w:sz="0" w:space="0" w:color="auto"/>
            <w:right w:val="none" w:sz="0" w:space="0" w:color="auto"/>
          </w:divBdr>
        </w:div>
        <w:div w:id="1430010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dc:creator>
  <cp:keywords/>
  <dc:description/>
  <cp:lastModifiedBy>dung</cp:lastModifiedBy>
  <cp:revision>1</cp:revision>
  <dcterms:created xsi:type="dcterms:W3CDTF">2015-12-18T01:21:00Z</dcterms:created>
  <dcterms:modified xsi:type="dcterms:W3CDTF">2015-12-18T01:24:00Z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16" name="DISdDocName">
    <vt:lpwstr>SBVWEBAPP01SBV078156</vt:lpwstr>
  </property>
  <property fmtid="{D5CDD505-2E9C-101B-9397-08002B2CF9AE}" pid="17" name="DISProperties">
    <vt:lpwstr>DISdDocName,DIScgiUrl,DISdUser,DISdID,DISidcName,DISTaskPaneUrl</vt:lpwstr>
  </property>
  <property fmtid="{D5CDD505-2E9C-101B-9397-08002B2CF9AE}" pid="18" name="DIScgiUrl">
    <vt:lpwstr>http://webcenter-app01:16200/cs/idcplg</vt:lpwstr>
  </property>
  <property fmtid="{D5CDD505-2E9C-101B-9397-08002B2CF9AE}" pid="19" name="DISdUser">
    <vt:lpwstr>anonymous</vt:lpwstr>
  </property>
  <property fmtid="{D5CDD505-2E9C-101B-9397-08002B2CF9AE}" pid="20" name="DISdID">
    <vt:lpwstr>286933</vt:lpwstr>
  </property>
  <property fmtid="{D5CDD505-2E9C-101B-9397-08002B2CF9AE}" pid="21" name="DISidcName">
    <vt:lpwstr>webcenterapp0116200</vt:lpwstr>
  </property>
  <property fmtid="{D5CDD505-2E9C-101B-9397-08002B2CF9AE}" pid="22" name="DISTaskPaneUrl">
    <vt:lpwstr>http://webcenter-app01:16200/cs/idcplg?IdcService=DESKTOP_DOC_INFO&amp;dDocName=SBVWEBAPP01SBV078156&amp;dID=286933&amp;ClientControlled=DocMan,taskpane&amp;coreContentOnly=1</vt:lpwstr>
  </property>
</Properties>
</file>